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2587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«30» апреля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128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30.04.2021 до 11:36 30.04.2021.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–20 000 кг (цены без НДС)</w:t>
        <w:br/>
        <w:t>
</w:t>
        <w:br/>
        <w:t>
Контакты: (4912) 300-103 (доб. 1198)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