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13:30 16.08.2021 до 14:00 16.08.2021.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