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металлолома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28200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02.02.2022 до 11:21 02.02.2022.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Металл-Инвест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436 500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"Техпром"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