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«11»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гартцинка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240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11.02.2022 до 11:48 11.02.2022.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4 860 000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