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реализация гартцинка и изгари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139.00 руб.: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139.00 руб. согласились участвовать: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2 630 000 128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2 649 999 872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3 009 999 872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3 000 000 000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2630000128.00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Разжаловец Е.Е.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