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№547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23 марта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источник  б/питания Ippon SMART Winner 3000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ТРИЛИКС ГРУПП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ТРИЛИКС ГРУПП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910.00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910.00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910.00 руб.:</w:t>
      </w:r>
    </w:p>
    <w:p w:rsidR="00C15335" w:rsidRDefault="00B51A25" w:rsidP="008C5845">
      <w:pPr>
        <w:ind w:left="720"/>
      </w:pPr>
      <w:r>
        <w:t>ТРИЛИКС ГРУПП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910.00 руб. согласились участвовать:</w:t>
      </w:r>
    </w:p>
    <w:p w:rsidR="00C15335" w:rsidRDefault="00B51A25" w:rsidP="008C5845">
      <w:pPr>
        <w:ind w:left="720"/>
      </w:pPr>
      <w:r>
        <w:t>ТРИЛИКС ГРУПП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ТРИЛИКС ГРУПП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27 000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ТРИЛИКС ГРУПП с ценой предложения 27000.00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