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390A6" w14:textId="77777777" w:rsidR="00844A94" w:rsidRPr="00F80ECD" w:rsidRDefault="00844A94" w:rsidP="00BD621B">
      <w:pPr>
        <w:widowControl w:val="0"/>
        <w:spacing w:before="100" w:beforeAutospacing="1" w:after="100" w:afterAutospacing="1" w:line="480" w:lineRule="auto"/>
        <w:jc w:val="center"/>
        <w:outlineLvl w:val="3"/>
        <w:rPr>
          <w:rFonts w:cs="Times New Roman"/>
          <w:b/>
          <w:bCs/>
          <w:sz w:val="32"/>
          <w:szCs w:val="32"/>
        </w:rPr>
      </w:pPr>
      <w:r w:rsidRPr="00F80ECD">
        <w:rPr>
          <w:rFonts w:cs="Times New Roman"/>
          <w:b/>
          <w:bCs/>
          <w:sz w:val="32"/>
          <w:szCs w:val="32"/>
        </w:rPr>
        <w:t>Systematic Multi-Asset Funds with News-Sentiment Analytics</w:t>
      </w:r>
    </w:p>
    <w:p w14:paraId="7540E739" w14:textId="77777777" w:rsidR="00844A94" w:rsidRPr="00F80ECD" w:rsidRDefault="00844A94" w:rsidP="00BD621B">
      <w:pPr>
        <w:widowControl w:val="0"/>
        <w:spacing w:before="100" w:beforeAutospacing="1" w:after="100" w:afterAutospacing="1" w:line="480" w:lineRule="auto"/>
        <w:jc w:val="center"/>
        <w:outlineLvl w:val="3"/>
        <w:rPr>
          <w:rFonts w:eastAsia="宋体" w:cs="Times New Roman"/>
          <w:sz w:val="28"/>
          <w:szCs w:val="28"/>
          <w:lang w:eastAsia="zh-CN"/>
        </w:rPr>
      </w:pPr>
      <w:r w:rsidRPr="00F80ECD">
        <w:rPr>
          <w:rFonts w:eastAsia="宋体" w:cs="Times New Roman"/>
          <w:b/>
          <w:bCs/>
          <w:sz w:val="28"/>
          <w:szCs w:val="28"/>
          <w:lang w:eastAsia="zh-CN"/>
        </w:rPr>
        <w:t xml:space="preserve">FINS 3645 </w:t>
      </w:r>
      <w:r w:rsidRPr="00F80ECD">
        <w:rPr>
          <w:rFonts w:eastAsia="宋体" w:cs="Times New Roman"/>
          <w:sz w:val="28"/>
          <w:szCs w:val="28"/>
          <w:lang w:eastAsia="zh-CN"/>
        </w:rPr>
        <w:t>Fin Mkt Data Design &amp; Analysis - T2 2026</w:t>
      </w:r>
    </w:p>
    <w:p w14:paraId="55F37B61" w14:textId="77777777" w:rsidR="00844A94" w:rsidRPr="00F80ECD" w:rsidRDefault="00844A94" w:rsidP="00BD621B">
      <w:pPr>
        <w:widowControl w:val="0"/>
        <w:spacing w:before="100" w:beforeAutospacing="1" w:after="100" w:afterAutospacing="1" w:line="480" w:lineRule="auto"/>
        <w:jc w:val="center"/>
        <w:outlineLvl w:val="3"/>
        <w:rPr>
          <w:rFonts w:eastAsia="宋体" w:cs="Times New Roman"/>
          <w:b/>
          <w:bCs/>
          <w:sz w:val="28"/>
          <w:szCs w:val="28"/>
          <w:lang w:eastAsia="zh-CN"/>
        </w:rPr>
      </w:pPr>
      <w:proofErr w:type="spellStart"/>
      <w:r w:rsidRPr="00F80ECD">
        <w:rPr>
          <w:rFonts w:eastAsia="宋体" w:cs="Times New Roman"/>
          <w:b/>
          <w:bCs/>
          <w:sz w:val="28"/>
          <w:szCs w:val="28"/>
        </w:rPr>
        <w:t>Haoyu</w:t>
      </w:r>
      <w:proofErr w:type="spellEnd"/>
      <w:r w:rsidRPr="00F80ECD">
        <w:rPr>
          <w:rFonts w:eastAsia="宋体" w:cs="Times New Roman"/>
          <w:b/>
          <w:bCs/>
          <w:sz w:val="28"/>
          <w:szCs w:val="28"/>
        </w:rPr>
        <w:t xml:space="preserve"> Cao Z5536563</w:t>
      </w:r>
    </w:p>
    <w:p w14:paraId="78D113DF" w14:textId="77777777" w:rsidR="00844A94" w:rsidRPr="00F80ECD" w:rsidRDefault="00844A94" w:rsidP="00BD621B">
      <w:pPr>
        <w:widowControl w:val="0"/>
        <w:spacing w:before="100" w:beforeAutospacing="1" w:after="100" w:afterAutospacing="1" w:line="480" w:lineRule="auto"/>
        <w:jc w:val="center"/>
        <w:outlineLvl w:val="3"/>
        <w:rPr>
          <w:rFonts w:eastAsia="宋体" w:cs="Times New Roman"/>
          <w:b/>
          <w:bCs/>
          <w:sz w:val="28"/>
          <w:szCs w:val="28"/>
        </w:rPr>
      </w:pPr>
      <w:r w:rsidRPr="00F80ECD">
        <w:rPr>
          <w:rFonts w:eastAsia="宋体" w:cs="Times New Roman"/>
          <w:b/>
          <w:bCs/>
          <w:sz w:val="28"/>
          <w:szCs w:val="28"/>
          <w:lang w:eastAsia="zh-CN"/>
        </w:rPr>
        <w:t>August</w:t>
      </w:r>
      <w:r w:rsidRPr="00F80ECD">
        <w:rPr>
          <w:rFonts w:eastAsia="宋体" w:cs="Times New Roman"/>
          <w:b/>
          <w:bCs/>
          <w:sz w:val="28"/>
          <w:szCs w:val="28"/>
        </w:rPr>
        <w:t xml:space="preserve"> </w:t>
      </w:r>
      <w:r w:rsidRPr="00F80ECD">
        <w:rPr>
          <w:rFonts w:eastAsia="宋体" w:cs="Times New Roman"/>
          <w:b/>
          <w:bCs/>
          <w:sz w:val="28"/>
          <w:szCs w:val="28"/>
          <w:lang w:eastAsia="zh-CN"/>
        </w:rPr>
        <w:t>13</w:t>
      </w:r>
      <w:r w:rsidRPr="00F80ECD">
        <w:rPr>
          <w:rFonts w:eastAsia="宋体" w:cs="Times New Roman"/>
          <w:b/>
          <w:bCs/>
          <w:sz w:val="28"/>
          <w:szCs w:val="28"/>
        </w:rPr>
        <w:t>, 2026</w:t>
      </w:r>
    </w:p>
    <w:p w14:paraId="07F457D6" w14:textId="77777777" w:rsidR="00844A94" w:rsidRPr="00F80ECD" w:rsidRDefault="00844A94" w:rsidP="00844A94">
      <w:pPr>
        <w:pStyle w:val="1"/>
        <w:keepNext w:val="0"/>
        <w:keepLines w:val="0"/>
        <w:ind w:firstLineChars="200" w:firstLine="960"/>
        <w:rPr>
          <w:rFonts w:ascii="Times New Roman" w:hAnsi="Times New Roman" w:cs="Times New Roman"/>
          <w:color w:val="000000" w:themeColor="text1"/>
        </w:rPr>
      </w:pPr>
      <w:r w:rsidRPr="00F80ECD">
        <w:rPr>
          <w:rFonts w:ascii="Times New Roman" w:hAnsi="Times New Roman" w:cs="Times New Roman"/>
          <w:color w:val="000000" w:themeColor="text1"/>
        </w:rPr>
        <w:fldChar w:fldCharType="begin"/>
      </w:r>
      <w:r w:rsidRPr="00F80ECD">
        <w:rPr>
          <w:rFonts w:ascii="Times New Roman" w:hAnsi="Times New Roman" w:cs="Times New Roman"/>
          <w:color w:val="000000" w:themeColor="text1"/>
        </w:rPr>
        <w:instrText xml:space="preserve"> INCLUDEPICTURE "/Users/caohaoyu/Library/Group Containers/UBF8T346G9.ms/WebArchiveCopyPasteTempFiles/com.microsoft.Word/new-UNSW-logo-png-vertical-crest.png" \* MERGEFORMATINET </w:instrText>
      </w:r>
      <w:r w:rsidRPr="00F80ECD">
        <w:rPr>
          <w:rFonts w:ascii="Times New Roman" w:hAnsi="Times New Roman" w:cs="Times New Roman"/>
          <w:color w:val="000000" w:themeColor="text1"/>
        </w:rPr>
        <w:fldChar w:fldCharType="separate"/>
      </w:r>
      <w:r w:rsidRPr="00F80ECD">
        <w:rPr>
          <w:rFonts w:ascii="Times New Roman" w:hAnsi="Times New Roman" w:cs="Times New Roman"/>
          <w:noProof/>
          <w:color w:val="000000" w:themeColor="text1"/>
        </w:rPr>
        <w:drawing>
          <wp:inline distT="0" distB="0" distL="0" distR="0" wp14:anchorId="3E2BAEA4" wp14:editId="2CD78D04">
            <wp:extent cx="4895681" cy="5104923"/>
            <wp:effectExtent l="0" t="0" r="0" b="0"/>
            <wp:docPr id="863418570" name="图片 1" descr="new-UNSW-logo-png-vertical-crest - Engagement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UNSW-logo-png-vertical-crest - Engagement Austral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681" cy="5104923"/>
                    </a:xfrm>
                    <a:prstGeom prst="rect">
                      <a:avLst/>
                    </a:prstGeom>
                    <a:noFill/>
                    <a:ln>
                      <a:noFill/>
                    </a:ln>
                  </pic:spPr>
                </pic:pic>
              </a:graphicData>
            </a:graphic>
          </wp:inline>
        </w:drawing>
      </w:r>
      <w:r w:rsidRPr="00F80ECD">
        <w:rPr>
          <w:rFonts w:ascii="Times New Roman" w:hAnsi="Times New Roman" w:cs="Times New Roman"/>
          <w:color w:val="000000" w:themeColor="text1"/>
        </w:rPr>
        <w:fldChar w:fldCharType="end"/>
      </w:r>
    </w:p>
    <w:p w14:paraId="089778E9" w14:textId="77777777" w:rsidR="00844A94" w:rsidRPr="00F80ECD" w:rsidRDefault="00844A94" w:rsidP="00844A94">
      <w:pPr>
        <w:rPr>
          <w:lang w:eastAsia="zh-CN"/>
        </w:rPr>
      </w:pPr>
    </w:p>
    <w:p w14:paraId="5A3E9EDC" w14:textId="77777777" w:rsidR="00844A94" w:rsidRPr="00F80ECD" w:rsidRDefault="00844A94" w:rsidP="00844A94">
      <w:pPr>
        <w:rPr>
          <w:lang w:eastAsia="zh-CN"/>
        </w:rPr>
      </w:pPr>
    </w:p>
    <w:p w14:paraId="43DA6FF4" w14:textId="77777777" w:rsidR="00844A94" w:rsidRPr="00F80ECD" w:rsidRDefault="00844A94" w:rsidP="00D941DB">
      <w:pPr>
        <w:pStyle w:val="1"/>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F80ECD">
        <w:rPr>
          <w:rFonts w:ascii="Times New Roman" w:hAnsi="Times New Roman" w:cs="Times New Roman"/>
          <w:color w:val="000000" w:themeColor="text1"/>
          <w:sz w:val="36"/>
          <w:szCs w:val="36"/>
        </w:rPr>
        <w:lastRenderedPageBreak/>
        <w:t>Executive Summary</w:t>
      </w:r>
    </w:p>
    <w:p w14:paraId="2E05BADC"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In this paper, we review a prototype application for investment purposes, called </w:t>
      </w:r>
      <w:proofErr w:type="spellStart"/>
      <w:r w:rsidRPr="00F80ECD">
        <w:rPr>
          <w:rFonts w:cs="Times New Roman"/>
          <w:lang w:eastAsia="zh-CN"/>
        </w:rPr>
        <w:t>AtlasFlow</w:t>
      </w:r>
      <w:proofErr w:type="spellEnd"/>
      <w:r w:rsidRPr="00F80ECD">
        <w:rPr>
          <w:rFonts w:cs="Times New Roman"/>
          <w:lang w:eastAsia="zh-CN"/>
        </w:rPr>
        <w:t xml:space="preserve">, which allows to get diversified exposure on the stock market and major cryptocurrencies via portfolio construction techniques. The application involves portfolio optimization, rolling </w:t>
      </w:r>
      <w:proofErr w:type="spellStart"/>
      <w:r w:rsidRPr="00F80ECD">
        <w:rPr>
          <w:rFonts w:cs="Times New Roman"/>
          <w:lang w:eastAsia="zh-CN"/>
        </w:rPr>
        <w:t>backtesting</w:t>
      </w:r>
      <w:proofErr w:type="spellEnd"/>
      <w:r w:rsidRPr="00F80ECD">
        <w:rPr>
          <w:rFonts w:cs="Times New Roman"/>
          <w:lang w:eastAsia="zh-CN"/>
        </w:rPr>
        <w:t>, and sentiment analysis based on news.</w:t>
      </w:r>
    </w:p>
    <w:p w14:paraId="2CDE4DE2" w14:textId="0EFDC18B"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As the results show, the simplicity of some methods may outweigh the use of more complicated methods, since the presence of noise in financial data is inevitable. </w:t>
      </w:r>
      <w:r w:rsidR="00D91A8B" w:rsidRPr="00F80ECD">
        <w:rPr>
          <w:rFonts w:cs="Times New Roman"/>
          <w:lang w:eastAsia="zh-CN"/>
        </w:rPr>
        <w:t>The best-performing portfolio on a risk-adjusted basis is Equity Equal-Weight with an annual return rate of 7.37%, volatility of 17.71% and Sharpe ratio of 0.416</w:t>
      </w:r>
      <w:r w:rsidRPr="00F80ECD">
        <w:rPr>
          <w:rFonts w:cs="Times New Roman"/>
          <w:lang w:eastAsia="zh-CN"/>
        </w:rPr>
        <w:t>. The minimum variance portfolio performed well in terms of risk control, with 13.4</w:t>
      </w:r>
      <w:r w:rsidR="006D3781" w:rsidRPr="00F80ECD">
        <w:rPr>
          <w:rFonts w:cs="Times New Roman" w:hint="eastAsia"/>
          <w:lang w:eastAsia="zh-CN"/>
        </w:rPr>
        <w:t>7</w:t>
      </w:r>
      <w:r w:rsidRPr="00F80ECD">
        <w:rPr>
          <w:rFonts w:cs="Times New Roman"/>
          <w:lang w:eastAsia="zh-CN"/>
        </w:rPr>
        <w:t>% of volatility and -16.</w:t>
      </w:r>
      <w:r w:rsidR="006D3781" w:rsidRPr="00F80ECD">
        <w:rPr>
          <w:rFonts w:cs="Times New Roman" w:hint="eastAsia"/>
          <w:lang w:eastAsia="zh-CN"/>
        </w:rPr>
        <w:t>50</w:t>
      </w:r>
      <w:r w:rsidRPr="00F80ECD">
        <w:rPr>
          <w:rFonts w:cs="Times New Roman"/>
          <w:lang w:eastAsia="zh-CN"/>
        </w:rPr>
        <w:t>% maximum drawdown. On the contrary, the Maximum Sharpe ratio strategy was highly sensitive to returns estimates.</w:t>
      </w:r>
    </w:p>
    <w:p w14:paraId="675EA746" w14:textId="12E7D658"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Furthermore, the project also provided three additional advanced extensions. </w:t>
      </w:r>
      <w:proofErr w:type="gramStart"/>
      <w:r w:rsidRPr="00F80ECD">
        <w:rPr>
          <w:rFonts w:cs="Times New Roman"/>
          <w:lang w:eastAsia="zh-CN"/>
        </w:rPr>
        <w:t>With regard to</w:t>
      </w:r>
      <w:proofErr w:type="gramEnd"/>
      <w:r w:rsidRPr="00F80ECD">
        <w:rPr>
          <w:rFonts w:cs="Times New Roman"/>
          <w:lang w:eastAsia="zh-CN"/>
        </w:rPr>
        <w:t xml:space="preserve"> the conventional risk parity method (the Sharpe ratio of 0.229), the use of Hierarchical Risk Parity (HRP) enhanced the Sharpe ratio of the portfolio to 0.250, with more stable asset allocation. </w:t>
      </w:r>
      <w:proofErr w:type="spellStart"/>
      <w:r w:rsidRPr="00F80ECD">
        <w:rPr>
          <w:rFonts w:cs="Times New Roman"/>
          <w:lang w:eastAsia="zh-CN"/>
        </w:rPr>
        <w:t>FinVADER</w:t>
      </w:r>
      <w:proofErr w:type="spellEnd"/>
      <w:r w:rsidRPr="00F80ECD">
        <w:rPr>
          <w:rFonts w:cs="Times New Roman"/>
          <w:lang w:eastAsia="zh-CN"/>
        </w:rPr>
        <w:t xml:space="preserve"> lexicon, which is specifically developed for finance-related tasks, lowered the share of neutral sentiment classifications (|compound| &lt; 0.05) from 24.1% to 23.0%, reducing false-neutrals on this bundled headline dataset. Besides that, </w:t>
      </w:r>
      <w:r w:rsidR="006D3781" w:rsidRPr="00F80ECD">
        <w:rPr>
          <w:rStyle w:val="HTML"/>
          <w:rFonts w:ascii="Times New Roman" w:hAnsi="Times New Roman" w:cs="Times New Roman"/>
        </w:rPr>
        <w:t>sentiment analysis was implemented using equal-weighted ticker sentiment within each sector.</w:t>
      </w:r>
    </w:p>
    <w:p w14:paraId="35440FE8"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But, using sentiment analysis did not provide any improvement in portfolio returns, resulting in a lower return, a worse Sharpe ratio, and higher downside risk for a "one-day lagged sentiment tilt" strategy.</w:t>
      </w:r>
    </w:p>
    <w:p w14:paraId="0F230B34" w14:textId="77777777" w:rsidR="00844A94" w:rsidRPr="00F80ECD" w:rsidRDefault="00844A94" w:rsidP="00D941DB">
      <w:pPr>
        <w:widowControl w:val="0"/>
        <w:spacing w:line="360" w:lineRule="auto"/>
        <w:ind w:firstLineChars="200" w:firstLine="480"/>
        <w:rPr>
          <w:rFonts w:cs="Times New Roman"/>
          <w:szCs w:val="24"/>
          <w:lang w:eastAsia="zh-CN"/>
        </w:rPr>
      </w:pPr>
      <w:r w:rsidRPr="00F80ECD">
        <w:rPr>
          <w:rFonts w:cs="Times New Roman"/>
          <w:lang w:eastAsia="zh-CN"/>
        </w:rPr>
        <w:t xml:space="preserve">In general, </w:t>
      </w:r>
      <w:proofErr w:type="spellStart"/>
      <w:r w:rsidRPr="00F80ECD">
        <w:rPr>
          <w:rFonts w:cs="Times New Roman"/>
          <w:lang w:eastAsia="zh-CN"/>
        </w:rPr>
        <w:t>AtlasFlow</w:t>
      </w:r>
      <w:proofErr w:type="spellEnd"/>
      <w:r w:rsidRPr="00F80ECD">
        <w:rPr>
          <w:rFonts w:cs="Times New Roman"/>
          <w:lang w:eastAsia="zh-CN"/>
        </w:rPr>
        <w:t xml:space="preserve"> should be based on strong portfolio construction techniques with the sentiment analysis being an additional signal. Further implementation will require consideration of realistic transaction costs, a longer historical sample, and improving of sentiment analysis from the sectoral to the individual asset level.</w:t>
      </w:r>
    </w:p>
    <w:p w14:paraId="756733D9" w14:textId="5D54DBE2" w:rsidR="00844A94" w:rsidRPr="00F80ECD" w:rsidRDefault="00844A94" w:rsidP="00D941DB">
      <w:pPr>
        <w:widowControl w:val="0"/>
        <w:spacing w:after="0" w:line="360" w:lineRule="auto"/>
        <w:ind w:firstLineChars="200" w:firstLine="480"/>
        <w:rPr>
          <w:rFonts w:cs="Times New Roman"/>
          <w:szCs w:val="24"/>
          <w:lang w:eastAsia="zh-CN"/>
        </w:rPr>
      </w:pPr>
      <w:r w:rsidRPr="00F80ECD">
        <w:rPr>
          <w:rFonts w:cs="Times New Roman"/>
          <w:szCs w:val="24"/>
          <w:lang w:eastAsia="zh-CN"/>
        </w:rPr>
        <w:br w:type="page"/>
      </w:r>
    </w:p>
    <w:p w14:paraId="133D0931" w14:textId="77777777" w:rsidR="00844A94" w:rsidRPr="00F80ECD" w:rsidRDefault="00844A94" w:rsidP="00D941DB">
      <w:pPr>
        <w:pStyle w:val="1"/>
        <w:keepNext w:val="0"/>
        <w:keepLines w:val="0"/>
        <w:widowControl w:val="0"/>
        <w:spacing w:line="360" w:lineRule="auto"/>
        <w:rPr>
          <w:rFonts w:ascii="Times New Roman" w:hAnsi="Times New Roman" w:cs="Times New Roman"/>
          <w:color w:val="000000" w:themeColor="text1"/>
          <w:sz w:val="36"/>
          <w:szCs w:val="36"/>
        </w:rPr>
      </w:pPr>
      <w:r w:rsidRPr="00F80ECD">
        <w:rPr>
          <w:rFonts w:ascii="Times New Roman" w:hAnsi="Times New Roman" w:cs="Times New Roman"/>
          <w:color w:val="000000" w:themeColor="text1"/>
          <w:sz w:val="36"/>
          <w:szCs w:val="36"/>
        </w:rPr>
        <w:lastRenderedPageBreak/>
        <w:t xml:space="preserve">1. Fund Design and </w:t>
      </w:r>
      <w:proofErr w:type="spellStart"/>
      <w:r w:rsidRPr="00F80ECD">
        <w:rPr>
          <w:rFonts w:ascii="Times New Roman" w:hAnsi="Times New Roman" w:cs="Times New Roman"/>
          <w:color w:val="000000" w:themeColor="text1"/>
          <w:sz w:val="36"/>
          <w:szCs w:val="36"/>
        </w:rPr>
        <w:t>Backtest</w:t>
      </w:r>
      <w:proofErr w:type="spellEnd"/>
      <w:r w:rsidRPr="00F80ECD">
        <w:rPr>
          <w:rFonts w:ascii="Times New Roman" w:hAnsi="Times New Roman" w:cs="Times New Roman"/>
          <w:color w:val="000000" w:themeColor="text1"/>
          <w:sz w:val="36"/>
          <w:szCs w:val="36"/>
        </w:rPr>
        <w:t xml:space="preserve"> Methodology</w:t>
      </w:r>
    </w:p>
    <w:p w14:paraId="27964BEF" w14:textId="77777777" w:rsidR="00844A94" w:rsidRPr="00F80ECD" w:rsidRDefault="00844A94" w:rsidP="00D941DB">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F80ECD">
        <w:rPr>
          <w:rFonts w:ascii="Times New Roman" w:hAnsi="Times New Roman" w:cs="Times New Roman"/>
          <w:color w:val="000000" w:themeColor="text1"/>
          <w:sz w:val="36"/>
          <w:szCs w:val="36"/>
        </w:rPr>
        <w:t>1.1 Product Concept and Investor Need</w:t>
      </w:r>
    </w:p>
    <w:p w14:paraId="4BEBCCF7" w14:textId="77777777" w:rsidR="00844A94" w:rsidRPr="00F80ECD" w:rsidRDefault="00844A94" w:rsidP="00D941DB">
      <w:pPr>
        <w:widowControl w:val="0"/>
        <w:spacing w:line="360" w:lineRule="auto"/>
        <w:ind w:firstLineChars="200" w:firstLine="480"/>
        <w:rPr>
          <w:rFonts w:cs="Times New Roman"/>
          <w:lang w:eastAsia="zh-CN"/>
        </w:rPr>
      </w:pPr>
      <w:proofErr w:type="spellStart"/>
      <w:r w:rsidRPr="00F80ECD">
        <w:rPr>
          <w:rFonts w:cs="Times New Roman"/>
          <w:lang w:eastAsia="zh-CN"/>
        </w:rPr>
        <w:t>AtlasFlow</w:t>
      </w:r>
      <w:proofErr w:type="spellEnd"/>
      <w:r w:rsidRPr="00F80ECD">
        <w:rPr>
          <w:rFonts w:cs="Times New Roman"/>
          <w:lang w:eastAsia="zh-CN"/>
        </w:rPr>
        <w:t xml:space="preserve"> platform was created for easing the investment process among individual traders. Although it is now very easy to acquire different types of stocks and cryptocurrencies through the internet brokers' services, the creation of a diversified portfolio based on these assets is a difficult task. One </w:t>
      </w:r>
      <w:proofErr w:type="gramStart"/>
      <w:r w:rsidRPr="00F80ECD">
        <w:rPr>
          <w:rFonts w:cs="Times New Roman"/>
          <w:lang w:eastAsia="zh-CN"/>
        </w:rPr>
        <w:t>has to</w:t>
      </w:r>
      <w:proofErr w:type="gramEnd"/>
      <w:r w:rsidRPr="00F80ECD">
        <w:rPr>
          <w:rFonts w:cs="Times New Roman"/>
          <w:lang w:eastAsia="zh-CN"/>
        </w:rPr>
        <w:t xml:space="preserve"> think about the expected returns, volatility, correlation of the asset and the whole portfolio risk, among others; and all these become even more complicated with an increase in the number of assets within the portfolio.</w:t>
      </w:r>
    </w:p>
    <w:p w14:paraId="302301F6" w14:textId="77777777" w:rsidR="00844A94" w:rsidRPr="00F80ECD" w:rsidRDefault="00844A94" w:rsidP="00D941DB">
      <w:pPr>
        <w:widowControl w:val="0"/>
        <w:spacing w:line="360" w:lineRule="auto"/>
        <w:ind w:firstLineChars="200" w:firstLine="480"/>
        <w:rPr>
          <w:rFonts w:cs="Times New Roman"/>
          <w:lang w:eastAsia="zh-CN"/>
        </w:rPr>
      </w:pPr>
      <w:proofErr w:type="spellStart"/>
      <w:r w:rsidRPr="00F80ECD">
        <w:rPr>
          <w:rFonts w:cs="Times New Roman"/>
          <w:lang w:eastAsia="zh-CN"/>
        </w:rPr>
        <w:t>AtlasFlow</w:t>
      </w:r>
      <w:proofErr w:type="spellEnd"/>
      <w:r w:rsidRPr="00F80ECD">
        <w:rPr>
          <w:rFonts w:cs="Times New Roman"/>
          <w:lang w:eastAsia="zh-CN"/>
        </w:rPr>
        <w:t xml:space="preserve"> has managed to handle this issue efficiently by incorporating various types of assets and different portfolio strategies into one platform. The tool provides three series of portfolios: "Equity family," which consists of 50 large-cap equities of the United States from ten different sectors and is intended for investors looking for classic equity investments; "Crypto family," which consists of 10 main cryptocurrencies, and is intended for risk-loving investors who can tolerate high volatility; and "Combined family," which includes all 60 assets in order to provide multi-asset diversification within one product. Each series is constructed according to five different portfolio strategies, namely: Equal Weight, Minimum Variance, Maximum Sharpe Ratio, Risk Parity, and Hierarchical Risk Parity (HRP). Thus, 15 basic funds are provided; also, a "sentiment-augmented fund" is included </w:t>
      </w:r>
      <w:proofErr w:type="gramStart"/>
      <w:r w:rsidRPr="00F80ECD">
        <w:rPr>
          <w:rFonts w:cs="Times New Roman"/>
          <w:lang w:eastAsia="zh-CN"/>
        </w:rPr>
        <w:t>in order to</w:t>
      </w:r>
      <w:proofErr w:type="gramEnd"/>
      <w:r w:rsidRPr="00F80ECD">
        <w:rPr>
          <w:rFonts w:cs="Times New Roman"/>
          <w:lang w:eastAsia="zh-CN"/>
        </w:rPr>
        <w:t xml:space="preserve"> check the effectiveness of news data in the investment process.</w:t>
      </w:r>
    </w:p>
    <w:p w14:paraId="4A0F193A" w14:textId="77777777" w:rsidR="00844A94" w:rsidRPr="00F80ECD" w:rsidRDefault="00844A94" w:rsidP="00D941DB">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F80ECD">
        <w:rPr>
          <w:rFonts w:ascii="Times New Roman" w:hAnsi="Times New Roman" w:cs="Times New Roman"/>
          <w:color w:val="000000" w:themeColor="text1"/>
          <w:sz w:val="36"/>
          <w:szCs w:val="36"/>
        </w:rPr>
        <w:t>1.2 Portfolio Construction Methods</w:t>
      </w:r>
    </w:p>
    <w:p w14:paraId="40479E43" w14:textId="77777777" w:rsidR="00844A94" w:rsidRPr="00F80ECD" w:rsidRDefault="00844A94" w:rsidP="00844A94">
      <w:pPr>
        <w:widowControl w:val="0"/>
        <w:spacing w:after="0"/>
        <w:rPr>
          <w:rFonts w:cs="Times New Roman"/>
          <w:sz w:val="22"/>
          <w:szCs w:val="20"/>
          <w:lang w:eastAsia="zh-CN"/>
        </w:rPr>
      </w:pPr>
      <w:r w:rsidRPr="00F80ECD">
        <w:rPr>
          <w:rFonts w:cs="Times New Roman"/>
          <w:b/>
          <w:bCs/>
          <w:sz w:val="22"/>
        </w:rPr>
        <w:t>Table 1:</w:t>
      </w:r>
      <w:r w:rsidRPr="00F80ECD">
        <w:rPr>
          <w:rFonts w:cs="Times New Roman"/>
          <w:sz w:val="22"/>
        </w:rPr>
        <w:t xml:space="preserve"> </w:t>
      </w:r>
      <w:proofErr w:type="spellStart"/>
      <w:r w:rsidRPr="00F80ECD">
        <w:rPr>
          <w:rFonts w:cs="Times New Roman"/>
          <w:i/>
          <w:sz w:val="22"/>
        </w:rPr>
        <w:t>Optimisation</w:t>
      </w:r>
      <w:proofErr w:type="spellEnd"/>
      <w:r w:rsidRPr="00F80ECD">
        <w:rPr>
          <w:rFonts w:cs="Times New Roman"/>
          <w:i/>
          <w:sz w:val="22"/>
        </w:rPr>
        <w:t xml:space="preserve"> Methods</w:t>
      </w:r>
    </w:p>
    <w:tbl>
      <w:tblPr>
        <w:tblStyle w:val="af4"/>
        <w:tblW w:w="0" w:type="auto"/>
        <w:jc w:val="center"/>
        <w:tblLook w:val="04A0" w:firstRow="1" w:lastRow="0" w:firstColumn="1" w:lastColumn="0" w:noHBand="0" w:noVBand="1"/>
      </w:tblPr>
      <w:tblGrid>
        <w:gridCol w:w="2327"/>
        <w:gridCol w:w="2338"/>
        <w:gridCol w:w="2350"/>
        <w:gridCol w:w="2335"/>
      </w:tblGrid>
      <w:tr w:rsidR="00844A94" w:rsidRPr="00F80ECD" w14:paraId="19AE5BD9" w14:textId="77777777" w:rsidTr="0071035D">
        <w:trPr>
          <w:jc w:val="center"/>
        </w:trPr>
        <w:tc>
          <w:tcPr>
            <w:tcW w:w="2412" w:type="dxa"/>
            <w:shd w:val="clear" w:color="auto" w:fill="D9E2F3"/>
          </w:tcPr>
          <w:p w14:paraId="168F422A" w14:textId="77777777" w:rsidR="00844A94" w:rsidRPr="00F80ECD" w:rsidRDefault="00844A94" w:rsidP="00844A94">
            <w:pPr>
              <w:widowControl w:val="0"/>
              <w:spacing w:after="0"/>
              <w:rPr>
                <w:rFonts w:cs="Times New Roman"/>
                <w:b/>
                <w:bCs/>
                <w:sz w:val="22"/>
              </w:rPr>
            </w:pPr>
            <w:r w:rsidRPr="00F80ECD">
              <w:rPr>
                <w:rFonts w:cs="Times New Roman"/>
                <w:b/>
                <w:bCs/>
                <w:sz w:val="22"/>
              </w:rPr>
              <w:t>Method</w:t>
            </w:r>
          </w:p>
        </w:tc>
        <w:tc>
          <w:tcPr>
            <w:tcW w:w="2412" w:type="dxa"/>
            <w:shd w:val="clear" w:color="auto" w:fill="D9E2F3"/>
          </w:tcPr>
          <w:p w14:paraId="10EA0639" w14:textId="77777777" w:rsidR="00844A94" w:rsidRPr="00F80ECD" w:rsidRDefault="00844A94" w:rsidP="00844A94">
            <w:pPr>
              <w:widowControl w:val="0"/>
              <w:spacing w:after="0"/>
              <w:rPr>
                <w:rFonts w:cs="Times New Roman"/>
                <w:b/>
                <w:bCs/>
                <w:sz w:val="22"/>
              </w:rPr>
            </w:pPr>
            <w:r w:rsidRPr="00F80ECD">
              <w:rPr>
                <w:rFonts w:cs="Times New Roman"/>
                <w:b/>
                <w:bCs/>
                <w:sz w:val="22"/>
              </w:rPr>
              <w:t>Objective</w:t>
            </w:r>
          </w:p>
        </w:tc>
        <w:tc>
          <w:tcPr>
            <w:tcW w:w="2412" w:type="dxa"/>
            <w:shd w:val="clear" w:color="auto" w:fill="D9E2F3"/>
          </w:tcPr>
          <w:p w14:paraId="7CFD7EB0" w14:textId="77777777" w:rsidR="00844A94" w:rsidRPr="00F80ECD" w:rsidRDefault="00844A94" w:rsidP="00844A94">
            <w:pPr>
              <w:widowControl w:val="0"/>
              <w:spacing w:after="0"/>
              <w:rPr>
                <w:rFonts w:cs="Times New Roman"/>
                <w:b/>
                <w:bCs/>
                <w:sz w:val="22"/>
              </w:rPr>
            </w:pPr>
            <w:r w:rsidRPr="00F80ECD">
              <w:rPr>
                <w:rFonts w:cs="Times New Roman"/>
                <w:b/>
                <w:bCs/>
                <w:sz w:val="22"/>
              </w:rPr>
              <w:t>Main Strength</w:t>
            </w:r>
          </w:p>
        </w:tc>
        <w:tc>
          <w:tcPr>
            <w:tcW w:w="2412" w:type="dxa"/>
            <w:shd w:val="clear" w:color="auto" w:fill="D9E2F3"/>
          </w:tcPr>
          <w:p w14:paraId="23F218CE" w14:textId="77777777" w:rsidR="00844A94" w:rsidRPr="00F80ECD" w:rsidRDefault="00844A94" w:rsidP="00844A94">
            <w:pPr>
              <w:widowControl w:val="0"/>
              <w:spacing w:after="0"/>
              <w:rPr>
                <w:rFonts w:cs="Times New Roman"/>
                <w:b/>
                <w:bCs/>
                <w:sz w:val="22"/>
              </w:rPr>
            </w:pPr>
            <w:r w:rsidRPr="00F80ECD">
              <w:rPr>
                <w:rFonts w:cs="Times New Roman"/>
                <w:b/>
                <w:bCs/>
                <w:sz w:val="22"/>
              </w:rPr>
              <w:t>Main Risk</w:t>
            </w:r>
          </w:p>
        </w:tc>
      </w:tr>
      <w:tr w:rsidR="00844A94" w:rsidRPr="00F80ECD" w14:paraId="2222A92D" w14:textId="77777777" w:rsidTr="0071035D">
        <w:trPr>
          <w:jc w:val="center"/>
        </w:trPr>
        <w:tc>
          <w:tcPr>
            <w:tcW w:w="2412" w:type="dxa"/>
            <w:vAlign w:val="center"/>
          </w:tcPr>
          <w:p w14:paraId="51065279" w14:textId="77777777" w:rsidR="00844A94" w:rsidRPr="00F80ECD" w:rsidRDefault="00844A94" w:rsidP="00844A94">
            <w:pPr>
              <w:widowControl w:val="0"/>
              <w:spacing w:after="0"/>
              <w:rPr>
                <w:rFonts w:cs="Times New Roman"/>
                <w:sz w:val="22"/>
              </w:rPr>
            </w:pPr>
            <w:r w:rsidRPr="00F80ECD">
              <w:rPr>
                <w:rFonts w:cs="Times New Roman"/>
                <w:sz w:val="22"/>
              </w:rPr>
              <w:t>Equal Weight</w:t>
            </w:r>
          </w:p>
        </w:tc>
        <w:tc>
          <w:tcPr>
            <w:tcW w:w="2412" w:type="dxa"/>
            <w:vAlign w:val="center"/>
          </w:tcPr>
          <w:p w14:paraId="7A96C019" w14:textId="77777777" w:rsidR="00844A94" w:rsidRPr="00F80ECD" w:rsidRDefault="00844A94" w:rsidP="00844A94">
            <w:pPr>
              <w:widowControl w:val="0"/>
              <w:spacing w:after="0"/>
              <w:rPr>
                <w:rFonts w:cs="Times New Roman"/>
                <w:sz w:val="22"/>
              </w:rPr>
            </w:pPr>
            <w:r w:rsidRPr="00F80ECD">
              <w:rPr>
                <w:rFonts w:eastAsia="Times New Roman" w:cs="Times New Roman"/>
                <w:sz w:val="22"/>
              </w:rPr>
              <w:t>1/n allocation</w:t>
            </w:r>
          </w:p>
        </w:tc>
        <w:tc>
          <w:tcPr>
            <w:tcW w:w="2412" w:type="dxa"/>
            <w:vAlign w:val="center"/>
          </w:tcPr>
          <w:p w14:paraId="04547E9D" w14:textId="77777777" w:rsidR="00844A94" w:rsidRPr="00F80ECD" w:rsidRDefault="00844A94" w:rsidP="00844A94">
            <w:pPr>
              <w:widowControl w:val="0"/>
              <w:spacing w:after="0"/>
              <w:rPr>
                <w:rFonts w:cs="Times New Roman"/>
                <w:sz w:val="22"/>
              </w:rPr>
            </w:pPr>
            <w:r w:rsidRPr="00F80ECD">
              <w:rPr>
                <w:rFonts w:cs="Times New Roman"/>
                <w:sz w:val="22"/>
              </w:rPr>
              <w:t>Minimal estimation dependence and broad diversification</w:t>
            </w:r>
          </w:p>
        </w:tc>
        <w:tc>
          <w:tcPr>
            <w:tcW w:w="2412" w:type="dxa"/>
            <w:vAlign w:val="center"/>
          </w:tcPr>
          <w:p w14:paraId="388A065B" w14:textId="77777777" w:rsidR="00844A94" w:rsidRPr="00F80ECD" w:rsidRDefault="00844A94" w:rsidP="00844A94">
            <w:pPr>
              <w:widowControl w:val="0"/>
              <w:spacing w:after="0"/>
              <w:rPr>
                <w:rFonts w:cs="Times New Roman"/>
                <w:sz w:val="22"/>
              </w:rPr>
            </w:pPr>
            <w:r w:rsidRPr="00F80ECD">
              <w:rPr>
                <w:rFonts w:cs="Times New Roman"/>
                <w:sz w:val="22"/>
              </w:rPr>
              <w:t>Does not respond directly to differences in risk</w:t>
            </w:r>
          </w:p>
        </w:tc>
      </w:tr>
      <w:tr w:rsidR="00844A94" w:rsidRPr="00F80ECD" w14:paraId="7A191115" w14:textId="77777777" w:rsidTr="0071035D">
        <w:trPr>
          <w:jc w:val="center"/>
        </w:trPr>
        <w:tc>
          <w:tcPr>
            <w:tcW w:w="2412" w:type="dxa"/>
            <w:vAlign w:val="center"/>
          </w:tcPr>
          <w:p w14:paraId="26C0EE34" w14:textId="77777777" w:rsidR="00844A94" w:rsidRPr="00F80ECD" w:rsidRDefault="00844A94" w:rsidP="00844A94">
            <w:pPr>
              <w:widowControl w:val="0"/>
              <w:spacing w:after="0"/>
              <w:rPr>
                <w:rFonts w:cs="Times New Roman"/>
                <w:sz w:val="22"/>
              </w:rPr>
            </w:pPr>
            <w:r w:rsidRPr="00F80ECD">
              <w:rPr>
                <w:rFonts w:cs="Times New Roman"/>
                <w:sz w:val="22"/>
              </w:rPr>
              <w:t>Minimum Variance</w:t>
            </w:r>
          </w:p>
        </w:tc>
        <w:tc>
          <w:tcPr>
            <w:tcW w:w="2412" w:type="dxa"/>
            <w:vAlign w:val="center"/>
          </w:tcPr>
          <w:p w14:paraId="527F05F9" w14:textId="77777777" w:rsidR="00844A94" w:rsidRPr="00F80ECD" w:rsidRDefault="00844A94" w:rsidP="00844A94">
            <w:pPr>
              <w:widowControl w:val="0"/>
              <w:spacing w:after="0"/>
              <w:rPr>
                <w:rFonts w:cs="Times New Roman"/>
                <w:sz w:val="22"/>
              </w:rPr>
            </w:pPr>
            <w:r w:rsidRPr="00F80ECD">
              <w:rPr>
                <w:rFonts w:cs="Times New Roman"/>
                <w:sz w:val="22"/>
              </w:rPr>
              <w:t xml:space="preserve">Minimize </w:t>
            </w:r>
            <m:oMath>
              <m:r>
                <w:rPr>
                  <w:rFonts w:ascii="Cambria Math" w:hAnsi="Cambria Math" w:cs="Times New Roman"/>
                  <w:sz w:val="22"/>
                </w:rPr>
                <m:t>w'Σw</m:t>
              </m:r>
            </m:oMath>
          </w:p>
        </w:tc>
        <w:tc>
          <w:tcPr>
            <w:tcW w:w="2412" w:type="dxa"/>
            <w:vAlign w:val="center"/>
          </w:tcPr>
          <w:p w14:paraId="6E150D6D" w14:textId="77777777" w:rsidR="00844A94" w:rsidRPr="00F80ECD" w:rsidRDefault="00844A94" w:rsidP="00844A94">
            <w:pPr>
              <w:widowControl w:val="0"/>
              <w:spacing w:after="0"/>
              <w:rPr>
                <w:rFonts w:cs="Times New Roman"/>
                <w:sz w:val="22"/>
              </w:rPr>
            </w:pPr>
            <w:r w:rsidRPr="00F80ECD">
              <w:rPr>
                <w:rFonts w:cs="Times New Roman"/>
                <w:sz w:val="22"/>
              </w:rPr>
              <w:t>Targets low</w:t>
            </w:r>
            <w:r w:rsidRPr="00F80ECD">
              <w:rPr>
                <w:rFonts w:cs="Times New Roman"/>
                <w:sz w:val="22"/>
                <w:lang w:eastAsia="zh-CN"/>
              </w:rPr>
              <w:t>est</w:t>
            </w:r>
            <w:r w:rsidRPr="00F80ECD">
              <w:rPr>
                <w:rFonts w:cs="Times New Roman"/>
                <w:sz w:val="22"/>
              </w:rPr>
              <w:t xml:space="preserve"> </w:t>
            </w:r>
            <w:proofErr w:type="spellStart"/>
            <w:r w:rsidRPr="00F80ECD">
              <w:rPr>
                <w:rFonts w:cs="Times New Roman"/>
                <w:sz w:val="22"/>
              </w:rPr>
              <w:t>realised</w:t>
            </w:r>
            <w:proofErr w:type="spellEnd"/>
            <w:r w:rsidRPr="00F80ECD">
              <w:rPr>
                <w:rFonts w:cs="Times New Roman"/>
                <w:sz w:val="22"/>
              </w:rPr>
              <w:t xml:space="preserve"> portfolio volatility</w:t>
            </w:r>
          </w:p>
        </w:tc>
        <w:tc>
          <w:tcPr>
            <w:tcW w:w="2412" w:type="dxa"/>
            <w:vAlign w:val="center"/>
          </w:tcPr>
          <w:p w14:paraId="38B104FC" w14:textId="77777777" w:rsidR="00844A94" w:rsidRPr="00F80ECD" w:rsidRDefault="00844A94" w:rsidP="00844A94">
            <w:pPr>
              <w:widowControl w:val="0"/>
              <w:spacing w:after="0"/>
              <w:rPr>
                <w:rFonts w:cs="Times New Roman"/>
                <w:sz w:val="22"/>
              </w:rPr>
            </w:pPr>
            <w:r w:rsidRPr="00F80ECD">
              <w:rPr>
                <w:rFonts w:cs="Times New Roman"/>
                <w:sz w:val="22"/>
              </w:rPr>
              <w:t>Can concentrate in low-volatility assets; covariance estimates can be unstable</w:t>
            </w:r>
          </w:p>
        </w:tc>
      </w:tr>
      <w:tr w:rsidR="00844A94" w:rsidRPr="00F80ECD" w14:paraId="2206B609" w14:textId="77777777" w:rsidTr="0071035D">
        <w:trPr>
          <w:jc w:val="center"/>
        </w:trPr>
        <w:tc>
          <w:tcPr>
            <w:tcW w:w="2412" w:type="dxa"/>
            <w:vAlign w:val="center"/>
          </w:tcPr>
          <w:p w14:paraId="2EB15528" w14:textId="77777777" w:rsidR="00844A94" w:rsidRPr="00F80ECD" w:rsidRDefault="00844A94" w:rsidP="00844A94">
            <w:pPr>
              <w:widowControl w:val="0"/>
              <w:spacing w:after="0"/>
              <w:rPr>
                <w:rFonts w:cs="Times New Roman"/>
                <w:sz w:val="22"/>
              </w:rPr>
            </w:pPr>
            <w:r w:rsidRPr="00F80ECD">
              <w:rPr>
                <w:rFonts w:cs="Times New Roman"/>
                <w:sz w:val="22"/>
              </w:rPr>
              <w:t>Maximum Sharpe</w:t>
            </w:r>
          </w:p>
        </w:tc>
        <w:tc>
          <w:tcPr>
            <w:tcW w:w="2412" w:type="dxa"/>
            <w:vAlign w:val="center"/>
          </w:tcPr>
          <w:p w14:paraId="641CA30A" w14:textId="77777777" w:rsidR="00844A94" w:rsidRPr="00F80ECD" w:rsidRDefault="00844A94" w:rsidP="00844A94">
            <w:pPr>
              <w:widowControl w:val="0"/>
              <w:spacing w:after="0"/>
              <w:rPr>
                <w:rFonts w:cs="Times New Roman"/>
                <w:sz w:val="22"/>
                <w:lang w:eastAsia="zh-CN"/>
              </w:rPr>
            </w:pPr>
            <w:r w:rsidRPr="00F80ECD">
              <w:rPr>
                <w:rFonts w:cs="Times New Roman"/>
                <w:sz w:val="22"/>
              </w:rPr>
              <w:t>Maximize estimated excess return per unit of risk</w:t>
            </w:r>
            <w:r w:rsidRPr="00F80ECD">
              <w:rPr>
                <w:rFonts w:cs="Times New Roman"/>
                <w:sz w:val="22"/>
                <w:lang w:eastAsia="zh-CN"/>
              </w:rPr>
              <w:t xml:space="preserve"> </w:t>
            </w:r>
            <m:oMath>
              <m:r>
                <w:rPr>
                  <w:rFonts w:ascii="Cambria Math" w:hAnsi="Cambria Math" w:cs="Times New Roman"/>
                  <w:sz w:val="22"/>
                  <w:lang w:eastAsia="zh-CN"/>
                </w:rPr>
                <m:t>(</m:t>
              </m:r>
              <m:f>
                <m:fPr>
                  <m:ctrlPr>
                    <w:rPr>
                      <w:rFonts w:ascii="Cambria Math" w:eastAsia="Times New Roman" w:hAnsi="Cambria Math" w:cs="Times New Roman"/>
                      <w:i/>
                      <w:sz w:val="22"/>
                    </w:rPr>
                  </m:ctrlPr>
                </m:fPr>
                <m:num>
                  <m:r>
                    <w:rPr>
                      <w:rFonts w:ascii="Cambria Math" w:eastAsia="Times New Roman" w:hAnsi="Cambria Math" w:cs="Times New Roman"/>
                      <w:sz w:val="22"/>
                    </w:rPr>
                    <m:t>(μ-</m:t>
                  </m:r>
                  <m:sSub>
                    <m:sSubPr>
                      <m:ctrlPr>
                        <w:rPr>
                          <w:rFonts w:ascii="Cambria Math" w:eastAsia="Times New Roman" w:hAnsi="Cambria Math" w:cs="Times New Roman"/>
                          <w:i/>
                          <w:sz w:val="22"/>
                        </w:rPr>
                      </m:ctrlPr>
                    </m:sSubPr>
                    <m:e>
                      <m:r>
                        <w:rPr>
                          <w:rFonts w:ascii="Cambria Math" w:eastAsia="Times New Roman" w:hAnsi="Cambria Math" w:cs="Times New Roman"/>
                          <w:sz w:val="22"/>
                        </w:rPr>
                        <m:t>r</m:t>
                      </m:r>
                    </m:e>
                    <m:sub>
                      <m:r>
                        <w:rPr>
                          <w:rFonts w:ascii="Cambria Math" w:eastAsia="Times New Roman" w:hAnsi="Cambria Math" w:cs="Times New Roman"/>
                          <w:sz w:val="22"/>
                        </w:rPr>
                        <m:t>f</m:t>
                      </m:r>
                    </m:sub>
                  </m:sSub>
                  <m:r>
                    <w:rPr>
                      <w:rFonts w:ascii="Cambria Math" w:eastAsia="Times New Roman" w:hAnsi="Cambria Math" w:cs="Times New Roman"/>
                      <w:sz w:val="22"/>
                    </w:rPr>
                    <m:t>)</m:t>
                  </m:r>
                </m:num>
                <m:den>
                  <m:r>
                    <w:rPr>
                      <w:rFonts w:ascii="Cambria Math" w:eastAsia="Times New Roman" w:hAnsi="Cambria Math" w:cs="Times New Roman"/>
                      <w:sz w:val="22"/>
                    </w:rPr>
                    <m:t>σ</m:t>
                  </m:r>
                </m:den>
              </m:f>
            </m:oMath>
            <w:r w:rsidRPr="00F80ECD">
              <w:rPr>
                <w:rFonts w:cs="Times New Roman"/>
                <w:sz w:val="22"/>
                <w:lang w:eastAsia="zh-CN"/>
              </w:rPr>
              <w:t>)</w:t>
            </w:r>
          </w:p>
        </w:tc>
        <w:tc>
          <w:tcPr>
            <w:tcW w:w="2412" w:type="dxa"/>
            <w:vAlign w:val="center"/>
          </w:tcPr>
          <w:p w14:paraId="39A7A9B9" w14:textId="77777777" w:rsidR="00844A94" w:rsidRPr="00F80ECD" w:rsidRDefault="00844A94" w:rsidP="00844A94">
            <w:pPr>
              <w:widowControl w:val="0"/>
              <w:spacing w:after="0"/>
              <w:rPr>
                <w:rFonts w:cs="Times New Roman"/>
                <w:sz w:val="22"/>
              </w:rPr>
            </w:pPr>
            <w:r w:rsidRPr="00F80ECD">
              <w:rPr>
                <w:rFonts w:cs="Times New Roman"/>
                <w:sz w:val="22"/>
              </w:rPr>
              <w:t>Potentially attractive when expected returns are accurately estimated</w:t>
            </w:r>
          </w:p>
        </w:tc>
        <w:tc>
          <w:tcPr>
            <w:tcW w:w="2412" w:type="dxa"/>
            <w:vAlign w:val="center"/>
          </w:tcPr>
          <w:p w14:paraId="7026F80B" w14:textId="77777777" w:rsidR="00844A94" w:rsidRPr="00F80ECD" w:rsidRDefault="00844A94" w:rsidP="00844A94">
            <w:pPr>
              <w:widowControl w:val="0"/>
              <w:spacing w:after="0"/>
              <w:rPr>
                <w:rFonts w:cs="Times New Roman"/>
                <w:sz w:val="22"/>
              </w:rPr>
            </w:pPr>
            <w:r w:rsidRPr="00F80ECD">
              <w:rPr>
                <w:rFonts w:cs="Times New Roman"/>
                <w:sz w:val="22"/>
              </w:rPr>
              <w:t>Extremely sensitive to mean-return estimation error</w:t>
            </w:r>
          </w:p>
        </w:tc>
      </w:tr>
      <w:tr w:rsidR="00844A94" w:rsidRPr="00F80ECD" w14:paraId="3769E14A" w14:textId="77777777" w:rsidTr="0071035D">
        <w:trPr>
          <w:jc w:val="center"/>
        </w:trPr>
        <w:tc>
          <w:tcPr>
            <w:tcW w:w="2412" w:type="dxa"/>
            <w:vAlign w:val="center"/>
          </w:tcPr>
          <w:p w14:paraId="76822A4B" w14:textId="77777777" w:rsidR="00844A94" w:rsidRPr="00F80ECD" w:rsidRDefault="00844A94" w:rsidP="00844A94">
            <w:pPr>
              <w:widowControl w:val="0"/>
              <w:spacing w:after="0"/>
              <w:rPr>
                <w:rFonts w:cs="Times New Roman"/>
                <w:sz w:val="22"/>
              </w:rPr>
            </w:pPr>
            <w:r w:rsidRPr="00F80ECD">
              <w:rPr>
                <w:rFonts w:cs="Times New Roman"/>
                <w:sz w:val="22"/>
              </w:rPr>
              <w:lastRenderedPageBreak/>
              <w:t>Risk Parity</w:t>
            </w:r>
          </w:p>
        </w:tc>
        <w:tc>
          <w:tcPr>
            <w:tcW w:w="2412" w:type="dxa"/>
            <w:vAlign w:val="center"/>
          </w:tcPr>
          <w:p w14:paraId="7A9D73D5" w14:textId="77777777" w:rsidR="00844A94" w:rsidRPr="00F80ECD" w:rsidRDefault="00844A94" w:rsidP="00844A94">
            <w:pPr>
              <w:widowControl w:val="0"/>
              <w:spacing w:after="0"/>
              <w:rPr>
                <w:rFonts w:cs="Times New Roman"/>
                <w:sz w:val="22"/>
              </w:rPr>
            </w:pPr>
            <w:r w:rsidRPr="00F80ECD">
              <w:rPr>
                <w:rFonts w:cs="Times New Roman"/>
                <w:sz w:val="22"/>
              </w:rPr>
              <w:t>Equalize risk contribution</w:t>
            </w:r>
          </w:p>
        </w:tc>
        <w:tc>
          <w:tcPr>
            <w:tcW w:w="2412" w:type="dxa"/>
            <w:vAlign w:val="center"/>
          </w:tcPr>
          <w:p w14:paraId="0571A480" w14:textId="77777777" w:rsidR="00844A94" w:rsidRPr="00F80ECD" w:rsidRDefault="00844A94" w:rsidP="00844A94">
            <w:pPr>
              <w:widowControl w:val="0"/>
              <w:spacing w:after="0"/>
              <w:rPr>
                <w:rFonts w:cs="Times New Roman"/>
                <w:sz w:val="22"/>
              </w:rPr>
            </w:pPr>
            <w:r w:rsidRPr="00F80ECD">
              <w:rPr>
                <w:rFonts w:cs="Times New Roman"/>
                <w:sz w:val="22"/>
              </w:rPr>
              <w:t>Balances portfolio risk rather than capital</w:t>
            </w:r>
          </w:p>
        </w:tc>
        <w:tc>
          <w:tcPr>
            <w:tcW w:w="2412" w:type="dxa"/>
            <w:vAlign w:val="center"/>
          </w:tcPr>
          <w:p w14:paraId="73C06830" w14:textId="77777777" w:rsidR="00844A94" w:rsidRPr="00F80ECD" w:rsidRDefault="00844A94" w:rsidP="00844A94">
            <w:pPr>
              <w:widowControl w:val="0"/>
              <w:spacing w:after="0"/>
              <w:rPr>
                <w:rFonts w:cs="Times New Roman"/>
                <w:sz w:val="22"/>
              </w:rPr>
            </w:pPr>
            <w:r w:rsidRPr="00F80ECD">
              <w:rPr>
                <w:rFonts w:eastAsia="Times New Roman" w:cs="Times New Roman"/>
                <w:sz w:val="22"/>
              </w:rPr>
              <w:t>Covariance inversion unstable when correlations are high</w:t>
            </w:r>
          </w:p>
        </w:tc>
      </w:tr>
      <w:tr w:rsidR="00844A94" w:rsidRPr="00F80ECD" w14:paraId="6571913D" w14:textId="77777777" w:rsidTr="0071035D">
        <w:trPr>
          <w:jc w:val="center"/>
        </w:trPr>
        <w:tc>
          <w:tcPr>
            <w:tcW w:w="2412" w:type="dxa"/>
            <w:vAlign w:val="center"/>
          </w:tcPr>
          <w:p w14:paraId="73F4A447" w14:textId="77777777" w:rsidR="00844A94" w:rsidRPr="00F80ECD" w:rsidRDefault="00844A94" w:rsidP="00844A94">
            <w:pPr>
              <w:widowControl w:val="0"/>
              <w:spacing w:after="0"/>
              <w:rPr>
                <w:rFonts w:cs="Times New Roman"/>
                <w:sz w:val="22"/>
              </w:rPr>
            </w:pPr>
            <w:r w:rsidRPr="00F80ECD">
              <w:rPr>
                <w:rFonts w:cs="Times New Roman"/>
                <w:sz w:val="22"/>
              </w:rPr>
              <w:t>HRP</w:t>
            </w:r>
          </w:p>
        </w:tc>
        <w:tc>
          <w:tcPr>
            <w:tcW w:w="2412" w:type="dxa"/>
            <w:vAlign w:val="center"/>
          </w:tcPr>
          <w:p w14:paraId="0B4F342D" w14:textId="77777777" w:rsidR="00844A94" w:rsidRPr="00F80ECD" w:rsidRDefault="00844A94" w:rsidP="00844A94">
            <w:pPr>
              <w:widowControl w:val="0"/>
              <w:spacing w:after="0"/>
              <w:rPr>
                <w:rFonts w:cs="Times New Roman"/>
                <w:sz w:val="22"/>
              </w:rPr>
            </w:pPr>
            <w:r w:rsidRPr="00F80ECD">
              <w:rPr>
                <w:rFonts w:eastAsia="Times New Roman" w:cs="Times New Roman"/>
                <w:sz w:val="22"/>
              </w:rPr>
              <w:t>Hierarchical clustering</w:t>
            </w:r>
            <w:r w:rsidRPr="00F80ECD">
              <w:rPr>
                <w:rFonts w:cs="Times New Roman"/>
                <w:sz w:val="22"/>
              </w:rPr>
              <w:t xml:space="preserve"> assets and allocate recursively</w:t>
            </w:r>
          </w:p>
        </w:tc>
        <w:tc>
          <w:tcPr>
            <w:tcW w:w="2412" w:type="dxa"/>
            <w:vAlign w:val="center"/>
          </w:tcPr>
          <w:p w14:paraId="789169E7" w14:textId="77777777" w:rsidR="00844A94" w:rsidRPr="00F80ECD" w:rsidRDefault="00844A94" w:rsidP="00844A94">
            <w:pPr>
              <w:widowControl w:val="0"/>
              <w:spacing w:after="0"/>
              <w:rPr>
                <w:rFonts w:cs="Times New Roman"/>
                <w:sz w:val="22"/>
              </w:rPr>
            </w:pPr>
            <w:r w:rsidRPr="00F80ECD">
              <w:rPr>
                <w:rFonts w:eastAsia="Times New Roman" w:cs="Times New Roman"/>
                <w:sz w:val="22"/>
              </w:rPr>
              <w:t>No matrix inversion; robust to correlated assets</w:t>
            </w:r>
          </w:p>
        </w:tc>
        <w:tc>
          <w:tcPr>
            <w:tcW w:w="2412" w:type="dxa"/>
            <w:vAlign w:val="center"/>
          </w:tcPr>
          <w:p w14:paraId="7D98AEA9" w14:textId="77777777" w:rsidR="00844A94" w:rsidRPr="00F80ECD" w:rsidRDefault="00844A94" w:rsidP="00844A94">
            <w:pPr>
              <w:widowControl w:val="0"/>
              <w:spacing w:after="0"/>
              <w:rPr>
                <w:rFonts w:cs="Times New Roman"/>
                <w:sz w:val="22"/>
              </w:rPr>
            </w:pPr>
            <w:r w:rsidRPr="00F80ECD">
              <w:rPr>
                <w:rFonts w:cs="Times New Roman"/>
                <w:sz w:val="22"/>
              </w:rPr>
              <w:t>Clustering can miss changing market regimes</w:t>
            </w:r>
          </w:p>
        </w:tc>
      </w:tr>
    </w:tbl>
    <w:p w14:paraId="3894AC24" w14:textId="77777777" w:rsidR="00D941DB" w:rsidRPr="00F80ECD" w:rsidRDefault="00D941DB" w:rsidP="00D941DB">
      <w:pPr>
        <w:widowControl w:val="0"/>
        <w:spacing w:line="360" w:lineRule="auto"/>
        <w:ind w:firstLineChars="200" w:firstLine="480"/>
        <w:rPr>
          <w:rFonts w:cs="Times New Roman"/>
          <w:lang w:eastAsia="zh-CN"/>
        </w:rPr>
      </w:pPr>
    </w:p>
    <w:p w14:paraId="50DDB723" w14:textId="0FAB45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The "Equal Weight" strategy presents the easiest standard for comparison, since this strategy does not involve any calculations of expectations and covariance relationships. The simplicity of this approach is beneficial when operating in the markets characterized by “noise,” as the portfolio will not blindly follow assets that have shown good performance in the estimation period.</w:t>
      </w:r>
    </w:p>
    <w:p w14:paraId="64C79BB8"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However, the "Minimum Variance" strategy works in a completely different way. Unlike the strategies that try to estimate the stocks that will provide maximum return, this one tries to build a minimum variance portfolio by using the covariance matrix. In other words, it makes the model much less dependent on the forecast of the expected return but </w:t>
      </w:r>
      <w:proofErr w:type="gramStart"/>
      <w:r w:rsidRPr="00F80ECD">
        <w:rPr>
          <w:rFonts w:cs="Times New Roman"/>
          <w:lang w:eastAsia="zh-CN"/>
        </w:rPr>
        <w:t>must to</w:t>
      </w:r>
      <w:proofErr w:type="gramEnd"/>
      <w:r w:rsidRPr="00F80ECD">
        <w:rPr>
          <w:rFonts w:cs="Times New Roman"/>
          <w:lang w:eastAsia="zh-CN"/>
        </w:rPr>
        <w:t xml:space="preserve"> estimate the covariance.</w:t>
      </w:r>
    </w:p>
    <w:p w14:paraId="58ADD229"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The "Maximum Sharpe Ratio" strategy is very attractive from a theoretical point of view because it maximizes the risk-adjusted returns directly. </w:t>
      </w:r>
      <w:proofErr w:type="gramStart"/>
      <w:r w:rsidRPr="00F80ECD">
        <w:rPr>
          <w:rFonts w:cs="Times New Roman"/>
          <w:lang w:eastAsia="zh-CN"/>
        </w:rPr>
        <w:t>In reality, though</w:t>
      </w:r>
      <w:proofErr w:type="gramEnd"/>
      <w:r w:rsidRPr="00F80ECD">
        <w:rPr>
          <w:rFonts w:cs="Times New Roman"/>
          <w:lang w:eastAsia="zh-CN"/>
        </w:rPr>
        <w:t>, the expected return vector proves to be one of the hardest-to-estimate inputs. Small variations in the sample means cause huge shifts in the optimal allocations, and this issue becomes especially relevant when there are many stocks but little historical data.</w:t>
      </w:r>
    </w:p>
    <w:p w14:paraId="1F645373"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The "Risk Parity" strategy strives to achieve the condition whereby all assets contribute approximately equal amounts to the overall risk of the portfolio. Although the concept presents a practical approach to allocating risks, conventional methods of application may be numerically unstable if the covariance matrix becomes "ill-conditioned" or correlations increase among assets</w:t>
      </w:r>
      <w:r w:rsidRPr="00F80ECD">
        <w:rPr>
          <w:rFonts w:cs="Times New Roman"/>
        </w:rPr>
        <w:t xml:space="preserve"> </w:t>
      </w:r>
      <w:r w:rsidRPr="00F80ECD">
        <w:rPr>
          <w:rFonts w:cs="Times New Roman"/>
          <w:lang w:eastAsia="zh-CN"/>
        </w:rPr>
        <w:t>(López de Prado, 2016).</w:t>
      </w:r>
    </w:p>
    <w:p w14:paraId="66E23379"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HRP has been applied in the case study as an innovative allocation strategy. This technique involves grouping of the assets using distances between correlation and then performing recursive allocation (Lopez de Prado, 2016). The fact that HRP technique does not involve inversion of the entire covariance matrix makes the technique highly suitable in cases where </w:t>
      </w:r>
      <w:r w:rsidRPr="00F80ECD">
        <w:rPr>
          <w:rFonts w:cs="Times New Roman"/>
          <w:lang w:eastAsia="zh-CN"/>
        </w:rPr>
        <w:lastRenderedPageBreak/>
        <w:t>there exist high asset correlations. Although the technique is not necessarily the best for maximizing profits, it improves allocation techniques.</w:t>
      </w:r>
    </w:p>
    <w:p w14:paraId="0EDD9ADA" w14:textId="77777777" w:rsidR="00844A94" w:rsidRPr="00F80ECD" w:rsidRDefault="00844A94" w:rsidP="00D941DB">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F80ECD">
        <w:rPr>
          <w:rFonts w:ascii="Times New Roman" w:hAnsi="Times New Roman" w:cs="Times New Roman"/>
          <w:color w:val="000000" w:themeColor="text1"/>
          <w:sz w:val="36"/>
          <w:szCs w:val="36"/>
        </w:rPr>
        <w:t>1.3 Walk-Forward Out-of-Sample Design</w:t>
      </w:r>
    </w:p>
    <w:p w14:paraId="668A5444"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Performance comparisons will be highly dependent upon the </w:t>
      </w:r>
      <w:proofErr w:type="spellStart"/>
      <w:r w:rsidRPr="00F80ECD">
        <w:rPr>
          <w:rFonts w:cs="Times New Roman"/>
          <w:lang w:eastAsia="zh-CN"/>
        </w:rPr>
        <w:t>backtesting</w:t>
      </w:r>
      <w:proofErr w:type="spellEnd"/>
      <w:r w:rsidRPr="00F80ECD">
        <w:rPr>
          <w:rFonts w:cs="Times New Roman"/>
          <w:lang w:eastAsia="zh-CN"/>
        </w:rPr>
        <w:t xml:space="preserve"> process used. Using information in the future for strategy evaluation purposes can lead to excellent but worthless results. For this reason, the study makes use of a walk-forward out-of-sample testing methodology. Portfolio weights will be computed using only past information up to the rebalancing period and will not be changed until the following rebalance is performed.</w:t>
      </w:r>
    </w:p>
    <w:p w14:paraId="63CFA1F2" w14:textId="77777777" w:rsidR="00844A94" w:rsidRPr="00F80ECD" w:rsidRDefault="00844A94" w:rsidP="00D941DB">
      <w:pPr>
        <w:widowControl w:val="0"/>
        <w:spacing w:after="0" w:line="360" w:lineRule="auto"/>
        <w:ind w:firstLineChars="200" w:firstLine="480"/>
        <w:rPr>
          <w:rFonts w:cs="Times New Roman"/>
          <w:lang w:eastAsia="zh-CN"/>
        </w:rPr>
      </w:pPr>
      <w:r w:rsidRPr="00F80ECD">
        <w:rPr>
          <w:rFonts w:cs="Times New Roman"/>
          <w:lang w:eastAsia="zh-CN"/>
        </w:rPr>
        <w:t>•</w:t>
      </w:r>
      <w:r w:rsidRPr="00F80ECD">
        <w:rPr>
          <w:rFonts w:cs="Times New Roman"/>
          <w:lang w:eastAsia="zh-CN"/>
        </w:rPr>
        <w:tab/>
        <w:t>Estimation window:504 trading days, approximately two years.</w:t>
      </w:r>
    </w:p>
    <w:p w14:paraId="2F84BAAD" w14:textId="77777777" w:rsidR="00844A94" w:rsidRPr="00F80ECD" w:rsidRDefault="00844A94" w:rsidP="00D941DB">
      <w:pPr>
        <w:widowControl w:val="0"/>
        <w:spacing w:after="0" w:line="360" w:lineRule="auto"/>
        <w:ind w:firstLineChars="200" w:firstLine="480"/>
        <w:rPr>
          <w:rFonts w:cs="Times New Roman"/>
          <w:lang w:eastAsia="zh-CN"/>
        </w:rPr>
      </w:pPr>
      <w:r w:rsidRPr="00F80ECD">
        <w:rPr>
          <w:rFonts w:cs="Times New Roman"/>
          <w:lang w:eastAsia="zh-CN"/>
        </w:rPr>
        <w:t>•</w:t>
      </w:r>
      <w:r w:rsidRPr="00F80ECD">
        <w:rPr>
          <w:rFonts w:cs="Times New Roman"/>
          <w:lang w:eastAsia="zh-CN"/>
        </w:rPr>
        <w:tab/>
        <w:t>First live date:3 January 2022 for Equity and Combined funds, and 20 May 2021 for Crypto.</w:t>
      </w:r>
    </w:p>
    <w:p w14:paraId="11FA38B2" w14:textId="03CAE502" w:rsidR="00844A94" w:rsidRPr="00F80ECD" w:rsidRDefault="00844A94" w:rsidP="00D941DB">
      <w:pPr>
        <w:widowControl w:val="0"/>
        <w:spacing w:after="0" w:line="360" w:lineRule="auto"/>
        <w:ind w:firstLineChars="200" w:firstLine="480"/>
        <w:rPr>
          <w:rFonts w:cs="Times New Roman"/>
          <w:lang w:eastAsia="zh-CN"/>
        </w:rPr>
      </w:pPr>
      <w:r w:rsidRPr="00F80ECD">
        <w:rPr>
          <w:rFonts w:cs="Times New Roman"/>
          <w:lang w:eastAsia="zh-CN"/>
        </w:rPr>
        <w:t>•</w:t>
      </w:r>
      <w:r w:rsidRPr="00F80ECD">
        <w:rPr>
          <w:rFonts w:cs="Times New Roman"/>
          <w:lang w:eastAsia="zh-CN"/>
        </w:rPr>
        <w:tab/>
        <w:t>Rebalancing:</w:t>
      </w:r>
      <w:r w:rsidR="00687D43" w:rsidRPr="00F80ECD">
        <w:t xml:space="preserve"> every 21 </w:t>
      </w:r>
      <w:r w:rsidRPr="00F80ECD">
        <w:rPr>
          <w:rFonts w:cs="Times New Roman"/>
          <w:lang w:eastAsia="zh-CN"/>
        </w:rPr>
        <w:t xml:space="preserve">trading days. </w:t>
      </w:r>
    </w:p>
    <w:p w14:paraId="475DC0D5" w14:textId="77777777" w:rsidR="00844A94" w:rsidRPr="00F80ECD" w:rsidRDefault="00844A94" w:rsidP="00D941DB">
      <w:pPr>
        <w:widowControl w:val="0"/>
        <w:spacing w:after="0" w:line="360" w:lineRule="auto"/>
        <w:ind w:firstLineChars="200" w:firstLine="480"/>
        <w:rPr>
          <w:rFonts w:cs="Times New Roman"/>
          <w:lang w:eastAsia="zh-CN"/>
        </w:rPr>
      </w:pPr>
      <w:r w:rsidRPr="00F80ECD">
        <w:rPr>
          <w:rFonts w:cs="Times New Roman"/>
          <w:lang w:eastAsia="zh-CN"/>
        </w:rPr>
        <w:t>•</w:t>
      </w:r>
      <w:r w:rsidRPr="00F80ECD">
        <w:rPr>
          <w:rFonts w:cs="Times New Roman"/>
          <w:lang w:eastAsia="zh-CN"/>
        </w:rPr>
        <w:tab/>
        <w:t>Annualisation:252 trading days for Equity and Combined funds;365 days for Crypto funds to reflect its seven-day trading calendar.</w:t>
      </w:r>
    </w:p>
    <w:p w14:paraId="72BB7FBF" w14:textId="77777777" w:rsidR="00844A94" w:rsidRPr="00F80ECD" w:rsidRDefault="00844A94" w:rsidP="00D941DB">
      <w:pPr>
        <w:widowControl w:val="0"/>
        <w:spacing w:after="0" w:line="360" w:lineRule="auto"/>
        <w:ind w:firstLineChars="200" w:firstLine="480"/>
        <w:rPr>
          <w:rFonts w:cs="Times New Roman"/>
          <w:lang w:eastAsia="zh-CN"/>
        </w:rPr>
      </w:pPr>
      <w:r w:rsidRPr="00F80ECD">
        <w:rPr>
          <w:rFonts w:cs="Times New Roman"/>
          <w:lang w:eastAsia="zh-CN"/>
        </w:rPr>
        <w:t>•</w:t>
      </w:r>
      <w:r w:rsidRPr="00F80ECD">
        <w:rPr>
          <w:rFonts w:cs="Times New Roman"/>
          <w:lang w:eastAsia="zh-CN"/>
        </w:rPr>
        <w:tab/>
        <w:t>Risk-free rate:0%, as a stated simplifying assumption.</w:t>
      </w:r>
    </w:p>
    <w:p w14:paraId="1E20B075"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w:t>
      </w:r>
      <w:r w:rsidRPr="00F80ECD">
        <w:rPr>
          <w:rFonts w:cs="Times New Roman"/>
          <w:lang w:eastAsia="zh-CN"/>
        </w:rPr>
        <w:tab/>
        <w:t>Transaction costs:0%, also treated as an explicit simplifying assumption.</w:t>
      </w:r>
    </w:p>
    <w:p w14:paraId="671E4BE6" w14:textId="77777777" w:rsidR="00844A94" w:rsidRPr="00F80ECD" w:rsidRDefault="00844A94" w:rsidP="00D941DB">
      <w:pPr>
        <w:widowControl w:val="0"/>
        <w:spacing w:line="360" w:lineRule="auto"/>
        <w:ind w:firstLineChars="200" w:firstLine="480"/>
        <w:rPr>
          <w:rFonts w:cs="Times New Roman"/>
          <w:lang w:eastAsia="zh-CN"/>
        </w:rPr>
      </w:pPr>
      <w:r w:rsidRPr="00F80ECD">
        <w:rPr>
          <w:rFonts w:cs="Times New Roman"/>
          <w:lang w:eastAsia="zh-CN"/>
        </w:rPr>
        <w:t xml:space="preserve">In each rebalance, the weighting of stocks is calculated </w:t>
      </w:r>
      <w:proofErr w:type="gramStart"/>
      <w:r w:rsidRPr="00F80ECD">
        <w:rPr>
          <w:rFonts w:cs="Times New Roman"/>
          <w:lang w:eastAsia="zh-CN"/>
        </w:rPr>
        <w:t>on the basis of</w:t>
      </w:r>
      <w:proofErr w:type="gramEnd"/>
      <w:r w:rsidRPr="00F80ECD">
        <w:rPr>
          <w:rFonts w:cs="Times New Roman"/>
          <w:lang w:eastAsia="zh-CN"/>
        </w:rPr>
        <w:t xml:space="preserve"> returns of the previous 504 trading days only. The out-of-the sample period for the test ranges from the current rebalance date until the following rebalance date when the weights will be recalculated </w:t>
      </w:r>
      <w:proofErr w:type="gramStart"/>
      <w:r w:rsidRPr="00F80ECD">
        <w:rPr>
          <w:rFonts w:cs="Times New Roman"/>
          <w:lang w:eastAsia="zh-CN"/>
        </w:rPr>
        <w:t>on the basis of</w:t>
      </w:r>
      <w:proofErr w:type="gramEnd"/>
      <w:r w:rsidRPr="00F80ECD">
        <w:rPr>
          <w:rFonts w:cs="Times New Roman"/>
          <w:lang w:eastAsia="zh-CN"/>
        </w:rPr>
        <w:t xml:space="preserve"> the updated estimation period returns.</w:t>
      </w:r>
    </w:p>
    <w:p w14:paraId="105296C4" w14:textId="495C02CA" w:rsidR="00844A94" w:rsidRPr="00844A94" w:rsidRDefault="00844A94" w:rsidP="00D941DB">
      <w:pPr>
        <w:widowControl w:val="0"/>
        <w:spacing w:line="360" w:lineRule="auto"/>
        <w:ind w:firstLineChars="200" w:firstLine="480"/>
        <w:rPr>
          <w:rFonts w:cs="Times New Roman"/>
          <w:lang w:eastAsia="zh-CN"/>
        </w:rPr>
      </w:pPr>
      <w:r w:rsidRPr="00F80ECD">
        <w:rPr>
          <w:rFonts w:cs="Times New Roman"/>
          <w:lang w:eastAsia="zh-CN"/>
        </w:rPr>
        <w:t>Calendar alignment is yet another factor that needs to be considered when implementing the strategy.</w:t>
      </w:r>
      <w:r w:rsidR="004D32EE" w:rsidRPr="00F80ECD">
        <w:t xml:space="preserve"> The current </w:t>
      </w:r>
      <w:proofErr w:type="spellStart"/>
      <w:r w:rsidR="004D32EE" w:rsidRPr="00F80ECD">
        <w:t>backtest</w:t>
      </w:r>
      <w:proofErr w:type="spellEnd"/>
      <w:r w:rsidR="004D32EE" w:rsidRPr="00F80ECD">
        <w:t xml:space="preserve"> uses a stock market trading calendar with around 252 trading days per year for Equity and Combined portfolios. Crypto only portfolios retain the native </w:t>
      </w:r>
      <w:r w:rsidR="009469EE" w:rsidRPr="00F80ECD">
        <w:t>seven-day</w:t>
      </w:r>
      <w:r w:rsidR="004D32EE" w:rsidRPr="00F80ECD">
        <w:t xml:space="preserve"> cryptocurrency calendar. For Combined portfolios, the return data for cryptocurrencies is matched against this calendar through a left join operation. Thus, price changes of cryptocurrencies happening only over the weekend period are not part of the Combined portfolio return sequence. Although this approach limits the ability of the cryptocurrency component within Combined portfolios to include all possible weekly price changes, it provides a consistent </w:t>
      </w:r>
      <w:r w:rsidR="004D32EE" w:rsidRPr="00F80ECD">
        <w:lastRenderedPageBreak/>
        <w:t>trading setup for comparing different portfolios</w:t>
      </w:r>
      <w:r w:rsidRPr="00F80ECD">
        <w:rPr>
          <w:rFonts w:cs="Times New Roman"/>
          <w:lang w:eastAsia="zh-CN"/>
        </w:rPr>
        <w:t>.</w:t>
      </w:r>
    </w:p>
    <w:p w14:paraId="4B6E995F" w14:textId="77777777" w:rsidR="00844A94" w:rsidRPr="00844A94" w:rsidRDefault="00844A94" w:rsidP="00D941DB">
      <w:pPr>
        <w:pStyle w:val="1"/>
        <w:keepNext w:val="0"/>
        <w:keepLines w:val="0"/>
        <w:widowControl w:val="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2. Out-of-Sample Results and Fund Fact Sheets</w:t>
      </w:r>
    </w:p>
    <w:p w14:paraId="6CFEA5E1" w14:textId="77777777" w:rsidR="00844A94" w:rsidRPr="00844A94" w:rsidRDefault="00844A94" w:rsidP="00D941DB">
      <w:pPr>
        <w:pStyle w:val="2"/>
        <w:keepNext w:val="0"/>
        <w:keepLines w:val="0"/>
        <w:widowControl w:val="0"/>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2.1 Performance Overview</w:t>
      </w:r>
    </w:p>
    <w:p w14:paraId="002E96D0" w14:textId="77777777" w:rsidR="00844A94" w:rsidRPr="00844A94" w:rsidRDefault="00844A94" w:rsidP="00844A94">
      <w:pPr>
        <w:widowControl w:val="0"/>
        <w:spacing w:after="0"/>
        <w:rPr>
          <w:rFonts w:cs="Times New Roman"/>
          <w:i/>
          <w:sz w:val="22"/>
        </w:rPr>
      </w:pPr>
      <w:r w:rsidRPr="00844A94">
        <w:rPr>
          <w:rFonts w:cs="Times New Roman"/>
          <w:b/>
          <w:bCs/>
          <w:sz w:val="22"/>
        </w:rPr>
        <w:t xml:space="preserve">Table </w:t>
      </w:r>
      <w:r w:rsidRPr="00844A94">
        <w:rPr>
          <w:rFonts w:cs="Times New Roman"/>
          <w:b/>
          <w:bCs/>
          <w:sz w:val="22"/>
          <w:lang w:eastAsia="zh-CN"/>
        </w:rPr>
        <w:t>2</w:t>
      </w:r>
      <w:r w:rsidRPr="00844A94">
        <w:rPr>
          <w:rFonts w:cs="Times New Roman"/>
          <w:b/>
          <w:bCs/>
          <w:sz w:val="22"/>
        </w:rPr>
        <w:t>:</w:t>
      </w:r>
      <w:r w:rsidRPr="00844A94">
        <w:rPr>
          <w:rFonts w:cs="Times New Roman"/>
          <w:sz w:val="22"/>
        </w:rPr>
        <w:t xml:space="preserve"> </w:t>
      </w:r>
      <w:r w:rsidRPr="00844A94">
        <w:rPr>
          <w:rFonts w:cs="Times New Roman"/>
          <w:i/>
          <w:sz w:val="22"/>
        </w:rPr>
        <w:t xml:space="preserve">Performance Metrics by Fund and Method </w:t>
      </w:r>
    </w:p>
    <w:tbl>
      <w:tblPr>
        <w:tblStyle w:val="af4"/>
        <w:tblW w:w="9918" w:type="dxa"/>
        <w:jc w:val="center"/>
        <w:tblLook w:val="04A0" w:firstRow="1" w:lastRow="0" w:firstColumn="1" w:lastColumn="0" w:noHBand="0" w:noVBand="1"/>
      </w:tblPr>
      <w:tblGrid>
        <w:gridCol w:w="1564"/>
        <w:gridCol w:w="1563"/>
        <w:gridCol w:w="1546"/>
        <w:gridCol w:w="1701"/>
        <w:gridCol w:w="1559"/>
        <w:gridCol w:w="1985"/>
      </w:tblGrid>
      <w:tr w:rsidR="008A37CD" w:rsidRPr="008A37CD" w14:paraId="68BC2833" w14:textId="77777777" w:rsidTr="008A37CD">
        <w:trPr>
          <w:jc w:val="center"/>
        </w:trPr>
        <w:tc>
          <w:tcPr>
            <w:tcW w:w="1564" w:type="dxa"/>
            <w:shd w:val="clear" w:color="auto" w:fill="D9E2F3"/>
          </w:tcPr>
          <w:p w14:paraId="692E75EA" w14:textId="77777777" w:rsidR="008A37CD" w:rsidRPr="008A37CD" w:rsidRDefault="008A37CD" w:rsidP="0071035D">
            <w:pPr>
              <w:spacing w:after="0"/>
              <w:rPr>
                <w:rFonts w:cs="Times New Roman"/>
                <w:b/>
                <w:bCs/>
                <w:sz w:val="22"/>
              </w:rPr>
            </w:pPr>
            <w:r w:rsidRPr="008A37CD">
              <w:rPr>
                <w:rFonts w:cs="Times New Roman"/>
                <w:b/>
                <w:bCs/>
                <w:sz w:val="22"/>
              </w:rPr>
              <w:t>Family</w:t>
            </w:r>
          </w:p>
        </w:tc>
        <w:tc>
          <w:tcPr>
            <w:tcW w:w="1563" w:type="dxa"/>
            <w:shd w:val="clear" w:color="auto" w:fill="D9E2F3"/>
          </w:tcPr>
          <w:p w14:paraId="366E7FA1" w14:textId="77777777" w:rsidR="008A37CD" w:rsidRPr="008A37CD" w:rsidRDefault="008A37CD" w:rsidP="0071035D">
            <w:pPr>
              <w:spacing w:after="0"/>
              <w:rPr>
                <w:rFonts w:cs="Times New Roman"/>
                <w:b/>
                <w:bCs/>
                <w:sz w:val="22"/>
              </w:rPr>
            </w:pPr>
            <w:r w:rsidRPr="008A37CD">
              <w:rPr>
                <w:rFonts w:cs="Times New Roman"/>
                <w:b/>
                <w:bCs/>
                <w:sz w:val="22"/>
              </w:rPr>
              <w:t>Method</w:t>
            </w:r>
          </w:p>
        </w:tc>
        <w:tc>
          <w:tcPr>
            <w:tcW w:w="1546" w:type="dxa"/>
            <w:shd w:val="clear" w:color="auto" w:fill="D9E2F3"/>
          </w:tcPr>
          <w:p w14:paraId="4823135D" w14:textId="77777777" w:rsidR="008A37CD" w:rsidRPr="008A37CD" w:rsidRDefault="008A37CD" w:rsidP="0071035D">
            <w:pPr>
              <w:spacing w:after="0"/>
              <w:rPr>
                <w:rFonts w:cs="Times New Roman"/>
                <w:b/>
                <w:bCs/>
                <w:sz w:val="22"/>
              </w:rPr>
            </w:pPr>
            <w:r w:rsidRPr="008A37CD">
              <w:rPr>
                <w:rFonts w:cs="Times New Roman"/>
                <w:b/>
                <w:bCs/>
                <w:sz w:val="22"/>
              </w:rPr>
              <w:t>Ann. Return</w:t>
            </w:r>
          </w:p>
        </w:tc>
        <w:tc>
          <w:tcPr>
            <w:tcW w:w="1701" w:type="dxa"/>
            <w:shd w:val="clear" w:color="auto" w:fill="D9E2F3"/>
          </w:tcPr>
          <w:p w14:paraId="04AAA264" w14:textId="77777777" w:rsidR="008A37CD" w:rsidRPr="008A37CD" w:rsidRDefault="008A37CD" w:rsidP="0071035D">
            <w:pPr>
              <w:spacing w:after="0"/>
              <w:rPr>
                <w:rFonts w:eastAsia="宋体" w:cs="Times New Roman"/>
                <w:b/>
                <w:bCs/>
                <w:sz w:val="22"/>
                <w:lang w:eastAsia="zh-CN"/>
              </w:rPr>
            </w:pPr>
            <w:r w:rsidRPr="008A37CD">
              <w:rPr>
                <w:rFonts w:cs="Times New Roman"/>
                <w:b/>
                <w:bCs/>
                <w:sz w:val="22"/>
              </w:rPr>
              <w:t>Ann. Vol</w:t>
            </w:r>
            <w:r w:rsidRPr="008A37CD">
              <w:rPr>
                <w:rFonts w:eastAsia="宋体" w:cs="Times New Roman"/>
                <w:b/>
                <w:bCs/>
                <w:sz w:val="22"/>
                <w:lang w:eastAsia="zh-CN"/>
              </w:rPr>
              <w:t>atility</w:t>
            </w:r>
          </w:p>
        </w:tc>
        <w:tc>
          <w:tcPr>
            <w:tcW w:w="1559" w:type="dxa"/>
            <w:shd w:val="clear" w:color="auto" w:fill="D9E2F3"/>
          </w:tcPr>
          <w:p w14:paraId="2124945F" w14:textId="77777777" w:rsidR="008A37CD" w:rsidRPr="008A37CD" w:rsidRDefault="008A37CD" w:rsidP="0071035D">
            <w:pPr>
              <w:spacing w:after="0"/>
              <w:rPr>
                <w:rFonts w:eastAsia="宋体" w:cs="Times New Roman"/>
                <w:b/>
                <w:bCs/>
                <w:sz w:val="22"/>
                <w:lang w:eastAsia="zh-CN"/>
              </w:rPr>
            </w:pPr>
            <w:r w:rsidRPr="008A37CD">
              <w:rPr>
                <w:rFonts w:cs="Times New Roman"/>
                <w:b/>
                <w:bCs/>
                <w:sz w:val="22"/>
              </w:rPr>
              <w:t>Sharpe</w:t>
            </w:r>
            <w:r w:rsidRPr="008A37CD">
              <w:rPr>
                <w:rFonts w:eastAsia="宋体" w:cs="Times New Roman"/>
                <w:b/>
                <w:bCs/>
                <w:sz w:val="22"/>
                <w:lang w:eastAsia="zh-CN"/>
              </w:rPr>
              <w:t xml:space="preserve"> Ratio</w:t>
            </w:r>
          </w:p>
        </w:tc>
        <w:tc>
          <w:tcPr>
            <w:tcW w:w="1985" w:type="dxa"/>
            <w:shd w:val="clear" w:color="auto" w:fill="D9E2F3"/>
          </w:tcPr>
          <w:p w14:paraId="135CC347" w14:textId="77777777" w:rsidR="008A37CD" w:rsidRPr="008A37CD" w:rsidRDefault="008A37CD" w:rsidP="0071035D">
            <w:pPr>
              <w:spacing w:after="0"/>
              <w:rPr>
                <w:rFonts w:cs="Times New Roman"/>
                <w:b/>
                <w:bCs/>
                <w:sz w:val="22"/>
              </w:rPr>
            </w:pPr>
            <w:r w:rsidRPr="008A37CD">
              <w:rPr>
                <w:rFonts w:cs="Times New Roman"/>
                <w:b/>
                <w:bCs/>
                <w:sz w:val="22"/>
              </w:rPr>
              <w:t>Max Drawdown</w:t>
            </w:r>
          </w:p>
        </w:tc>
      </w:tr>
      <w:tr w:rsidR="008A37CD" w:rsidRPr="008A37CD" w14:paraId="767DDD7F" w14:textId="77777777" w:rsidTr="008A37CD">
        <w:trPr>
          <w:jc w:val="center"/>
        </w:trPr>
        <w:tc>
          <w:tcPr>
            <w:tcW w:w="1564" w:type="dxa"/>
          </w:tcPr>
          <w:p w14:paraId="155F0937" w14:textId="77777777" w:rsidR="008A37CD" w:rsidRPr="008A37CD" w:rsidRDefault="008A37CD" w:rsidP="0071035D">
            <w:pPr>
              <w:spacing w:after="0"/>
              <w:rPr>
                <w:rFonts w:cs="Times New Roman"/>
                <w:sz w:val="22"/>
              </w:rPr>
            </w:pPr>
            <w:r w:rsidRPr="008A37CD">
              <w:rPr>
                <w:rFonts w:cs="Times New Roman"/>
                <w:sz w:val="22"/>
              </w:rPr>
              <w:t>Equity</w:t>
            </w:r>
          </w:p>
        </w:tc>
        <w:tc>
          <w:tcPr>
            <w:tcW w:w="1563" w:type="dxa"/>
          </w:tcPr>
          <w:p w14:paraId="79F150E7" w14:textId="77777777" w:rsidR="008A37CD" w:rsidRPr="008A37CD" w:rsidRDefault="008A37CD" w:rsidP="0071035D">
            <w:pPr>
              <w:spacing w:after="0"/>
              <w:rPr>
                <w:rFonts w:cs="Times New Roman"/>
                <w:sz w:val="22"/>
              </w:rPr>
            </w:pPr>
            <w:r w:rsidRPr="008A37CD">
              <w:rPr>
                <w:rFonts w:cs="Times New Roman"/>
                <w:sz w:val="22"/>
              </w:rPr>
              <w:t>Equal Weight</w:t>
            </w:r>
          </w:p>
        </w:tc>
        <w:tc>
          <w:tcPr>
            <w:tcW w:w="1546" w:type="dxa"/>
          </w:tcPr>
          <w:p w14:paraId="39B9AA86" w14:textId="77777777" w:rsidR="008A37CD" w:rsidRPr="008A37CD" w:rsidRDefault="008A37CD" w:rsidP="0071035D">
            <w:pPr>
              <w:spacing w:after="0"/>
              <w:rPr>
                <w:rFonts w:cs="Times New Roman"/>
                <w:sz w:val="22"/>
              </w:rPr>
            </w:pPr>
            <w:r w:rsidRPr="008A37CD">
              <w:rPr>
                <w:rFonts w:cs="Times New Roman"/>
                <w:sz w:val="22"/>
              </w:rPr>
              <w:t>7.37%</w:t>
            </w:r>
          </w:p>
        </w:tc>
        <w:tc>
          <w:tcPr>
            <w:tcW w:w="1701" w:type="dxa"/>
          </w:tcPr>
          <w:p w14:paraId="22CFB338" w14:textId="77777777" w:rsidR="008A37CD" w:rsidRPr="008A37CD" w:rsidRDefault="008A37CD" w:rsidP="0071035D">
            <w:pPr>
              <w:spacing w:after="0"/>
              <w:rPr>
                <w:rFonts w:cs="Times New Roman"/>
                <w:sz w:val="22"/>
              </w:rPr>
            </w:pPr>
            <w:r w:rsidRPr="008A37CD">
              <w:rPr>
                <w:rFonts w:cs="Times New Roman"/>
                <w:sz w:val="22"/>
              </w:rPr>
              <w:t>17.71%</w:t>
            </w:r>
          </w:p>
        </w:tc>
        <w:tc>
          <w:tcPr>
            <w:tcW w:w="1559" w:type="dxa"/>
          </w:tcPr>
          <w:p w14:paraId="151B2B56" w14:textId="77777777" w:rsidR="008A37CD" w:rsidRPr="008A37CD" w:rsidRDefault="008A37CD" w:rsidP="0071035D">
            <w:pPr>
              <w:spacing w:after="0"/>
              <w:rPr>
                <w:rFonts w:cs="Times New Roman"/>
                <w:b/>
                <w:bCs/>
                <w:sz w:val="22"/>
              </w:rPr>
            </w:pPr>
            <w:r w:rsidRPr="008A37CD">
              <w:rPr>
                <w:rFonts w:cs="Times New Roman"/>
                <w:b/>
                <w:bCs/>
                <w:sz w:val="22"/>
              </w:rPr>
              <w:t>0.416</w:t>
            </w:r>
          </w:p>
        </w:tc>
        <w:tc>
          <w:tcPr>
            <w:tcW w:w="1985" w:type="dxa"/>
          </w:tcPr>
          <w:p w14:paraId="4E5A3A5D"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20.32%</w:t>
            </w:r>
          </w:p>
        </w:tc>
      </w:tr>
      <w:tr w:rsidR="008A37CD" w:rsidRPr="008A37CD" w14:paraId="75F7B796" w14:textId="77777777" w:rsidTr="008A37CD">
        <w:trPr>
          <w:jc w:val="center"/>
        </w:trPr>
        <w:tc>
          <w:tcPr>
            <w:tcW w:w="1564" w:type="dxa"/>
          </w:tcPr>
          <w:p w14:paraId="55A73790" w14:textId="77777777" w:rsidR="008A37CD" w:rsidRPr="008A37CD" w:rsidRDefault="008A37CD" w:rsidP="0071035D">
            <w:pPr>
              <w:spacing w:after="0"/>
              <w:rPr>
                <w:rFonts w:cs="Times New Roman"/>
                <w:sz w:val="22"/>
              </w:rPr>
            </w:pPr>
            <w:r w:rsidRPr="008A37CD">
              <w:rPr>
                <w:rFonts w:cs="Times New Roman"/>
                <w:sz w:val="22"/>
              </w:rPr>
              <w:t>Equity</w:t>
            </w:r>
          </w:p>
        </w:tc>
        <w:tc>
          <w:tcPr>
            <w:tcW w:w="1563" w:type="dxa"/>
          </w:tcPr>
          <w:p w14:paraId="0B0B74D8" w14:textId="77777777" w:rsidR="008A37CD" w:rsidRPr="008A37CD" w:rsidRDefault="008A37CD" w:rsidP="0071035D">
            <w:pPr>
              <w:spacing w:after="0"/>
              <w:rPr>
                <w:rFonts w:cs="Times New Roman"/>
                <w:sz w:val="22"/>
              </w:rPr>
            </w:pPr>
            <w:r w:rsidRPr="008A37CD">
              <w:rPr>
                <w:rFonts w:cs="Times New Roman"/>
                <w:sz w:val="22"/>
              </w:rPr>
              <w:t>Minimum Variance</w:t>
            </w:r>
          </w:p>
        </w:tc>
        <w:tc>
          <w:tcPr>
            <w:tcW w:w="1546" w:type="dxa"/>
          </w:tcPr>
          <w:p w14:paraId="518E3AAA" w14:textId="77777777" w:rsidR="008A37CD" w:rsidRPr="008A37CD" w:rsidRDefault="008A37CD" w:rsidP="0071035D">
            <w:pPr>
              <w:spacing w:after="0"/>
              <w:rPr>
                <w:rFonts w:cs="Times New Roman"/>
                <w:sz w:val="22"/>
              </w:rPr>
            </w:pPr>
            <w:r w:rsidRPr="008A37CD">
              <w:rPr>
                <w:rFonts w:cs="Times New Roman"/>
                <w:sz w:val="22"/>
              </w:rPr>
              <w:t>3.83%</w:t>
            </w:r>
          </w:p>
        </w:tc>
        <w:tc>
          <w:tcPr>
            <w:tcW w:w="1701" w:type="dxa"/>
          </w:tcPr>
          <w:p w14:paraId="586D6E70" w14:textId="77777777" w:rsidR="008A37CD" w:rsidRPr="008A37CD" w:rsidRDefault="008A37CD" w:rsidP="0071035D">
            <w:pPr>
              <w:spacing w:after="0"/>
              <w:rPr>
                <w:rFonts w:cs="Times New Roman"/>
                <w:sz w:val="22"/>
              </w:rPr>
            </w:pPr>
            <w:r w:rsidRPr="008A37CD">
              <w:rPr>
                <w:rFonts w:cs="Times New Roman"/>
                <w:sz w:val="22"/>
              </w:rPr>
              <w:t>13.50%</w:t>
            </w:r>
          </w:p>
        </w:tc>
        <w:tc>
          <w:tcPr>
            <w:tcW w:w="1559" w:type="dxa"/>
          </w:tcPr>
          <w:p w14:paraId="7932A0FE" w14:textId="77777777" w:rsidR="008A37CD" w:rsidRPr="008A37CD" w:rsidRDefault="008A37CD" w:rsidP="0071035D">
            <w:pPr>
              <w:spacing w:after="0"/>
              <w:rPr>
                <w:rFonts w:cs="Times New Roman"/>
                <w:sz w:val="22"/>
              </w:rPr>
            </w:pPr>
            <w:r w:rsidRPr="008A37CD">
              <w:rPr>
                <w:rFonts w:cs="Times New Roman"/>
                <w:sz w:val="22"/>
              </w:rPr>
              <w:t>0.284</w:t>
            </w:r>
          </w:p>
        </w:tc>
        <w:tc>
          <w:tcPr>
            <w:tcW w:w="1985" w:type="dxa"/>
          </w:tcPr>
          <w:p w14:paraId="2657161A"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16.42%</w:t>
            </w:r>
          </w:p>
        </w:tc>
      </w:tr>
      <w:tr w:rsidR="008A37CD" w:rsidRPr="008A37CD" w14:paraId="0784E53E" w14:textId="77777777" w:rsidTr="008A37CD">
        <w:trPr>
          <w:jc w:val="center"/>
        </w:trPr>
        <w:tc>
          <w:tcPr>
            <w:tcW w:w="1564" w:type="dxa"/>
          </w:tcPr>
          <w:p w14:paraId="3B4AF505" w14:textId="77777777" w:rsidR="008A37CD" w:rsidRPr="008A37CD" w:rsidRDefault="008A37CD" w:rsidP="0071035D">
            <w:pPr>
              <w:spacing w:after="0"/>
              <w:rPr>
                <w:rFonts w:cs="Times New Roman"/>
                <w:sz w:val="22"/>
              </w:rPr>
            </w:pPr>
            <w:r w:rsidRPr="008A37CD">
              <w:rPr>
                <w:rFonts w:cs="Times New Roman"/>
                <w:sz w:val="22"/>
              </w:rPr>
              <w:t>Equity</w:t>
            </w:r>
          </w:p>
        </w:tc>
        <w:tc>
          <w:tcPr>
            <w:tcW w:w="1563" w:type="dxa"/>
          </w:tcPr>
          <w:p w14:paraId="45A6A080" w14:textId="77777777" w:rsidR="008A37CD" w:rsidRPr="008A37CD" w:rsidRDefault="008A37CD" w:rsidP="0071035D">
            <w:pPr>
              <w:spacing w:after="0"/>
              <w:rPr>
                <w:rFonts w:cs="Times New Roman"/>
                <w:sz w:val="22"/>
              </w:rPr>
            </w:pPr>
            <w:r w:rsidRPr="008A37CD">
              <w:rPr>
                <w:rFonts w:cs="Times New Roman"/>
                <w:sz w:val="22"/>
              </w:rPr>
              <w:t>Risk Parity</w:t>
            </w:r>
          </w:p>
        </w:tc>
        <w:tc>
          <w:tcPr>
            <w:tcW w:w="1546" w:type="dxa"/>
          </w:tcPr>
          <w:p w14:paraId="2468269E" w14:textId="77777777" w:rsidR="008A37CD" w:rsidRPr="008A37CD" w:rsidRDefault="008A37CD" w:rsidP="0071035D">
            <w:pPr>
              <w:spacing w:after="0"/>
              <w:rPr>
                <w:rFonts w:cs="Times New Roman"/>
                <w:sz w:val="22"/>
              </w:rPr>
            </w:pPr>
            <w:r w:rsidRPr="008A37CD">
              <w:rPr>
                <w:rFonts w:cs="Times New Roman"/>
                <w:sz w:val="22"/>
              </w:rPr>
              <w:t>4.47%</w:t>
            </w:r>
          </w:p>
        </w:tc>
        <w:tc>
          <w:tcPr>
            <w:tcW w:w="1701" w:type="dxa"/>
          </w:tcPr>
          <w:p w14:paraId="4A9E4640" w14:textId="77777777" w:rsidR="008A37CD" w:rsidRPr="008A37CD" w:rsidRDefault="008A37CD" w:rsidP="0071035D">
            <w:pPr>
              <w:spacing w:after="0"/>
              <w:rPr>
                <w:rFonts w:cs="Times New Roman"/>
                <w:sz w:val="22"/>
              </w:rPr>
            </w:pPr>
            <w:r w:rsidRPr="008A37CD">
              <w:rPr>
                <w:rFonts w:cs="Times New Roman"/>
                <w:sz w:val="22"/>
              </w:rPr>
              <w:t>16.23%</w:t>
            </w:r>
          </w:p>
        </w:tc>
        <w:tc>
          <w:tcPr>
            <w:tcW w:w="1559" w:type="dxa"/>
          </w:tcPr>
          <w:p w14:paraId="34F9F0B3" w14:textId="77777777" w:rsidR="008A37CD" w:rsidRPr="008A37CD" w:rsidRDefault="008A37CD" w:rsidP="0071035D">
            <w:pPr>
              <w:spacing w:after="0"/>
              <w:rPr>
                <w:rFonts w:cs="Times New Roman"/>
                <w:sz w:val="22"/>
              </w:rPr>
            </w:pPr>
            <w:r w:rsidRPr="008A37CD">
              <w:rPr>
                <w:rFonts w:cs="Times New Roman"/>
                <w:sz w:val="22"/>
              </w:rPr>
              <w:t>0.275</w:t>
            </w:r>
          </w:p>
        </w:tc>
        <w:tc>
          <w:tcPr>
            <w:tcW w:w="1985" w:type="dxa"/>
          </w:tcPr>
          <w:p w14:paraId="7393C8A2"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18.99%</w:t>
            </w:r>
          </w:p>
        </w:tc>
      </w:tr>
      <w:tr w:rsidR="008A37CD" w:rsidRPr="008A37CD" w14:paraId="59979EA0" w14:textId="77777777" w:rsidTr="008A37CD">
        <w:trPr>
          <w:jc w:val="center"/>
        </w:trPr>
        <w:tc>
          <w:tcPr>
            <w:tcW w:w="1564" w:type="dxa"/>
          </w:tcPr>
          <w:p w14:paraId="105B2EB4" w14:textId="77777777" w:rsidR="008A37CD" w:rsidRPr="008A37CD" w:rsidRDefault="008A37CD" w:rsidP="0071035D">
            <w:pPr>
              <w:spacing w:after="0"/>
              <w:rPr>
                <w:rFonts w:cs="Times New Roman"/>
                <w:sz w:val="22"/>
              </w:rPr>
            </w:pPr>
            <w:r w:rsidRPr="008A37CD">
              <w:rPr>
                <w:rFonts w:cs="Times New Roman"/>
                <w:sz w:val="22"/>
              </w:rPr>
              <w:t>Equity</w:t>
            </w:r>
          </w:p>
        </w:tc>
        <w:tc>
          <w:tcPr>
            <w:tcW w:w="1563" w:type="dxa"/>
          </w:tcPr>
          <w:p w14:paraId="151B6531" w14:textId="77777777" w:rsidR="008A37CD" w:rsidRPr="008A37CD" w:rsidRDefault="008A37CD" w:rsidP="0071035D">
            <w:pPr>
              <w:spacing w:after="0"/>
              <w:rPr>
                <w:rFonts w:cs="Times New Roman"/>
                <w:sz w:val="22"/>
              </w:rPr>
            </w:pPr>
            <w:r w:rsidRPr="008A37CD">
              <w:rPr>
                <w:rFonts w:cs="Times New Roman"/>
                <w:sz w:val="22"/>
              </w:rPr>
              <w:t>HRP</w:t>
            </w:r>
          </w:p>
        </w:tc>
        <w:tc>
          <w:tcPr>
            <w:tcW w:w="1546" w:type="dxa"/>
          </w:tcPr>
          <w:p w14:paraId="5705CC4F" w14:textId="77777777" w:rsidR="008A37CD" w:rsidRPr="008A37CD" w:rsidRDefault="008A37CD" w:rsidP="0071035D">
            <w:pPr>
              <w:spacing w:after="0"/>
              <w:rPr>
                <w:rFonts w:cs="Times New Roman"/>
                <w:sz w:val="22"/>
              </w:rPr>
            </w:pPr>
            <w:r w:rsidRPr="008A37CD">
              <w:rPr>
                <w:rFonts w:cs="Times New Roman"/>
                <w:sz w:val="22"/>
              </w:rPr>
              <w:t>3.20%</w:t>
            </w:r>
          </w:p>
        </w:tc>
        <w:tc>
          <w:tcPr>
            <w:tcW w:w="1701" w:type="dxa"/>
          </w:tcPr>
          <w:p w14:paraId="147BE5CB" w14:textId="77777777" w:rsidR="008A37CD" w:rsidRPr="008A37CD" w:rsidRDefault="008A37CD" w:rsidP="0071035D">
            <w:pPr>
              <w:spacing w:after="0"/>
              <w:rPr>
                <w:rFonts w:cs="Times New Roman"/>
                <w:sz w:val="22"/>
              </w:rPr>
            </w:pPr>
            <w:r w:rsidRPr="008A37CD">
              <w:rPr>
                <w:rFonts w:cs="Times New Roman"/>
                <w:sz w:val="22"/>
              </w:rPr>
              <w:t>15.25%</w:t>
            </w:r>
          </w:p>
        </w:tc>
        <w:tc>
          <w:tcPr>
            <w:tcW w:w="1559" w:type="dxa"/>
          </w:tcPr>
          <w:p w14:paraId="702B5038" w14:textId="77777777" w:rsidR="008A37CD" w:rsidRPr="008A37CD" w:rsidRDefault="008A37CD" w:rsidP="0071035D">
            <w:pPr>
              <w:spacing w:after="0"/>
              <w:rPr>
                <w:rFonts w:cs="Times New Roman"/>
                <w:sz w:val="22"/>
              </w:rPr>
            </w:pPr>
            <w:r w:rsidRPr="008A37CD">
              <w:rPr>
                <w:rFonts w:cs="Times New Roman"/>
                <w:sz w:val="22"/>
              </w:rPr>
              <w:t>0.210</w:t>
            </w:r>
          </w:p>
        </w:tc>
        <w:tc>
          <w:tcPr>
            <w:tcW w:w="1985" w:type="dxa"/>
          </w:tcPr>
          <w:p w14:paraId="48B16C61"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18.26%</w:t>
            </w:r>
          </w:p>
        </w:tc>
      </w:tr>
      <w:tr w:rsidR="008A37CD" w:rsidRPr="008A37CD" w14:paraId="79195881" w14:textId="77777777" w:rsidTr="008A37CD">
        <w:trPr>
          <w:jc w:val="center"/>
        </w:trPr>
        <w:tc>
          <w:tcPr>
            <w:tcW w:w="1564" w:type="dxa"/>
          </w:tcPr>
          <w:p w14:paraId="28AD54B7" w14:textId="77777777" w:rsidR="008A37CD" w:rsidRPr="008A37CD" w:rsidRDefault="008A37CD" w:rsidP="0071035D">
            <w:pPr>
              <w:spacing w:after="0"/>
              <w:rPr>
                <w:rFonts w:cs="Times New Roman"/>
                <w:sz w:val="22"/>
              </w:rPr>
            </w:pPr>
            <w:r w:rsidRPr="008A37CD">
              <w:rPr>
                <w:rFonts w:cs="Times New Roman"/>
                <w:sz w:val="22"/>
              </w:rPr>
              <w:t>Equity</w:t>
            </w:r>
          </w:p>
        </w:tc>
        <w:tc>
          <w:tcPr>
            <w:tcW w:w="1563" w:type="dxa"/>
          </w:tcPr>
          <w:p w14:paraId="1C97BC3C" w14:textId="77777777" w:rsidR="008A37CD" w:rsidRPr="008A37CD" w:rsidRDefault="008A37CD" w:rsidP="0071035D">
            <w:pPr>
              <w:spacing w:after="0"/>
              <w:rPr>
                <w:rFonts w:cs="Times New Roman"/>
                <w:sz w:val="22"/>
              </w:rPr>
            </w:pPr>
            <w:r w:rsidRPr="008A37CD">
              <w:rPr>
                <w:rFonts w:cs="Times New Roman"/>
                <w:sz w:val="22"/>
              </w:rPr>
              <w:t>Maximum Sharpe</w:t>
            </w:r>
          </w:p>
        </w:tc>
        <w:tc>
          <w:tcPr>
            <w:tcW w:w="1546" w:type="dxa"/>
          </w:tcPr>
          <w:p w14:paraId="041D15C7"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2.66%</w:t>
            </w:r>
          </w:p>
        </w:tc>
        <w:tc>
          <w:tcPr>
            <w:tcW w:w="1701" w:type="dxa"/>
          </w:tcPr>
          <w:p w14:paraId="6AD92DCF" w14:textId="77777777" w:rsidR="008A37CD" w:rsidRPr="008A37CD" w:rsidRDefault="008A37CD" w:rsidP="0071035D">
            <w:pPr>
              <w:spacing w:after="0"/>
              <w:rPr>
                <w:rFonts w:cs="Times New Roman"/>
                <w:sz w:val="22"/>
              </w:rPr>
            </w:pPr>
            <w:r w:rsidRPr="008A37CD">
              <w:rPr>
                <w:rFonts w:cs="Times New Roman"/>
                <w:sz w:val="22"/>
              </w:rPr>
              <w:t>19.30%</w:t>
            </w:r>
          </w:p>
        </w:tc>
        <w:tc>
          <w:tcPr>
            <w:tcW w:w="1559" w:type="dxa"/>
          </w:tcPr>
          <w:p w14:paraId="28BF5915" w14:textId="77777777" w:rsidR="008A37CD" w:rsidRPr="008A37CD" w:rsidRDefault="008A37CD" w:rsidP="0071035D">
            <w:pPr>
              <w:spacing w:after="0"/>
              <w:rPr>
                <w:rFonts w:cs="Times New Roman"/>
                <w:sz w:val="22"/>
              </w:rPr>
            </w:pPr>
            <w:r w:rsidRPr="008A37CD">
              <w:rPr>
                <w:rFonts w:cs="Times New Roman"/>
                <w:sz w:val="22"/>
                <w:lang w:eastAsia="zh-CN"/>
              </w:rPr>
              <w:t>-</w:t>
            </w:r>
            <w:r w:rsidRPr="008A37CD">
              <w:rPr>
                <w:rFonts w:cs="Times New Roman"/>
                <w:sz w:val="22"/>
              </w:rPr>
              <w:t>0.138</w:t>
            </w:r>
          </w:p>
        </w:tc>
        <w:tc>
          <w:tcPr>
            <w:tcW w:w="1985" w:type="dxa"/>
          </w:tcPr>
          <w:p w14:paraId="4FC95045"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24.98%</w:t>
            </w:r>
          </w:p>
        </w:tc>
      </w:tr>
      <w:tr w:rsidR="008A37CD" w:rsidRPr="008A37CD" w14:paraId="54BA221F" w14:textId="77777777" w:rsidTr="008A37CD">
        <w:trPr>
          <w:jc w:val="center"/>
        </w:trPr>
        <w:tc>
          <w:tcPr>
            <w:tcW w:w="1564" w:type="dxa"/>
          </w:tcPr>
          <w:p w14:paraId="5C654D37" w14:textId="77777777" w:rsidR="008A37CD" w:rsidRPr="008A37CD" w:rsidRDefault="008A37CD" w:rsidP="0071035D">
            <w:pPr>
              <w:spacing w:after="0"/>
              <w:rPr>
                <w:rFonts w:cs="Times New Roman"/>
                <w:sz w:val="22"/>
              </w:rPr>
            </w:pPr>
            <w:r w:rsidRPr="008A37CD">
              <w:rPr>
                <w:rFonts w:cs="Times New Roman"/>
                <w:sz w:val="22"/>
              </w:rPr>
              <w:t>Combined</w:t>
            </w:r>
          </w:p>
        </w:tc>
        <w:tc>
          <w:tcPr>
            <w:tcW w:w="1563" w:type="dxa"/>
          </w:tcPr>
          <w:p w14:paraId="355016AA" w14:textId="77777777" w:rsidR="008A37CD" w:rsidRPr="008A37CD" w:rsidRDefault="008A37CD" w:rsidP="0071035D">
            <w:pPr>
              <w:spacing w:after="0"/>
              <w:rPr>
                <w:rFonts w:cs="Times New Roman"/>
                <w:sz w:val="22"/>
              </w:rPr>
            </w:pPr>
            <w:r w:rsidRPr="008A37CD">
              <w:rPr>
                <w:rFonts w:cs="Times New Roman"/>
                <w:sz w:val="22"/>
              </w:rPr>
              <w:t>Minimum Variance</w:t>
            </w:r>
          </w:p>
        </w:tc>
        <w:tc>
          <w:tcPr>
            <w:tcW w:w="1546" w:type="dxa"/>
          </w:tcPr>
          <w:p w14:paraId="5C824FDF" w14:textId="77777777" w:rsidR="008A37CD" w:rsidRPr="008A37CD" w:rsidRDefault="008A37CD" w:rsidP="0071035D">
            <w:pPr>
              <w:spacing w:after="0"/>
              <w:rPr>
                <w:rFonts w:cs="Times New Roman"/>
                <w:sz w:val="22"/>
              </w:rPr>
            </w:pPr>
            <w:r w:rsidRPr="008A37CD">
              <w:rPr>
                <w:rFonts w:cs="Times New Roman"/>
                <w:sz w:val="22"/>
              </w:rPr>
              <w:t>3.70%</w:t>
            </w:r>
          </w:p>
        </w:tc>
        <w:tc>
          <w:tcPr>
            <w:tcW w:w="1701" w:type="dxa"/>
          </w:tcPr>
          <w:p w14:paraId="0E3F0F3B" w14:textId="77777777" w:rsidR="008A37CD" w:rsidRPr="008A37CD" w:rsidRDefault="008A37CD" w:rsidP="0071035D">
            <w:pPr>
              <w:spacing w:after="0"/>
              <w:rPr>
                <w:rFonts w:cs="Times New Roman"/>
                <w:sz w:val="22"/>
              </w:rPr>
            </w:pPr>
            <w:r w:rsidRPr="008A37CD">
              <w:rPr>
                <w:rFonts w:cs="Times New Roman"/>
                <w:sz w:val="22"/>
              </w:rPr>
              <w:t>13.47%</w:t>
            </w:r>
          </w:p>
        </w:tc>
        <w:tc>
          <w:tcPr>
            <w:tcW w:w="1559" w:type="dxa"/>
          </w:tcPr>
          <w:p w14:paraId="24380F85" w14:textId="77777777" w:rsidR="008A37CD" w:rsidRPr="008A37CD" w:rsidRDefault="008A37CD" w:rsidP="0071035D">
            <w:pPr>
              <w:spacing w:after="0"/>
              <w:rPr>
                <w:rFonts w:cs="Times New Roman"/>
                <w:sz w:val="22"/>
              </w:rPr>
            </w:pPr>
            <w:r w:rsidRPr="008A37CD">
              <w:rPr>
                <w:rFonts w:cs="Times New Roman"/>
                <w:sz w:val="22"/>
              </w:rPr>
              <w:t>0.275</w:t>
            </w:r>
          </w:p>
        </w:tc>
        <w:tc>
          <w:tcPr>
            <w:tcW w:w="1985" w:type="dxa"/>
          </w:tcPr>
          <w:p w14:paraId="15B826ED"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16.50%</w:t>
            </w:r>
          </w:p>
        </w:tc>
      </w:tr>
      <w:tr w:rsidR="008A37CD" w:rsidRPr="008A37CD" w14:paraId="3FBF5B2B" w14:textId="77777777" w:rsidTr="008A37CD">
        <w:trPr>
          <w:jc w:val="center"/>
        </w:trPr>
        <w:tc>
          <w:tcPr>
            <w:tcW w:w="1564" w:type="dxa"/>
          </w:tcPr>
          <w:p w14:paraId="03BBD8CE" w14:textId="77777777" w:rsidR="008A37CD" w:rsidRPr="008A37CD" w:rsidRDefault="008A37CD" w:rsidP="0071035D">
            <w:pPr>
              <w:spacing w:after="0"/>
              <w:rPr>
                <w:rFonts w:cs="Times New Roman"/>
                <w:sz w:val="22"/>
              </w:rPr>
            </w:pPr>
            <w:r w:rsidRPr="008A37CD">
              <w:rPr>
                <w:rFonts w:cs="Times New Roman"/>
                <w:sz w:val="22"/>
              </w:rPr>
              <w:t>Combined</w:t>
            </w:r>
          </w:p>
        </w:tc>
        <w:tc>
          <w:tcPr>
            <w:tcW w:w="1563" w:type="dxa"/>
          </w:tcPr>
          <w:p w14:paraId="58790CA2" w14:textId="77777777" w:rsidR="008A37CD" w:rsidRPr="008A37CD" w:rsidRDefault="008A37CD" w:rsidP="0071035D">
            <w:pPr>
              <w:spacing w:after="0"/>
              <w:rPr>
                <w:rFonts w:cs="Times New Roman"/>
                <w:sz w:val="22"/>
              </w:rPr>
            </w:pPr>
            <w:r w:rsidRPr="008A37CD">
              <w:rPr>
                <w:rFonts w:cs="Times New Roman"/>
                <w:sz w:val="22"/>
              </w:rPr>
              <w:t>HRP</w:t>
            </w:r>
          </w:p>
        </w:tc>
        <w:tc>
          <w:tcPr>
            <w:tcW w:w="1546" w:type="dxa"/>
          </w:tcPr>
          <w:p w14:paraId="36E68CBA" w14:textId="77777777" w:rsidR="008A37CD" w:rsidRPr="008A37CD" w:rsidRDefault="008A37CD" w:rsidP="0071035D">
            <w:pPr>
              <w:spacing w:after="0"/>
              <w:rPr>
                <w:rFonts w:cs="Times New Roman"/>
                <w:sz w:val="22"/>
              </w:rPr>
            </w:pPr>
            <w:r w:rsidRPr="008A37CD">
              <w:rPr>
                <w:rFonts w:cs="Times New Roman"/>
                <w:sz w:val="22"/>
              </w:rPr>
              <w:t>3.77%</w:t>
            </w:r>
          </w:p>
        </w:tc>
        <w:tc>
          <w:tcPr>
            <w:tcW w:w="1701" w:type="dxa"/>
          </w:tcPr>
          <w:p w14:paraId="45B1884C" w14:textId="77777777" w:rsidR="008A37CD" w:rsidRPr="008A37CD" w:rsidRDefault="008A37CD" w:rsidP="0071035D">
            <w:pPr>
              <w:spacing w:after="0"/>
              <w:rPr>
                <w:rFonts w:cs="Times New Roman"/>
                <w:sz w:val="22"/>
              </w:rPr>
            </w:pPr>
            <w:r w:rsidRPr="008A37CD">
              <w:rPr>
                <w:rFonts w:cs="Times New Roman"/>
                <w:sz w:val="22"/>
              </w:rPr>
              <w:t>15.07%</w:t>
            </w:r>
          </w:p>
        </w:tc>
        <w:tc>
          <w:tcPr>
            <w:tcW w:w="1559" w:type="dxa"/>
          </w:tcPr>
          <w:p w14:paraId="46C6A573" w14:textId="77777777" w:rsidR="008A37CD" w:rsidRPr="008A37CD" w:rsidRDefault="008A37CD" w:rsidP="0071035D">
            <w:pPr>
              <w:spacing w:after="0"/>
              <w:rPr>
                <w:rFonts w:cs="Times New Roman"/>
                <w:sz w:val="22"/>
              </w:rPr>
            </w:pPr>
            <w:r w:rsidRPr="008A37CD">
              <w:rPr>
                <w:rFonts w:cs="Times New Roman"/>
                <w:sz w:val="22"/>
              </w:rPr>
              <w:t>0.250</w:t>
            </w:r>
          </w:p>
        </w:tc>
        <w:tc>
          <w:tcPr>
            <w:tcW w:w="1985" w:type="dxa"/>
          </w:tcPr>
          <w:p w14:paraId="4DC5FE73"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18.74%</w:t>
            </w:r>
          </w:p>
        </w:tc>
      </w:tr>
      <w:tr w:rsidR="008A37CD" w:rsidRPr="008A37CD" w14:paraId="6AD0CFB7" w14:textId="77777777" w:rsidTr="008A37CD">
        <w:trPr>
          <w:jc w:val="center"/>
        </w:trPr>
        <w:tc>
          <w:tcPr>
            <w:tcW w:w="1564" w:type="dxa"/>
          </w:tcPr>
          <w:p w14:paraId="2B194ED9" w14:textId="77777777" w:rsidR="008A37CD" w:rsidRPr="008A37CD" w:rsidRDefault="008A37CD" w:rsidP="0071035D">
            <w:pPr>
              <w:spacing w:after="0"/>
              <w:rPr>
                <w:rFonts w:cs="Times New Roman"/>
                <w:sz w:val="22"/>
              </w:rPr>
            </w:pPr>
            <w:r w:rsidRPr="008A37CD">
              <w:rPr>
                <w:rFonts w:cs="Times New Roman"/>
                <w:sz w:val="22"/>
              </w:rPr>
              <w:t>Combined</w:t>
            </w:r>
          </w:p>
        </w:tc>
        <w:tc>
          <w:tcPr>
            <w:tcW w:w="1563" w:type="dxa"/>
          </w:tcPr>
          <w:p w14:paraId="04F2A697" w14:textId="77777777" w:rsidR="008A37CD" w:rsidRPr="008A37CD" w:rsidRDefault="008A37CD" w:rsidP="0071035D">
            <w:pPr>
              <w:spacing w:after="0"/>
              <w:rPr>
                <w:rFonts w:cs="Times New Roman"/>
                <w:sz w:val="22"/>
              </w:rPr>
            </w:pPr>
            <w:r w:rsidRPr="008A37CD">
              <w:rPr>
                <w:rFonts w:cs="Times New Roman"/>
                <w:sz w:val="22"/>
              </w:rPr>
              <w:t>Equal Weight</w:t>
            </w:r>
          </w:p>
        </w:tc>
        <w:tc>
          <w:tcPr>
            <w:tcW w:w="1546" w:type="dxa"/>
          </w:tcPr>
          <w:p w14:paraId="6BED9478" w14:textId="77777777" w:rsidR="008A37CD" w:rsidRPr="008A37CD" w:rsidRDefault="008A37CD" w:rsidP="0071035D">
            <w:pPr>
              <w:spacing w:after="0"/>
              <w:rPr>
                <w:rFonts w:cs="Times New Roman"/>
                <w:sz w:val="22"/>
              </w:rPr>
            </w:pPr>
            <w:r w:rsidRPr="008A37CD">
              <w:rPr>
                <w:rFonts w:cs="Times New Roman"/>
                <w:sz w:val="22"/>
              </w:rPr>
              <w:t>4.82%</w:t>
            </w:r>
          </w:p>
        </w:tc>
        <w:tc>
          <w:tcPr>
            <w:tcW w:w="1701" w:type="dxa"/>
          </w:tcPr>
          <w:p w14:paraId="1465A07B" w14:textId="77777777" w:rsidR="008A37CD" w:rsidRPr="008A37CD" w:rsidRDefault="008A37CD" w:rsidP="0071035D">
            <w:pPr>
              <w:spacing w:after="0"/>
              <w:rPr>
                <w:rFonts w:cs="Times New Roman"/>
                <w:sz w:val="22"/>
              </w:rPr>
            </w:pPr>
            <w:r w:rsidRPr="008A37CD">
              <w:rPr>
                <w:rFonts w:cs="Times New Roman"/>
                <w:sz w:val="22"/>
              </w:rPr>
              <w:t>20.91%</w:t>
            </w:r>
          </w:p>
        </w:tc>
        <w:tc>
          <w:tcPr>
            <w:tcW w:w="1559" w:type="dxa"/>
          </w:tcPr>
          <w:p w14:paraId="19CA3CEB" w14:textId="77777777" w:rsidR="008A37CD" w:rsidRPr="008A37CD" w:rsidRDefault="008A37CD" w:rsidP="0071035D">
            <w:pPr>
              <w:spacing w:after="0"/>
              <w:rPr>
                <w:rFonts w:cs="Times New Roman"/>
                <w:sz w:val="22"/>
              </w:rPr>
            </w:pPr>
            <w:r w:rsidRPr="008A37CD">
              <w:rPr>
                <w:rFonts w:cs="Times New Roman"/>
                <w:sz w:val="22"/>
              </w:rPr>
              <w:t>0.230</w:t>
            </w:r>
          </w:p>
        </w:tc>
        <w:tc>
          <w:tcPr>
            <w:tcW w:w="1985" w:type="dxa"/>
          </w:tcPr>
          <w:p w14:paraId="7E8FB99E"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26.94%</w:t>
            </w:r>
          </w:p>
        </w:tc>
      </w:tr>
      <w:tr w:rsidR="008A37CD" w:rsidRPr="008A37CD" w14:paraId="6A0D147A" w14:textId="77777777" w:rsidTr="008A37CD">
        <w:trPr>
          <w:jc w:val="center"/>
        </w:trPr>
        <w:tc>
          <w:tcPr>
            <w:tcW w:w="1564" w:type="dxa"/>
          </w:tcPr>
          <w:p w14:paraId="67BDA048" w14:textId="77777777" w:rsidR="008A37CD" w:rsidRPr="008A37CD" w:rsidRDefault="008A37CD" w:rsidP="0071035D">
            <w:pPr>
              <w:spacing w:after="0"/>
              <w:rPr>
                <w:rFonts w:cs="Times New Roman"/>
                <w:sz w:val="22"/>
              </w:rPr>
            </w:pPr>
            <w:r w:rsidRPr="008A37CD">
              <w:rPr>
                <w:rFonts w:cs="Times New Roman"/>
                <w:sz w:val="22"/>
              </w:rPr>
              <w:t>Combined</w:t>
            </w:r>
          </w:p>
        </w:tc>
        <w:tc>
          <w:tcPr>
            <w:tcW w:w="1563" w:type="dxa"/>
          </w:tcPr>
          <w:p w14:paraId="70BACD49" w14:textId="77777777" w:rsidR="008A37CD" w:rsidRPr="008A37CD" w:rsidRDefault="008A37CD" w:rsidP="0071035D">
            <w:pPr>
              <w:spacing w:after="0"/>
              <w:rPr>
                <w:rFonts w:cs="Times New Roman"/>
                <w:sz w:val="22"/>
              </w:rPr>
            </w:pPr>
            <w:r w:rsidRPr="008A37CD">
              <w:rPr>
                <w:rFonts w:cs="Times New Roman"/>
                <w:sz w:val="22"/>
              </w:rPr>
              <w:t>Risk Parity</w:t>
            </w:r>
          </w:p>
        </w:tc>
        <w:tc>
          <w:tcPr>
            <w:tcW w:w="1546" w:type="dxa"/>
          </w:tcPr>
          <w:p w14:paraId="49624F46" w14:textId="77777777" w:rsidR="008A37CD" w:rsidRPr="008A37CD" w:rsidRDefault="008A37CD" w:rsidP="0071035D">
            <w:pPr>
              <w:spacing w:after="0"/>
              <w:rPr>
                <w:rFonts w:cs="Times New Roman"/>
                <w:sz w:val="22"/>
              </w:rPr>
            </w:pPr>
            <w:r w:rsidRPr="008A37CD">
              <w:rPr>
                <w:rFonts w:cs="Times New Roman"/>
                <w:sz w:val="22"/>
              </w:rPr>
              <w:t>3.89%</w:t>
            </w:r>
          </w:p>
        </w:tc>
        <w:tc>
          <w:tcPr>
            <w:tcW w:w="1701" w:type="dxa"/>
          </w:tcPr>
          <w:p w14:paraId="5B87FD88" w14:textId="77777777" w:rsidR="008A37CD" w:rsidRPr="008A37CD" w:rsidRDefault="008A37CD" w:rsidP="0071035D">
            <w:pPr>
              <w:spacing w:after="0"/>
              <w:rPr>
                <w:rFonts w:cs="Times New Roman"/>
                <w:sz w:val="22"/>
              </w:rPr>
            </w:pPr>
            <w:r w:rsidRPr="008A37CD">
              <w:rPr>
                <w:rFonts w:cs="Times New Roman"/>
                <w:sz w:val="22"/>
              </w:rPr>
              <w:t>16.94%</w:t>
            </w:r>
          </w:p>
        </w:tc>
        <w:tc>
          <w:tcPr>
            <w:tcW w:w="1559" w:type="dxa"/>
          </w:tcPr>
          <w:p w14:paraId="0B1620BA" w14:textId="77777777" w:rsidR="008A37CD" w:rsidRPr="008A37CD" w:rsidRDefault="008A37CD" w:rsidP="0071035D">
            <w:pPr>
              <w:spacing w:after="0"/>
              <w:rPr>
                <w:rFonts w:cs="Times New Roman"/>
                <w:sz w:val="22"/>
              </w:rPr>
            </w:pPr>
            <w:r w:rsidRPr="008A37CD">
              <w:rPr>
                <w:rFonts w:cs="Times New Roman"/>
                <w:sz w:val="22"/>
              </w:rPr>
              <w:t>0.229</w:t>
            </w:r>
          </w:p>
        </w:tc>
        <w:tc>
          <w:tcPr>
            <w:tcW w:w="1985" w:type="dxa"/>
          </w:tcPr>
          <w:p w14:paraId="6AF23CA2"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21.39%</w:t>
            </w:r>
          </w:p>
        </w:tc>
      </w:tr>
      <w:tr w:rsidR="008A37CD" w:rsidRPr="008A37CD" w14:paraId="705A354B" w14:textId="77777777" w:rsidTr="008A37CD">
        <w:trPr>
          <w:jc w:val="center"/>
        </w:trPr>
        <w:tc>
          <w:tcPr>
            <w:tcW w:w="1564" w:type="dxa"/>
          </w:tcPr>
          <w:p w14:paraId="12D76F4E" w14:textId="77777777" w:rsidR="008A37CD" w:rsidRPr="008A37CD" w:rsidRDefault="008A37CD" w:rsidP="0071035D">
            <w:pPr>
              <w:spacing w:after="0"/>
              <w:rPr>
                <w:rFonts w:cs="Times New Roman"/>
                <w:sz w:val="22"/>
              </w:rPr>
            </w:pPr>
            <w:r w:rsidRPr="008A37CD">
              <w:rPr>
                <w:rFonts w:cs="Times New Roman"/>
                <w:sz w:val="22"/>
              </w:rPr>
              <w:t>Combined</w:t>
            </w:r>
          </w:p>
        </w:tc>
        <w:tc>
          <w:tcPr>
            <w:tcW w:w="1563" w:type="dxa"/>
          </w:tcPr>
          <w:p w14:paraId="6DD5B4C9" w14:textId="77777777" w:rsidR="008A37CD" w:rsidRPr="008A37CD" w:rsidRDefault="008A37CD" w:rsidP="0071035D">
            <w:pPr>
              <w:spacing w:after="0"/>
              <w:rPr>
                <w:rFonts w:cs="Times New Roman"/>
                <w:sz w:val="22"/>
              </w:rPr>
            </w:pPr>
            <w:r w:rsidRPr="008A37CD">
              <w:rPr>
                <w:rFonts w:cs="Times New Roman"/>
                <w:sz w:val="22"/>
              </w:rPr>
              <w:t>Maximum Sharpe</w:t>
            </w:r>
          </w:p>
        </w:tc>
        <w:tc>
          <w:tcPr>
            <w:tcW w:w="1546" w:type="dxa"/>
          </w:tcPr>
          <w:p w14:paraId="3A857EBA"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7.33%</w:t>
            </w:r>
          </w:p>
        </w:tc>
        <w:tc>
          <w:tcPr>
            <w:tcW w:w="1701" w:type="dxa"/>
          </w:tcPr>
          <w:p w14:paraId="2E5B7B37" w14:textId="77777777" w:rsidR="008A37CD" w:rsidRPr="008A37CD" w:rsidRDefault="008A37CD" w:rsidP="0071035D">
            <w:pPr>
              <w:spacing w:after="0"/>
              <w:rPr>
                <w:rFonts w:cs="Times New Roman"/>
                <w:sz w:val="22"/>
              </w:rPr>
            </w:pPr>
            <w:r w:rsidRPr="008A37CD">
              <w:rPr>
                <w:rFonts w:cs="Times New Roman"/>
                <w:sz w:val="22"/>
              </w:rPr>
              <w:t>19.76%</w:t>
            </w:r>
          </w:p>
        </w:tc>
        <w:tc>
          <w:tcPr>
            <w:tcW w:w="1559" w:type="dxa"/>
          </w:tcPr>
          <w:p w14:paraId="0692B810"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0.371</w:t>
            </w:r>
          </w:p>
        </w:tc>
        <w:tc>
          <w:tcPr>
            <w:tcW w:w="1985" w:type="dxa"/>
          </w:tcPr>
          <w:p w14:paraId="45ABF170" w14:textId="77777777" w:rsidR="008A37CD" w:rsidRPr="008A37CD" w:rsidRDefault="008A37CD" w:rsidP="0071035D">
            <w:pPr>
              <w:spacing w:after="0"/>
              <w:rPr>
                <w:rFonts w:cs="Times New Roman"/>
                <w:sz w:val="22"/>
              </w:rPr>
            </w:pPr>
            <w:r w:rsidRPr="008A37CD">
              <w:rPr>
                <w:rFonts w:eastAsia="宋体" w:cs="Times New Roman"/>
                <w:sz w:val="22"/>
                <w:lang w:eastAsia="zh-CN"/>
              </w:rPr>
              <w:t>-</w:t>
            </w:r>
            <w:r w:rsidRPr="008A37CD">
              <w:rPr>
                <w:rFonts w:cs="Times New Roman"/>
                <w:sz w:val="22"/>
              </w:rPr>
              <w:t>27.47%</w:t>
            </w:r>
          </w:p>
        </w:tc>
      </w:tr>
      <w:tr w:rsidR="008A37CD" w:rsidRPr="008A37CD" w14:paraId="12E74C4E" w14:textId="77777777" w:rsidTr="008A37CD">
        <w:trPr>
          <w:jc w:val="center"/>
        </w:trPr>
        <w:tc>
          <w:tcPr>
            <w:tcW w:w="1564" w:type="dxa"/>
          </w:tcPr>
          <w:p w14:paraId="4FBB75C2" w14:textId="77777777" w:rsidR="008A37CD" w:rsidRPr="008A37CD" w:rsidRDefault="008A37CD" w:rsidP="0071035D">
            <w:pPr>
              <w:spacing w:after="0"/>
              <w:rPr>
                <w:rFonts w:cs="Times New Roman"/>
                <w:sz w:val="22"/>
              </w:rPr>
            </w:pPr>
            <w:r w:rsidRPr="008A37CD">
              <w:rPr>
                <w:rFonts w:cs="Times New Roman"/>
                <w:sz w:val="22"/>
              </w:rPr>
              <w:t>Crypto</w:t>
            </w:r>
          </w:p>
        </w:tc>
        <w:tc>
          <w:tcPr>
            <w:tcW w:w="1563" w:type="dxa"/>
          </w:tcPr>
          <w:p w14:paraId="65A16286" w14:textId="77777777" w:rsidR="008A37CD" w:rsidRPr="008A37CD" w:rsidRDefault="008A37CD" w:rsidP="0071035D">
            <w:pPr>
              <w:spacing w:after="0"/>
              <w:rPr>
                <w:rFonts w:cs="Times New Roman"/>
                <w:sz w:val="22"/>
              </w:rPr>
            </w:pPr>
            <w:r w:rsidRPr="008A37CD">
              <w:rPr>
                <w:rFonts w:cs="Times New Roman"/>
                <w:sz w:val="22"/>
              </w:rPr>
              <w:t>Minimum Variance</w:t>
            </w:r>
          </w:p>
        </w:tc>
        <w:tc>
          <w:tcPr>
            <w:tcW w:w="1546" w:type="dxa"/>
          </w:tcPr>
          <w:p w14:paraId="7B4DA0B8" w14:textId="77777777" w:rsidR="008A37CD" w:rsidRPr="008A37CD" w:rsidRDefault="008A37CD" w:rsidP="0071035D">
            <w:pPr>
              <w:spacing w:after="0"/>
              <w:rPr>
                <w:rFonts w:cs="Times New Roman"/>
                <w:sz w:val="22"/>
                <w:szCs w:val="20"/>
              </w:rPr>
            </w:pPr>
            <w:r w:rsidRPr="008A37CD">
              <w:rPr>
                <w:rFonts w:cs="Times New Roman"/>
                <w:sz w:val="22"/>
                <w:szCs w:val="20"/>
              </w:rPr>
              <w:t>19.30%</w:t>
            </w:r>
          </w:p>
        </w:tc>
        <w:tc>
          <w:tcPr>
            <w:tcW w:w="1701" w:type="dxa"/>
          </w:tcPr>
          <w:p w14:paraId="6C1B9E37" w14:textId="77777777" w:rsidR="008A37CD" w:rsidRPr="008A37CD" w:rsidRDefault="008A37CD" w:rsidP="0071035D">
            <w:pPr>
              <w:spacing w:after="0"/>
              <w:rPr>
                <w:rFonts w:cs="Times New Roman"/>
                <w:sz w:val="22"/>
                <w:szCs w:val="20"/>
              </w:rPr>
            </w:pPr>
            <w:r w:rsidRPr="008A37CD">
              <w:rPr>
                <w:rFonts w:cs="Times New Roman"/>
                <w:sz w:val="22"/>
                <w:szCs w:val="20"/>
              </w:rPr>
              <w:t>58.01%</w:t>
            </w:r>
          </w:p>
        </w:tc>
        <w:tc>
          <w:tcPr>
            <w:tcW w:w="1559" w:type="dxa"/>
          </w:tcPr>
          <w:p w14:paraId="7A91890E" w14:textId="77777777" w:rsidR="008A37CD" w:rsidRPr="008A37CD" w:rsidRDefault="008A37CD" w:rsidP="0071035D">
            <w:pPr>
              <w:spacing w:after="0"/>
              <w:rPr>
                <w:rFonts w:cs="Times New Roman"/>
                <w:sz w:val="22"/>
                <w:szCs w:val="20"/>
              </w:rPr>
            </w:pPr>
            <w:r w:rsidRPr="008A37CD">
              <w:rPr>
                <w:rFonts w:cs="Times New Roman"/>
                <w:sz w:val="22"/>
                <w:szCs w:val="20"/>
              </w:rPr>
              <w:t>0.333</w:t>
            </w:r>
          </w:p>
        </w:tc>
        <w:tc>
          <w:tcPr>
            <w:tcW w:w="1985" w:type="dxa"/>
          </w:tcPr>
          <w:p w14:paraId="3C43DFA3" w14:textId="77777777" w:rsidR="008A37CD" w:rsidRPr="008A37CD" w:rsidRDefault="008A37CD" w:rsidP="0071035D">
            <w:pPr>
              <w:spacing w:after="0"/>
              <w:rPr>
                <w:rFonts w:cs="Times New Roman"/>
                <w:sz w:val="22"/>
                <w:szCs w:val="20"/>
              </w:rPr>
            </w:pPr>
            <w:r w:rsidRPr="008A37CD">
              <w:rPr>
                <w:rFonts w:cs="Times New Roman"/>
                <w:sz w:val="22"/>
                <w:szCs w:val="20"/>
              </w:rPr>
              <w:t>-75.84%</w:t>
            </w:r>
          </w:p>
        </w:tc>
      </w:tr>
      <w:tr w:rsidR="008A37CD" w:rsidRPr="008A37CD" w14:paraId="45E32002" w14:textId="77777777" w:rsidTr="008A37CD">
        <w:trPr>
          <w:jc w:val="center"/>
        </w:trPr>
        <w:tc>
          <w:tcPr>
            <w:tcW w:w="1564" w:type="dxa"/>
          </w:tcPr>
          <w:p w14:paraId="4E6708E1" w14:textId="77777777" w:rsidR="008A37CD" w:rsidRPr="008A37CD" w:rsidRDefault="008A37CD" w:rsidP="0071035D">
            <w:pPr>
              <w:spacing w:after="0"/>
              <w:rPr>
                <w:rFonts w:cs="Times New Roman"/>
                <w:sz w:val="22"/>
              </w:rPr>
            </w:pPr>
            <w:r w:rsidRPr="008A37CD">
              <w:rPr>
                <w:rFonts w:cs="Times New Roman"/>
                <w:sz w:val="22"/>
              </w:rPr>
              <w:t>Crypto</w:t>
            </w:r>
          </w:p>
        </w:tc>
        <w:tc>
          <w:tcPr>
            <w:tcW w:w="1563" w:type="dxa"/>
          </w:tcPr>
          <w:p w14:paraId="61CC7096" w14:textId="77777777" w:rsidR="008A37CD" w:rsidRPr="008A37CD" w:rsidRDefault="008A37CD" w:rsidP="0071035D">
            <w:pPr>
              <w:spacing w:after="0"/>
              <w:rPr>
                <w:rFonts w:cs="Times New Roman"/>
                <w:sz w:val="22"/>
              </w:rPr>
            </w:pPr>
            <w:r w:rsidRPr="008A37CD">
              <w:rPr>
                <w:rFonts w:cs="Times New Roman"/>
                <w:sz w:val="22"/>
              </w:rPr>
              <w:t>HRP</w:t>
            </w:r>
          </w:p>
        </w:tc>
        <w:tc>
          <w:tcPr>
            <w:tcW w:w="1546" w:type="dxa"/>
          </w:tcPr>
          <w:p w14:paraId="7B0803F4" w14:textId="77777777" w:rsidR="008A37CD" w:rsidRPr="008A37CD" w:rsidRDefault="008A37CD" w:rsidP="0071035D">
            <w:pPr>
              <w:spacing w:after="0"/>
              <w:rPr>
                <w:rFonts w:cs="Times New Roman"/>
                <w:sz w:val="22"/>
                <w:szCs w:val="20"/>
              </w:rPr>
            </w:pPr>
            <w:r w:rsidRPr="008A37CD">
              <w:rPr>
                <w:rFonts w:cs="Times New Roman"/>
                <w:sz w:val="22"/>
                <w:szCs w:val="20"/>
              </w:rPr>
              <w:t>12.27%</w:t>
            </w:r>
          </w:p>
        </w:tc>
        <w:tc>
          <w:tcPr>
            <w:tcW w:w="1701" w:type="dxa"/>
          </w:tcPr>
          <w:p w14:paraId="7D8CA332" w14:textId="77777777" w:rsidR="008A37CD" w:rsidRPr="008A37CD" w:rsidRDefault="008A37CD" w:rsidP="0071035D">
            <w:pPr>
              <w:spacing w:after="0"/>
              <w:rPr>
                <w:rFonts w:cs="Times New Roman"/>
                <w:sz w:val="22"/>
                <w:szCs w:val="20"/>
              </w:rPr>
            </w:pPr>
            <w:r w:rsidRPr="008A37CD">
              <w:rPr>
                <w:rFonts w:cs="Times New Roman"/>
                <w:sz w:val="22"/>
                <w:szCs w:val="20"/>
              </w:rPr>
              <w:t>67.88%</w:t>
            </w:r>
          </w:p>
        </w:tc>
        <w:tc>
          <w:tcPr>
            <w:tcW w:w="1559" w:type="dxa"/>
          </w:tcPr>
          <w:p w14:paraId="175DA33D" w14:textId="77777777" w:rsidR="008A37CD" w:rsidRPr="008A37CD" w:rsidRDefault="008A37CD" w:rsidP="0071035D">
            <w:pPr>
              <w:spacing w:after="0"/>
              <w:rPr>
                <w:rFonts w:cs="Times New Roman"/>
                <w:sz w:val="22"/>
                <w:szCs w:val="20"/>
              </w:rPr>
            </w:pPr>
            <w:r w:rsidRPr="008A37CD">
              <w:rPr>
                <w:rFonts w:cs="Times New Roman"/>
                <w:sz w:val="22"/>
                <w:szCs w:val="20"/>
              </w:rPr>
              <w:t>0.181</w:t>
            </w:r>
          </w:p>
        </w:tc>
        <w:tc>
          <w:tcPr>
            <w:tcW w:w="1985" w:type="dxa"/>
          </w:tcPr>
          <w:p w14:paraId="7E4C0830" w14:textId="77777777" w:rsidR="008A37CD" w:rsidRPr="008A37CD" w:rsidRDefault="008A37CD" w:rsidP="0071035D">
            <w:pPr>
              <w:spacing w:after="0"/>
              <w:rPr>
                <w:rFonts w:cs="Times New Roman"/>
                <w:sz w:val="22"/>
                <w:szCs w:val="20"/>
              </w:rPr>
            </w:pPr>
            <w:r w:rsidRPr="008A37CD">
              <w:rPr>
                <w:rFonts w:cs="Times New Roman"/>
                <w:sz w:val="22"/>
                <w:szCs w:val="20"/>
              </w:rPr>
              <w:t>-76.10%</w:t>
            </w:r>
          </w:p>
        </w:tc>
      </w:tr>
      <w:tr w:rsidR="008A37CD" w:rsidRPr="008A37CD" w14:paraId="2CAF4E53" w14:textId="77777777" w:rsidTr="008A37CD">
        <w:trPr>
          <w:jc w:val="center"/>
        </w:trPr>
        <w:tc>
          <w:tcPr>
            <w:tcW w:w="1564" w:type="dxa"/>
          </w:tcPr>
          <w:p w14:paraId="354FCF42" w14:textId="77777777" w:rsidR="008A37CD" w:rsidRPr="008A37CD" w:rsidRDefault="008A37CD" w:rsidP="0071035D">
            <w:pPr>
              <w:spacing w:after="0"/>
              <w:rPr>
                <w:rFonts w:cs="Times New Roman"/>
                <w:sz w:val="22"/>
              </w:rPr>
            </w:pPr>
            <w:r w:rsidRPr="008A37CD">
              <w:rPr>
                <w:rFonts w:cs="Times New Roman"/>
                <w:sz w:val="22"/>
              </w:rPr>
              <w:t>Crypto</w:t>
            </w:r>
          </w:p>
        </w:tc>
        <w:tc>
          <w:tcPr>
            <w:tcW w:w="1563" w:type="dxa"/>
          </w:tcPr>
          <w:p w14:paraId="51CEEB58" w14:textId="77777777" w:rsidR="008A37CD" w:rsidRPr="008A37CD" w:rsidRDefault="008A37CD" w:rsidP="0071035D">
            <w:pPr>
              <w:spacing w:after="0"/>
              <w:rPr>
                <w:rFonts w:cs="Times New Roman"/>
                <w:sz w:val="22"/>
              </w:rPr>
            </w:pPr>
            <w:r w:rsidRPr="008A37CD">
              <w:rPr>
                <w:rFonts w:cs="Times New Roman"/>
                <w:sz w:val="22"/>
              </w:rPr>
              <w:t>Risk Parity</w:t>
            </w:r>
          </w:p>
        </w:tc>
        <w:tc>
          <w:tcPr>
            <w:tcW w:w="1546" w:type="dxa"/>
          </w:tcPr>
          <w:p w14:paraId="0A277D0B" w14:textId="77777777" w:rsidR="008A37CD" w:rsidRPr="008A37CD" w:rsidRDefault="008A37CD" w:rsidP="0071035D">
            <w:pPr>
              <w:spacing w:after="0"/>
              <w:rPr>
                <w:rFonts w:cs="Times New Roman"/>
                <w:sz w:val="22"/>
                <w:szCs w:val="20"/>
              </w:rPr>
            </w:pPr>
            <w:r w:rsidRPr="008A37CD">
              <w:rPr>
                <w:rFonts w:cs="Times New Roman"/>
                <w:sz w:val="22"/>
                <w:szCs w:val="20"/>
              </w:rPr>
              <w:t>9.82%</w:t>
            </w:r>
          </w:p>
        </w:tc>
        <w:tc>
          <w:tcPr>
            <w:tcW w:w="1701" w:type="dxa"/>
          </w:tcPr>
          <w:p w14:paraId="27F4BBF4" w14:textId="77777777" w:rsidR="008A37CD" w:rsidRPr="008A37CD" w:rsidRDefault="008A37CD" w:rsidP="0071035D">
            <w:pPr>
              <w:spacing w:after="0"/>
              <w:rPr>
                <w:rFonts w:cs="Times New Roman"/>
                <w:sz w:val="22"/>
                <w:szCs w:val="20"/>
              </w:rPr>
            </w:pPr>
            <w:r w:rsidRPr="008A37CD">
              <w:rPr>
                <w:rFonts w:cs="Times New Roman"/>
                <w:sz w:val="22"/>
                <w:szCs w:val="20"/>
              </w:rPr>
              <w:t>69.93%</w:t>
            </w:r>
          </w:p>
        </w:tc>
        <w:tc>
          <w:tcPr>
            <w:tcW w:w="1559" w:type="dxa"/>
          </w:tcPr>
          <w:p w14:paraId="72DB58E1" w14:textId="77777777" w:rsidR="008A37CD" w:rsidRPr="008A37CD" w:rsidRDefault="008A37CD" w:rsidP="0071035D">
            <w:pPr>
              <w:spacing w:after="0"/>
              <w:rPr>
                <w:rFonts w:cs="Times New Roman"/>
                <w:sz w:val="22"/>
                <w:szCs w:val="20"/>
              </w:rPr>
            </w:pPr>
            <w:r w:rsidRPr="008A37CD">
              <w:rPr>
                <w:rFonts w:cs="Times New Roman"/>
                <w:sz w:val="22"/>
                <w:szCs w:val="20"/>
              </w:rPr>
              <w:t>0.140</w:t>
            </w:r>
          </w:p>
        </w:tc>
        <w:tc>
          <w:tcPr>
            <w:tcW w:w="1985" w:type="dxa"/>
          </w:tcPr>
          <w:p w14:paraId="63ED9663" w14:textId="77777777" w:rsidR="008A37CD" w:rsidRPr="008A37CD" w:rsidRDefault="008A37CD" w:rsidP="0071035D">
            <w:pPr>
              <w:spacing w:after="0"/>
              <w:rPr>
                <w:rFonts w:cs="Times New Roman"/>
                <w:sz w:val="22"/>
                <w:szCs w:val="20"/>
              </w:rPr>
            </w:pPr>
            <w:r w:rsidRPr="008A37CD">
              <w:rPr>
                <w:rFonts w:cs="Times New Roman"/>
                <w:sz w:val="22"/>
                <w:szCs w:val="20"/>
              </w:rPr>
              <w:t>-75.91%</w:t>
            </w:r>
          </w:p>
        </w:tc>
      </w:tr>
      <w:tr w:rsidR="008A37CD" w:rsidRPr="008A37CD" w14:paraId="3904A9EF" w14:textId="77777777" w:rsidTr="008A37CD">
        <w:trPr>
          <w:jc w:val="center"/>
        </w:trPr>
        <w:tc>
          <w:tcPr>
            <w:tcW w:w="1564" w:type="dxa"/>
          </w:tcPr>
          <w:p w14:paraId="5C5C9161" w14:textId="77777777" w:rsidR="008A37CD" w:rsidRPr="008A37CD" w:rsidRDefault="008A37CD" w:rsidP="0071035D">
            <w:pPr>
              <w:spacing w:after="0"/>
              <w:rPr>
                <w:rFonts w:cs="Times New Roman"/>
                <w:sz w:val="22"/>
              </w:rPr>
            </w:pPr>
            <w:r w:rsidRPr="008A37CD">
              <w:rPr>
                <w:rFonts w:cs="Times New Roman"/>
                <w:sz w:val="22"/>
              </w:rPr>
              <w:t>Crypto</w:t>
            </w:r>
          </w:p>
        </w:tc>
        <w:tc>
          <w:tcPr>
            <w:tcW w:w="1563" w:type="dxa"/>
          </w:tcPr>
          <w:p w14:paraId="66421E29" w14:textId="77777777" w:rsidR="008A37CD" w:rsidRPr="008A37CD" w:rsidRDefault="008A37CD" w:rsidP="0071035D">
            <w:pPr>
              <w:spacing w:after="0"/>
              <w:rPr>
                <w:rFonts w:cs="Times New Roman"/>
                <w:sz w:val="22"/>
              </w:rPr>
            </w:pPr>
            <w:r w:rsidRPr="008A37CD">
              <w:rPr>
                <w:rFonts w:cs="Times New Roman"/>
                <w:sz w:val="22"/>
              </w:rPr>
              <w:t>Equal Weight</w:t>
            </w:r>
          </w:p>
        </w:tc>
        <w:tc>
          <w:tcPr>
            <w:tcW w:w="1546" w:type="dxa"/>
          </w:tcPr>
          <w:p w14:paraId="118C08A1" w14:textId="77777777" w:rsidR="008A37CD" w:rsidRPr="008A37CD" w:rsidRDefault="008A37CD" w:rsidP="0071035D">
            <w:pPr>
              <w:spacing w:after="0"/>
              <w:rPr>
                <w:rFonts w:cs="Times New Roman"/>
                <w:sz w:val="22"/>
                <w:szCs w:val="20"/>
              </w:rPr>
            </w:pPr>
            <w:r w:rsidRPr="008A37CD">
              <w:rPr>
                <w:rFonts w:cs="Times New Roman"/>
                <w:sz w:val="22"/>
                <w:szCs w:val="20"/>
              </w:rPr>
              <w:t>6.90%</w:t>
            </w:r>
          </w:p>
        </w:tc>
        <w:tc>
          <w:tcPr>
            <w:tcW w:w="1701" w:type="dxa"/>
          </w:tcPr>
          <w:p w14:paraId="4433B406" w14:textId="77777777" w:rsidR="008A37CD" w:rsidRPr="008A37CD" w:rsidRDefault="008A37CD" w:rsidP="0071035D">
            <w:pPr>
              <w:spacing w:after="0"/>
              <w:rPr>
                <w:rFonts w:cs="Times New Roman"/>
                <w:sz w:val="22"/>
                <w:szCs w:val="20"/>
              </w:rPr>
            </w:pPr>
            <w:r w:rsidRPr="008A37CD">
              <w:rPr>
                <w:rFonts w:cs="Times New Roman"/>
                <w:sz w:val="22"/>
                <w:szCs w:val="20"/>
              </w:rPr>
              <w:t>71.54%</w:t>
            </w:r>
          </w:p>
        </w:tc>
        <w:tc>
          <w:tcPr>
            <w:tcW w:w="1559" w:type="dxa"/>
          </w:tcPr>
          <w:p w14:paraId="0E8E121D" w14:textId="77777777" w:rsidR="008A37CD" w:rsidRPr="008A37CD" w:rsidRDefault="008A37CD" w:rsidP="0071035D">
            <w:pPr>
              <w:spacing w:after="0"/>
              <w:rPr>
                <w:rFonts w:cs="Times New Roman"/>
                <w:sz w:val="22"/>
                <w:szCs w:val="20"/>
              </w:rPr>
            </w:pPr>
            <w:r w:rsidRPr="008A37CD">
              <w:rPr>
                <w:rFonts w:cs="Times New Roman"/>
                <w:sz w:val="22"/>
                <w:szCs w:val="20"/>
              </w:rPr>
              <w:t>0.097</w:t>
            </w:r>
          </w:p>
        </w:tc>
        <w:tc>
          <w:tcPr>
            <w:tcW w:w="1985" w:type="dxa"/>
          </w:tcPr>
          <w:p w14:paraId="7B59A465" w14:textId="77777777" w:rsidR="008A37CD" w:rsidRPr="008A37CD" w:rsidRDefault="008A37CD" w:rsidP="0071035D">
            <w:pPr>
              <w:spacing w:after="0"/>
              <w:rPr>
                <w:rFonts w:cs="Times New Roman"/>
                <w:sz w:val="22"/>
                <w:szCs w:val="20"/>
              </w:rPr>
            </w:pPr>
            <w:r w:rsidRPr="008A37CD">
              <w:rPr>
                <w:rFonts w:cs="Times New Roman"/>
                <w:sz w:val="22"/>
                <w:szCs w:val="20"/>
              </w:rPr>
              <w:t>-76.33%</w:t>
            </w:r>
          </w:p>
        </w:tc>
      </w:tr>
      <w:tr w:rsidR="008A37CD" w:rsidRPr="008A37CD" w14:paraId="56302BBE" w14:textId="77777777" w:rsidTr="008A37CD">
        <w:trPr>
          <w:jc w:val="center"/>
        </w:trPr>
        <w:tc>
          <w:tcPr>
            <w:tcW w:w="1564" w:type="dxa"/>
          </w:tcPr>
          <w:p w14:paraId="02F7F73E" w14:textId="77777777" w:rsidR="008A37CD" w:rsidRPr="008A37CD" w:rsidRDefault="008A37CD" w:rsidP="0071035D">
            <w:pPr>
              <w:spacing w:after="0"/>
              <w:rPr>
                <w:rFonts w:cs="Times New Roman"/>
                <w:sz w:val="22"/>
              </w:rPr>
            </w:pPr>
            <w:r w:rsidRPr="008A37CD">
              <w:rPr>
                <w:rFonts w:cs="Times New Roman"/>
                <w:sz w:val="22"/>
              </w:rPr>
              <w:t>Crypto</w:t>
            </w:r>
          </w:p>
        </w:tc>
        <w:tc>
          <w:tcPr>
            <w:tcW w:w="1563" w:type="dxa"/>
          </w:tcPr>
          <w:p w14:paraId="7DD4A896" w14:textId="77777777" w:rsidR="008A37CD" w:rsidRPr="008A37CD" w:rsidRDefault="008A37CD" w:rsidP="0071035D">
            <w:pPr>
              <w:spacing w:after="0"/>
              <w:rPr>
                <w:rFonts w:cs="Times New Roman"/>
                <w:sz w:val="22"/>
              </w:rPr>
            </w:pPr>
            <w:r w:rsidRPr="008A37CD">
              <w:rPr>
                <w:rFonts w:cs="Times New Roman"/>
                <w:sz w:val="22"/>
              </w:rPr>
              <w:t>Maximum Sharpe</w:t>
            </w:r>
          </w:p>
        </w:tc>
        <w:tc>
          <w:tcPr>
            <w:tcW w:w="1546" w:type="dxa"/>
          </w:tcPr>
          <w:p w14:paraId="625482FF" w14:textId="77777777" w:rsidR="008A37CD" w:rsidRPr="008A37CD" w:rsidRDefault="008A37CD" w:rsidP="0071035D">
            <w:pPr>
              <w:spacing w:after="0"/>
              <w:rPr>
                <w:rFonts w:cs="Times New Roman"/>
                <w:sz w:val="22"/>
                <w:szCs w:val="20"/>
              </w:rPr>
            </w:pPr>
            <w:r w:rsidRPr="008A37CD">
              <w:rPr>
                <w:rFonts w:cs="Times New Roman"/>
                <w:sz w:val="22"/>
                <w:szCs w:val="20"/>
              </w:rPr>
              <w:t>5.95%</w:t>
            </w:r>
          </w:p>
        </w:tc>
        <w:tc>
          <w:tcPr>
            <w:tcW w:w="1701" w:type="dxa"/>
          </w:tcPr>
          <w:p w14:paraId="5F324ED2" w14:textId="77777777" w:rsidR="008A37CD" w:rsidRPr="008A37CD" w:rsidRDefault="008A37CD" w:rsidP="0071035D">
            <w:pPr>
              <w:spacing w:after="0"/>
              <w:rPr>
                <w:rFonts w:cs="Times New Roman"/>
                <w:sz w:val="22"/>
                <w:szCs w:val="20"/>
              </w:rPr>
            </w:pPr>
            <w:r w:rsidRPr="008A37CD">
              <w:rPr>
                <w:rFonts w:cs="Times New Roman"/>
                <w:sz w:val="22"/>
                <w:szCs w:val="20"/>
              </w:rPr>
              <w:t>74.89%</w:t>
            </w:r>
          </w:p>
        </w:tc>
        <w:tc>
          <w:tcPr>
            <w:tcW w:w="1559" w:type="dxa"/>
          </w:tcPr>
          <w:p w14:paraId="2806B47E" w14:textId="77777777" w:rsidR="008A37CD" w:rsidRPr="008A37CD" w:rsidRDefault="008A37CD" w:rsidP="0071035D">
            <w:pPr>
              <w:spacing w:after="0"/>
              <w:rPr>
                <w:rFonts w:cs="Times New Roman"/>
                <w:sz w:val="22"/>
                <w:szCs w:val="20"/>
              </w:rPr>
            </w:pPr>
            <w:r w:rsidRPr="008A37CD">
              <w:rPr>
                <w:rFonts w:cs="Times New Roman"/>
                <w:sz w:val="22"/>
                <w:szCs w:val="20"/>
              </w:rPr>
              <w:t>0.079</w:t>
            </w:r>
          </w:p>
        </w:tc>
        <w:tc>
          <w:tcPr>
            <w:tcW w:w="1985" w:type="dxa"/>
          </w:tcPr>
          <w:p w14:paraId="24471653" w14:textId="77777777" w:rsidR="008A37CD" w:rsidRPr="008A37CD" w:rsidRDefault="008A37CD" w:rsidP="0071035D">
            <w:pPr>
              <w:spacing w:after="0"/>
              <w:rPr>
                <w:rFonts w:cs="Times New Roman"/>
                <w:sz w:val="22"/>
                <w:szCs w:val="20"/>
              </w:rPr>
            </w:pPr>
            <w:r w:rsidRPr="008A37CD">
              <w:rPr>
                <w:rFonts w:cs="Times New Roman"/>
                <w:sz w:val="22"/>
                <w:szCs w:val="20"/>
              </w:rPr>
              <w:t>-79.49%</w:t>
            </w:r>
          </w:p>
        </w:tc>
      </w:tr>
    </w:tbl>
    <w:p w14:paraId="110AFDB4" w14:textId="77777777" w:rsidR="008A37CD" w:rsidRPr="008A37CD" w:rsidRDefault="008A37CD" w:rsidP="008A37CD">
      <w:pPr>
        <w:spacing w:after="0"/>
        <w:rPr>
          <w:rFonts w:cs="Times New Roman"/>
          <w:b/>
          <w:bCs/>
          <w:sz w:val="16"/>
          <w:szCs w:val="14"/>
        </w:rPr>
      </w:pPr>
      <w:r w:rsidRPr="008A37CD">
        <w:rPr>
          <w:rFonts w:cs="Times New Roman"/>
          <w:b/>
          <w:bCs/>
          <w:sz w:val="16"/>
          <w:szCs w:val="14"/>
        </w:rPr>
        <w:t>Equity/Combined: 3 January 2022 – 29 December 2023</w:t>
      </w:r>
    </w:p>
    <w:p w14:paraId="6DB3A885" w14:textId="77777777" w:rsidR="008A37CD" w:rsidRPr="008A37CD" w:rsidRDefault="008A37CD" w:rsidP="008A37CD">
      <w:pPr>
        <w:rPr>
          <w:rFonts w:cs="Times New Roman"/>
          <w:b/>
          <w:bCs/>
          <w:sz w:val="16"/>
          <w:szCs w:val="14"/>
        </w:rPr>
      </w:pPr>
      <w:r w:rsidRPr="008A37CD">
        <w:rPr>
          <w:rFonts w:cs="Times New Roman"/>
          <w:b/>
          <w:bCs/>
          <w:sz w:val="16"/>
          <w:szCs w:val="14"/>
        </w:rPr>
        <w:t>Crypto: 20 May 2021 – 1 January 2024</w:t>
      </w:r>
    </w:p>
    <w:p w14:paraId="50F96F0B" w14:textId="77777777" w:rsidR="00844A94" w:rsidRPr="008A37CD" w:rsidRDefault="00844A94" w:rsidP="00844A94">
      <w:pPr>
        <w:widowControl w:val="0"/>
        <w:rPr>
          <w:rFonts w:cs="Times New Roman"/>
          <w:lang w:eastAsia="zh-CN"/>
        </w:rPr>
      </w:pPr>
    </w:p>
    <w:p w14:paraId="0C25DC5B"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Figure 1 in the Appendix gives a visual comparison of the Sharpe ratios of the fifteen funds. The findings reveal that there are significant differences between the portfolio construction methods and assets.</w:t>
      </w:r>
    </w:p>
    <w:p w14:paraId="23833CFE"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"Equity Equal-Weight" was the most effective portfolio in terms of both Sharpe ratio (0.416) and the highest annual return (7.37%). Though not the least risky in terms of maximum drawdown of -20.32%, due to its superior risk-adjusted return, it was the best-performing equity investment strategy in this set. This is consistent with the findings of the existing literature, whereby in cases of small samples with high dimensionality, simple allocation strategies based on the "1/n" rule usually beat optimal allocation strategies (Yuan &amp; Zhou, 2023). Considering </w:t>
      </w:r>
      <w:r w:rsidRPr="00844A94">
        <w:rPr>
          <w:rFonts w:cs="Times New Roman"/>
          <w:lang w:eastAsia="zh-CN"/>
        </w:rPr>
        <w:lastRenderedPageBreak/>
        <w:t>that the portfolio consists of 50 stocks and has only 504 estimation days' data available, there is considerable estimation error in the covariance matrix and no valid signal in the average returns.</w:t>
      </w:r>
    </w:p>
    <w:p w14:paraId="7CC79D02"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The minimum variance portfolio exhibited the lowest maximum drawdown at −16.45% and second-lowest volatility at 13.49%, while producing a decent Sharpe ratio of 0.28. It is, therefore, the better option for risk management products. The “minimum variance” approach pays no regard to estimates of mean return whatsoever, instead considering only the covariance structure, and thereby avoiding the two main causes of estimation error that affect “maximum Sharpe ratio” portfolios.</w:t>
      </w:r>
    </w:p>
    <w:p w14:paraId="10DF5389" w14:textId="77777777" w:rsidR="00844A94" w:rsidRPr="00687ACA" w:rsidRDefault="00844A94" w:rsidP="00844A94">
      <w:pPr>
        <w:widowControl w:val="0"/>
        <w:spacing w:line="360" w:lineRule="auto"/>
        <w:ind w:firstLineChars="200" w:firstLine="480"/>
        <w:rPr>
          <w:rFonts w:cs="Times New Roman"/>
          <w:lang w:eastAsia="zh-CN"/>
        </w:rPr>
      </w:pPr>
      <w:r w:rsidRPr="00844A94">
        <w:rPr>
          <w:rFonts w:cs="Times New Roman"/>
          <w:lang w:eastAsia="zh-CN"/>
        </w:rPr>
        <w:t>All "Maximum Sharpe Ratio" funds were bad in all categories. "Maximum Sharpe Ratio" diversified funds yielded -7.33% annualized return and had a Sharpe ratio of -0.371. As it follows from the logic above, it is simple; estimates of the daily mean returns have much noise, and optimization techniques give a lot of weight to those assets that happen to have a positive mean in the estimation period. When mean returns revert—or if they were noise to begin with—the fund takes losses. "Maximum Sharpe Ratio" equity funds showed a somewhat better result (-2.6</w:t>
      </w:r>
      <w:r w:rsidRPr="00687ACA">
        <w:rPr>
          <w:rFonts w:cs="Times New Roman"/>
          <w:lang w:eastAsia="zh-CN"/>
        </w:rPr>
        <w:t>6% annualized return and -0.138 Sharpe ratio), but the performance pattern was the same.</w:t>
      </w:r>
    </w:p>
    <w:p w14:paraId="62946158" w14:textId="4B534185" w:rsidR="00844A94" w:rsidRPr="00687ACA" w:rsidRDefault="00844A94" w:rsidP="00844A94">
      <w:pPr>
        <w:widowControl w:val="0"/>
        <w:spacing w:line="360" w:lineRule="auto"/>
        <w:ind w:firstLineChars="200" w:firstLine="480"/>
        <w:rPr>
          <w:rFonts w:cs="Times New Roman"/>
          <w:lang w:eastAsia="zh-CN"/>
        </w:rPr>
      </w:pPr>
      <w:r w:rsidRPr="00687ACA">
        <w:rPr>
          <w:rFonts w:cs="Times New Roman"/>
          <w:lang w:eastAsia="zh-CN"/>
        </w:rPr>
        <w:t>The crypto market experienced a "crypto winter" period from 2022 to 2023 due to the failure of Terra/Luna</w:t>
      </w:r>
      <w:r w:rsidRPr="00687ACA">
        <w:rPr>
          <w:rFonts w:cs="Times New Roman"/>
        </w:rPr>
        <w:t xml:space="preserve"> </w:t>
      </w:r>
      <w:r w:rsidRPr="00687ACA">
        <w:rPr>
          <w:rFonts w:cs="Times New Roman"/>
          <w:lang w:eastAsia="zh-CN"/>
        </w:rPr>
        <w:t>(</w:t>
      </w:r>
      <w:proofErr w:type="spellStart"/>
      <w:r w:rsidRPr="00687ACA">
        <w:rPr>
          <w:rFonts w:cs="Times New Roman"/>
          <w:lang w:eastAsia="zh-CN"/>
        </w:rPr>
        <w:t>Briola</w:t>
      </w:r>
      <w:proofErr w:type="spellEnd"/>
      <w:r w:rsidRPr="00687ACA">
        <w:rPr>
          <w:rFonts w:cs="Times New Roman"/>
          <w:lang w:eastAsia="zh-CN"/>
        </w:rPr>
        <w:t xml:space="preserve"> et al., 2023) and the bankruptcy of FTX</w:t>
      </w:r>
      <w:r w:rsidRPr="00687ACA">
        <w:rPr>
          <w:rFonts w:cs="Times New Roman"/>
        </w:rPr>
        <w:t xml:space="preserve"> </w:t>
      </w:r>
      <w:r w:rsidRPr="00687ACA">
        <w:rPr>
          <w:rFonts w:cs="Times New Roman"/>
          <w:lang w:eastAsia="zh-CN"/>
        </w:rPr>
        <w:t xml:space="preserve">(Vidal-Tomás et al., 2023). Despite that, "minimum variance" crypto portfolios managed to generate </w:t>
      </w:r>
      <w:r w:rsidR="00960754" w:rsidRPr="00687ACA">
        <w:t>positive return (19.30%)</w:t>
      </w:r>
      <w:r w:rsidRPr="00687ACA">
        <w:rPr>
          <w:rFonts w:cs="Times New Roman"/>
          <w:lang w:eastAsia="zh-CN"/>
        </w:rPr>
        <w:t xml:space="preserve"> coupled with high volatility (</w:t>
      </w:r>
      <w:r w:rsidR="00960754" w:rsidRPr="00687ACA">
        <w:t>58.01%</w:t>
      </w:r>
      <w:r w:rsidR="00960754" w:rsidRPr="00687ACA">
        <w:rPr>
          <w:rFonts w:hint="eastAsia"/>
          <w:lang w:eastAsia="zh-CN"/>
        </w:rPr>
        <w:t>)</w:t>
      </w:r>
      <w:r w:rsidRPr="00687ACA">
        <w:rPr>
          <w:rFonts w:cs="Times New Roman"/>
          <w:lang w:eastAsia="zh-CN"/>
        </w:rPr>
        <w:t xml:space="preserve">. Although cryptocurrencies have been used in diversified portfolios for diversification reasons, </w:t>
      </w:r>
      <w:proofErr w:type="gramStart"/>
      <w:r w:rsidRPr="00687ACA">
        <w:rPr>
          <w:rFonts w:cs="Times New Roman"/>
          <w:lang w:eastAsia="zh-CN"/>
        </w:rPr>
        <w:t>in reality, they</w:t>
      </w:r>
      <w:proofErr w:type="gramEnd"/>
      <w:r w:rsidRPr="00687ACA">
        <w:rPr>
          <w:rFonts w:cs="Times New Roman"/>
          <w:lang w:eastAsia="zh-CN"/>
        </w:rPr>
        <w:t xml:space="preserve"> became more correlated to stocks in times of market turmoil in this particular time period.</w:t>
      </w:r>
    </w:p>
    <w:p w14:paraId="71675E1C" w14:textId="77777777" w:rsidR="00844A94" w:rsidRPr="00687ACA"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687ACA">
        <w:rPr>
          <w:rFonts w:ascii="Times New Roman" w:hAnsi="Times New Roman" w:cs="Times New Roman"/>
          <w:color w:val="000000" w:themeColor="text1"/>
          <w:sz w:val="36"/>
          <w:szCs w:val="36"/>
        </w:rPr>
        <w:t>2.2 What the Results Mean for Portfolio Choice</w:t>
      </w:r>
    </w:p>
    <w:p w14:paraId="25923CA7" w14:textId="73F94B63" w:rsidR="00844A94" w:rsidRPr="00687ACA" w:rsidRDefault="00844A94" w:rsidP="00844A94">
      <w:pPr>
        <w:widowControl w:val="0"/>
        <w:spacing w:line="360" w:lineRule="auto"/>
        <w:ind w:firstLineChars="200" w:firstLine="480"/>
        <w:rPr>
          <w:rFonts w:cs="Times New Roman"/>
          <w:lang w:eastAsia="zh-CN"/>
        </w:rPr>
      </w:pPr>
      <w:r w:rsidRPr="00687ACA">
        <w:rPr>
          <w:rFonts w:cs="Times New Roman"/>
          <w:lang w:eastAsia="zh-CN"/>
        </w:rPr>
        <w:t>For conservative investors, the "Combined Minimum-Variance" portfolio is the safest among all historical portfolios considered. The lower volatility and drawdowns of this portfolio make its risk assessment more straightforward, but the 16.</w:t>
      </w:r>
      <w:r w:rsidR="006D3781" w:rsidRPr="00687ACA">
        <w:rPr>
          <w:rFonts w:cs="Times New Roman" w:hint="eastAsia"/>
          <w:lang w:eastAsia="zh-CN"/>
        </w:rPr>
        <w:t>50</w:t>
      </w:r>
      <w:r w:rsidRPr="00687ACA">
        <w:rPr>
          <w:rFonts w:cs="Times New Roman"/>
          <w:lang w:eastAsia="zh-CN"/>
        </w:rPr>
        <w:t xml:space="preserve">% drawdown should not be ignored. For moderate investors focused on achieving growth in the long term, the "Equity Equal-Weight" portfolio is preferable because it provides the highest equity Sharpe ratio and uses stable weight allocations without using estimates of the expected returns. However, for aggressive investors, </w:t>
      </w:r>
      <w:r w:rsidRPr="00687ACA">
        <w:rPr>
          <w:rFonts w:cs="Times New Roman"/>
          <w:lang w:eastAsia="zh-CN"/>
        </w:rPr>
        <w:lastRenderedPageBreak/>
        <w:t xml:space="preserve">there are several issues. The </w:t>
      </w:r>
      <w:r w:rsidRPr="00687ACA">
        <w:rPr>
          <w:rFonts w:cs="Times New Roman"/>
          <w:szCs w:val="24"/>
          <w:lang w:eastAsia="zh-CN"/>
        </w:rPr>
        <w:t xml:space="preserve">"Crypto </w:t>
      </w:r>
      <w:r w:rsidR="004A4952" w:rsidRPr="00687ACA">
        <w:rPr>
          <w:rFonts w:cs="Times New Roman"/>
          <w:szCs w:val="24"/>
        </w:rPr>
        <w:t>Minimum Variance</w:t>
      </w:r>
      <w:r w:rsidR="004A4952" w:rsidRPr="00687ACA">
        <w:rPr>
          <w:rFonts w:cs="Times New Roman"/>
          <w:szCs w:val="24"/>
          <w:lang w:eastAsia="zh-CN"/>
        </w:rPr>
        <w:t xml:space="preserve"> </w:t>
      </w:r>
      <w:r w:rsidRPr="00687ACA">
        <w:rPr>
          <w:rFonts w:cs="Times New Roman"/>
          <w:szCs w:val="24"/>
          <w:lang w:eastAsia="zh-CN"/>
        </w:rPr>
        <w:t>" p</w:t>
      </w:r>
      <w:r w:rsidRPr="00687ACA">
        <w:rPr>
          <w:rFonts w:cs="Times New Roman"/>
          <w:lang w:eastAsia="zh-CN"/>
        </w:rPr>
        <w:t>ortfolio is the one that showed the highest results, but with 7</w:t>
      </w:r>
      <w:r w:rsidR="00D74E4D" w:rsidRPr="00687ACA">
        <w:rPr>
          <w:rFonts w:cs="Times New Roman" w:hint="eastAsia"/>
          <w:lang w:eastAsia="zh-CN"/>
        </w:rPr>
        <w:t>5</w:t>
      </w:r>
      <w:r w:rsidRPr="00687ACA">
        <w:rPr>
          <w:rFonts w:cs="Times New Roman"/>
          <w:lang w:eastAsia="zh-CN"/>
        </w:rPr>
        <w:t>.</w:t>
      </w:r>
      <w:r w:rsidR="00D74E4D" w:rsidRPr="00687ACA">
        <w:rPr>
          <w:rFonts w:cs="Times New Roman" w:hint="eastAsia"/>
          <w:lang w:eastAsia="zh-CN"/>
        </w:rPr>
        <w:t>84</w:t>
      </w:r>
      <w:r w:rsidRPr="00687ACA">
        <w:rPr>
          <w:rFonts w:cs="Times New Roman"/>
          <w:lang w:eastAsia="zh-CN"/>
        </w:rPr>
        <w:t xml:space="preserve">% drawdown, it is unreasonable to recommend this portfolio only </w:t>
      </w:r>
      <w:proofErr w:type="gramStart"/>
      <w:r w:rsidRPr="00687ACA">
        <w:rPr>
          <w:rFonts w:cs="Times New Roman"/>
          <w:lang w:eastAsia="zh-CN"/>
        </w:rPr>
        <w:t>on the basis of</w:t>
      </w:r>
      <w:proofErr w:type="gramEnd"/>
      <w:r w:rsidRPr="00687ACA">
        <w:rPr>
          <w:rFonts w:cs="Times New Roman"/>
          <w:lang w:eastAsia="zh-CN"/>
        </w:rPr>
        <w:t xml:space="preserve"> returns. Thus, the application should show information about risk, drawdowns, and returns together, not ranked by returns only.</w:t>
      </w:r>
    </w:p>
    <w:p w14:paraId="762D9C78" w14:textId="77777777" w:rsidR="00844A94" w:rsidRPr="00687ACA"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687ACA">
        <w:rPr>
          <w:rFonts w:ascii="Times New Roman" w:hAnsi="Times New Roman" w:cs="Times New Roman"/>
          <w:color w:val="000000" w:themeColor="text1"/>
          <w:sz w:val="36"/>
          <w:szCs w:val="36"/>
        </w:rPr>
        <w:t xml:space="preserve">2.3 Growth of $1 and Drawdown </w:t>
      </w:r>
      <w:proofErr w:type="spellStart"/>
      <w:r w:rsidRPr="00687ACA">
        <w:rPr>
          <w:rFonts w:ascii="Times New Roman" w:hAnsi="Times New Roman" w:cs="Times New Roman"/>
          <w:color w:val="000000" w:themeColor="text1"/>
          <w:sz w:val="36"/>
          <w:szCs w:val="36"/>
        </w:rPr>
        <w:t>Behaviour</w:t>
      </w:r>
      <w:proofErr w:type="spellEnd"/>
    </w:p>
    <w:p w14:paraId="4ED8A493" w14:textId="56F0041A" w:rsidR="00844A94" w:rsidRPr="00687ACA" w:rsidRDefault="00844A94" w:rsidP="00844A94">
      <w:pPr>
        <w:widowControl w:val="0"/>
        <w:spacing w:line="360" w:lineRule="auto"/>
        <w:ind w:firstLineChars="200" w:firstLine="480"/>
        <w:rPr>
          <w:rFonts w:cs="Times New Roman"/>
          <w:lang w:eastAsia="zh-CN"/>
        </w:rPr>
      </w:pPr>
      <w:r w:rsidRPr="00687ACA">
        <w:rPr>
          <w:rFonts w:cs="Times New Roman"/>
          <w:lang w:eastAsia="zh-CN"/>
        </w:rPr>
        <w:t>It can be observed that Appendix Figure 2 (Growth of $1 Comparison) offers a clearer picture of the findings compared to annualized figures alone. The Equity Equal Weight portfolio slowly differentiates itself from the rest of the portfolios due to its blend of good performance and low risk characteristics. On the other hand, the Combined Minimum Variance fund follows a smoother path. While the upside may not be so visible, the path is certainly more stable.</w:t>
      </w:r>
      <w:r w:rsidRPr="00687ACA">
        <w:rPr>
          <w:rFonts w:cs="Times New Roman"/>
        </w:rPr>
        <w:t xml:space="preserve"> </w:t>
      </w:r>
      <w:r w:rsidRPr="00687ACA">
        <w:rPr>
          <w:rFonts w:cs="Times New Roman"/>
          <w:lang w:eastAsia="zh-CN"/>
        </w:rPr>
        <w:t>Figure 8 in Appendix displays two separate quadrants, where</w:t>
      </w:r>
      <w:r w:rsidR="00A15900" w:rsidRPr="00687ACA">
        <w:t xml:space="preserve"> </w:t>
      </w:r>
      <w:r w:rsidR="00A15900" w:rsidRPr="00687ACA">
        <w:rPr>
          <w:rFonts w:cs="Times New Roman"/>
          <w:lang w:eastAsia="zh-CN"/>
        </w:rPr>
        <w:t>cryptocurrency funds are positioned in the top right-hand corner, indicating high volatility (58%-75%) and positive returns,</w:t>
      </w:r>
      <w:r w:rsidRPr="00687ACA">
        <w:rPr>
          <w:rFonts w:cs="Times New Roman"/>
          <w:lang w:eastAsia="zh-CN"/>
        </w:rPr>
        <w:t xml:space="preserve"> whereas stock funds are in the bottom left-hand corner, demonstrating moderate volatility (13%-20%) and varying returns.</w:t>
      </w:r>
    </w:p>
    <w:p w14:paraId="682E7457" w14:textId="77777777" w:rsidR="00844A94" w:rsidRPr="00687ACA" w:rsidRDefault="00844A94" w:rsidP="00844A94">
      <w:pPr>
        <w:widowControl w:val="0"/>
        <w:spacing w:line="360" w:lineRule="auto"/>
        <w:ind w:firstLineChars="200" w:firstLine="480"/>
        <w:rPr>
          <w:rFonts w:cs="Times New Roman"/>
          <w:lang w:eastAsia="zh-CN"/>
        </w:rPr>
      </w:pPr>
      <w:r w:rsidRPr="00687ACA">
        <w:rPr>
          <w:rFonts w:cs="Times New Roman"/>
          <w:lang w:eastAsia="zh-CN"/>
        </w:rPr>
        <w:t>The drawdown chart for the Combined Max-Sharpe fund</w:t>
      </w:r>
      <w:r w:rsidRPr="00687ACA">
        <w:rPr>
          <w:rFonts w:cs="Times New Roman"/>
          <w:lang w:eastAsia="zh-CN"/>
        </w:rPr>
        <w:t>（</w:t>
      </w:r>
      <w:r w:rsidRPr="00687ACA">
        <w:rPr>
          <w:rFonts w:cs="Times New Roman"/>
          <w:lang w:eastAsia="zh-CN"/>
        </w:rPr>
        <w:t>Appendix Figure 3</w:t>
      </w:r>
      <w:r w:rsidRPr="00687ACA">
        <w:rPr>
          <w:rFonts w:cs="Times New Roman"/>
          <w:lang w:eastAsia="zh-CN"/>
        </w:rPr>
        <w:t>）</w:t>
      </w:r>
      <w:r w:rsidRPr="00687ACA">
        <w:rPr>
          <w:rFonts w:cs="Times New Roman"/>
          <w:lang w:eastAsia="zh-CN"/>
        </w:rPr>
        <w:t>shows that there are three significant drawdowns of greater than 15%, with the largest one at -27.47% near the end of 2022. The fund did not fully recover by the end of the sample period. This is typical of mean-variance optimizers in noisy environments, where they tend to follow winners until their momentum turns (Mei et al., 2022; Wood et al., 2021).</w:t>
      </w:r>
    </w:p>
    <w:p w14:paraId="59321EBF" w14:textId="77777777" w:rsidR="00844A94" w:rsidRPr="00687ACA"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687ACA">
        <w:rPr>
          <w:rFonts w:ascii="Times New Roman" w:hAnsi="Times New Roman" w:cs="Times New Roman"/>
          <w:color w:val="000000" w:themeColor="text1"/>
          <w:sz w:val="36"/>
          <w:szCs w:val="36"/>
        </w:rPr>
        <w:t>2.4 Weight Stability and Concentration</w:t>
      </w:r>
    </w:p>
    <w:p w14:paraId="72D269DD" w14:textId="76C821CE" w:rsidR="00844A94" w:rsidRPr="00687ACA" w:rsidRDefault="00844A94" w:rsidP="00844A94">
      <w:pPr>
        <w:widowControl w:val="0"/>
        <w:spacing w:line="360" w:lineRule="auto"/>
        <w:ind w:firstLineChars="200" w:firstLine="480"/>
        <w:rPr>
          <w:rFonts w:cs="Times New Roman"/>
          <w:lang w:eastAsia="zh-CN"/>
        </w:rPr>
      </w:pPr>
      <w:proofErr w:type="gramStart"/>
      <w:r w:rsidRPr="00687ACA">
        <w:rPr>
          <w:rFonts w:cs="Times New Roman"/>
          <w:lang w:eastAsia="zh-CN"/>
        </w:rPr>
        <w:t>The each</w:t>
      </w:r>
      <w:proofErr w:type="gramEnd"/>
      <w:r w:rsidRPr="00687ACA">
        <w:rPr>
          <w:rFonts w:cs="Times New Roman"/>
          <w:lang w:eastAsia="zh-CN"/>
        </w:rPr>
        <w:t xml:space="preserve"> panel in </w:t>
      </w:r>
      <w:r w:rsidR="006D3781" w:rsidRPr="00687ACA">
        <w:rPr>
          <w:rStyle w:val="HTML"/>
          <w:rFonts w:ascii="Times New Roman" w:hAnsi="Times New Roman" w:cs="Times New Roman"/>
        </w:rPr>
        <w:t>Appendix Figure 4 illustrates the sector-level allocation for the Combined family across different portfolio methods.</w:t>
      </w:r>
      <w:r w:rsidRPr="00687ACA">
        <w:rPr>
          <w:rFonts w:cs="Times New Roman"/>
          <w:lang w:eastAsia="zh-CN"/>
        </w:rPr>
        <w:t xml:space="preserve"> Max-Sharpe demonstrates the most concentrated and unstable weight profile, while Equal Weight and HRP illustrate the most smooth and diversified weight trajectories. Minimum Variance weight profile is dominated by defensive sectors such as healthcare and consumer goods.</w:t>
      </w:r>
    </w:p>
    <w:p w14:paraId="0D343362" w14:textId="77777777" w:rsidR="00844A94" w:rsidRPr="00844A94" w:rsidRDefault="00844A94" w:rsidP="00D941DB">
      <w:pPr>
        <w:pStyle w:val="1"/>
        <w:keepNext w:val="0"/>
        <w:keepLines w:val="0"/>
        <w:widowControl w:val="0"/>
        <w:spacing w:line="360" w:lineRule="auto"/>
        <w:rPr>
          <w:rFonts w:ascii="Times New Roman" w:hAnsi="Times New Roman" w:cs="Times New Roman"/>
          <w:color w:val="000000" w:themeColor="text1"/>
          <w:sz w:val="36"/>
          <w:szCs w:val="36"/>
        </w:rPr>
      </w:pPr>
      <w:r w:rsidRPr="00687ACA">
        <w:rPr>
          <w:rFonts w:ascii="Times New Roman" w:hAnsi="Times New Roman" w:cs="Times New Roman"/>
          <w:color w:val="000000" w:themeColor="text1"/>
          <w:sz w:val="36"/>
          <w:szCs w:val="36"/>
        </w:rPr>
        <w:t>3. Construction and Evaluation of t</w:t>
      </w:r>
      <w:r w:rsidRPr="00844A94">
        <w:rPr>
          <w:rFonts w:ascii="Times New Roman" w:hAnsi="Times New Roman" w:cs="Times New Roman"/>
          <w:color w:val="000000" w:themeColor="text1"/>
          <w:sz w:val="36"/>
          <w:szCs w:val="36"/>
        </w:rPr>
        <w:t>he News-Sentiment Index</w:t>
      </w:r>
    </w:p>
    <w:p w14:paraId="26A3DFE4"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lastRenderedPageBreak/>
        <w:t>3.1 Data and Processing Pipeline</w:t>
      </w:r>
    </w:p>
    <w:p w14:paraId="77D0E486"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sentiment analysis part intends to see if unstructured news data can help in the portfolio construction process using quantitative methods. The source data set includes 149,683 unique news headlines that have been gathered for 50 stock items during the </w:t>
      </w:r>
      <w:proofErr w:type="gramStart"/>
      <w:r w:rsidRPr="00844A94">
        <w:rPr>
          <w:rFonts w:cs="Times New Roman"/>
          <w:lang w:eastAsia="zh-CN"/>
        </w:rPr>
        <w:t>time period</w:t>
      </w:r>
      <w:proofErr w:type="gramEnd"/>
      <w:r w:rsidRPr="00844A94">
        <w:rPr>
          <w:rFonts w:cs="Times New Roman"/>
          <w:lang w:eastAsia="zh-CN"/>
        </w:rPr>
        <w:t xml:space="preserve"> between 2020 and 2023. It is important to understand that the goal is not to prove the fact that all the headlines include trading signals, but to analyze if financial language can help in revealing the changes in market situation.</w:t>
      </w:r>
    </w:p>
    <w:p w14:paraId="23DBD973"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The specific process involved in the investigation includes:</w:t>
      </w:r>
    </w:p>
    <w:p w14:paraId="4431D27D"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1. Headline text assembly: the headlines are mapped to the same or next equity trading day. </w:t>
      </w:r>
      <w:proofErr w:type="spellStart"/>
      <w:r w:rsidRPr="00844A94">
        <w:rPr>
          <w:rFonts w:cs="Times New Roman"/>
          <w:lang w:eastAsia="zh-CN"/>
        </w:rPr>
        <w:t>Stopwords</w:t>
      </w:r>
      <w:proofErr w:type="spellEnd"/>
      <w:r w:rsidRPr="00844A94">
        <w:rPr>
          <w:rFonts w:cs="Times New Roman"/>
          <w:lang w:eastAsia="zh-CN"/>
        </w:rPr>
        <w:t xml:space="preserve"> removal and lower-casing is not used since VADER makes use of punctuation, casing, and negation in scoring its rules.</w:t>
      </w:r>
    </w:p>
    <w:p w14:paraId="4664EAB7"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2. VADER sentiment scoring: ticker-day text bundle is scored using the NLTK's </w:t>
      </w:r>
      <w:proofErr w:type="spellStart"/>
      <w:r w:rsidRPr="00844A94">
        <w:rPr>
          <w:rFonts w:cs="Times New Roman"/>
          <w:lang w:eastAsia="zh-CN"/>
        </w:rPr>
        <w:t>SentimentIntensityAnalyzer</w:t>
      </w:r>
      <w:proofErr w:type="spellEnd"/>
      <w:r w:rsidRPr="00844A94">
        <w:rPr>
          <w:rFonts w:cs="Times New Roman"/>
          <w:lang w:eastAsia="zh-CN"/>
        </w:rPr>
        <w:t xml:space="preserve"> module. The compound score can take values between -1 and +1.</w:t>
      </w:r>
    </w:p>
    <w:p w14:paraId="288D3823"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3. </w:t>
      </w:r>
      <w:proofErr w:type="spellStart"/>
      <w:r w:rsidRPr="00844A94">
        <w:rPr>
          <w:rFonts w:cs="Times New Roman"/>
          <w:lang w:eastAsia="zh-CN"/>
        </w:rPr>
        <w:t>FinVADER</w:t>
      </w:r>
      <w:proofErr w:type="spellEnd"/>
      <w:r w:rsidRPr="00844A94">
        <w:rPr>
          <w:rFonts w:cs="Times New Roman"/>
          <w:lang w:eastAsia="zh-CN"/>
        </w:rPr>
        <w:t xml:space="preserve"> modification: the </w:t>
      </w:r>
      <w:proofErr w:type="gramStart"/>
      <w:r w:rsidRPr="00844A94">
        <w:rPr>
          <w:rFonts w:cs="Times New Roman"/>
          <w:lang w:eastAsia="zh-CN"/>
        </w:rPr>
        <w:t>general purpose</w:t>
      </w:r>
      <w:proofErr w:type="gramEnd"/>
      <w:r w:rsidRPr="00844A94">
        <w:rPr>
          <w:rFonts w:cs="Times New Roman"/>
          <w:lang w:eastAsia="zh-CN"/>
        </w:rPr>
        <w:t xml:space="preserve"> lexicon is modified by adding about 50 words which are related to the finance domain, such as 'surge', 'plunge', 'bullish', and 'bankruptcy'.</w:t>
      </w:r>
    </w:p>
    <w:p w14:paraId="4CAF5F65"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4. Equal-weight sector aggregation: The scores are aggregated on the level of sectors using equal-weighted tickers and lagged by one trading day. The lag is crucial. Otherwise, it might be the case that the model will utilize information which was not available at the time when the portfolio decision was being made. The lag introduces some delay, which is an acceptable compromise.</w:t>
      </w:r>
    </w:p>
    <w:p w14:paraId="7EEB86DF"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3.2 Handling No-News Days</w:t>
      </w:r>
    </w:p>
    <w:p w14:paraId="2CA20968"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practical sentiment model requires a way to deal with cases where there is no relevant news for an asset. Assuming that the lack of news is always neutral would destroy useful data, while assuming that the previous sentiment score should always be used could lead to out-of-date signals. Therefore, the practical sentiment model uses the carry-forward approach for five trading </w:t>
      </w:r>
      <w:r w:rsidRPr="00844A94">
        <w:rPr>
          <w:rFonts w:cs="Times New Roman"/>
          <w:lang w:eastAsia="zh-CN"/>
        </w:rPr>
        <w:lastRenderedPageBreak/>
        <w:t>days, after which the signal returns to zero; once a sector gets no news for five trading days, the sentiment score becomes zero again. This five-day approach is just a pragmatic decision, rather than the optimal one. The idea is that the news sentiment can be valid for several trading days, but it is not valid forever. The duration should be varied in future tests.</w:t>
      </w:r>
    </w:p>
    <w:p w14:paraId="5F4F9FF0"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 xml:space="preserve">3.3 Sentiment Index </w:t>
      </w:r>
      <w:proofErr w:type="spellStart"/>
      <w:r w:rsidRPr="00844A94">
        <w:rPr>
          <w:rFonts w:ascii="Times New Roman" w:hAnsi="Times New Roman" w:cs="Times New Roman"/>
          <w:color w:val="000000" w:themeColor="text1"/>
          <w:sz w:val="36"/>
          <w:szCs w:val="36"/>
        </w:rPr>
        <w:t>Behaviour</w:t>
      </w:r>
      <w:proofErr w:type="spellEnd"/>
      <w:r w:rsidRPr="00844A94">
        <w:rPr>
          <w:rFonts w:ascii="Times New Roman" w:hAnsi="Times New Roman" w:cs="Times New Roman"/>
          <w:color w:val="000000" w:themeColor="text1"/>
          <w:sz w:val="36"/>
          <w:szCs w:val="36"/>
        </w:rPr>
        <w:t xml:space="preserve"> Over Time</w:t>
      </w:r>
    </w:p>
    <w:p w14:paraId="0CB7AD22"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As depicted in Appendix Figure 5, the Sector Sentiment Index is mostly consistent with major events occurring in the market. In the wake of the market crash resulting from the outbreak of COVID-19 in March 2020, sentiment became very negative across all sectors, especially in the energy and financial sectors where it fell within -0.4 to -0.5. This proves the efficiency of the Sector Sentiment Index as an effective means of measuring crises. During the recovery period of 2021, the technology and consumer discretionary sectors showed consistent positive sentiment. The market downturn of 2022 saw negative sentiment rising significantly across all markets, especially those with growth prospects. There was notable dispersion as well, with the difference in sentiment between the most optimistic and pessimistic sectors being 0.3-0.5 in most days.</w:t>
      </w:r>
    </w:p>
    <w:p w14:paraId="7D7996E3"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patterns offer face validity proof for the idea that the sentiment measures </w:t>
      </w:r>
      <w:proofErr w:type="gramStart"/>
      <w:r w:rsidRPr="00844A94">
        <w:rPr>
          <w:rFonts w:cs="Times New Roman"/>
          <w:lang w:eastAsia="zh-CN"/>
        </w:rPr>
        <w:t>are able to</w:t>
      </w:r>
      <w:proofErr w:type="gramEnd"/>
      <w:r w:rsidRPr="00844A94">
        <w:rPr>
          <w:rFonts w:cs="Times New Roman"/>
          <w:lang w:eastAsia="zh-CN"/>
        </w:rPr>
        <w:t xml:space="preserve"> identify shifts in investors' moods during market history events. However, the possibility of capturing past crises accurately does not guarantee that it will be possible to forecast future returns. For that reason, this study sees sentiment as a useful research variable but not a reliable predictor or alpha generator. It is a matter of investigation whether sentiment has any predictive or causal value.</w:t>
      </w:r>
    </w:p>
    <w:p w14:paraId="3C9E82BE"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3.4 Fear &amp; Greed Index</w:t>
      </w:r>
    </w:p>
    <w:p w14:paraId="280A8BAA"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Fear &amp; Greed Index provides a market-wide view of investor sentiment, complementing the sector-level index. The z-score is designed to flag genuinely unusual extremes rather than persistent optimism or pessimism. From Appendix Figure 7, the </w:t>
      </w:r>
      <w:proofErr w:type="spellStart"/>
      <w:r w:rsidRPr="00844A94">
        <w:rPr>
          <w:rFonts w:cs="Times New Roman"/>
          <w:lang w:eastAsia="zh-CN"/>
        </w:rPr>
        <w:t>standardised</w:t>
      </w:r>
      <w:proofErr w:type="spellEnd"/>
      <w:r w:rsidRPr="00844A94">
        <w:rPr>
          <w:rFonts w:cs="Times New Roman"/>
          <w:lang w:eastAsia="zh-CN"/>
        </w:rPr>
        <w:t xml:space="preserve"> z-score successfully identifies fear spikes that coincide with known market stress events, including the COVID crash in March 2020 and the Omicron announcement in late 2021. This alignment gives face validity to the sentiment measure as a descriptive indicator of market </w:t>
      </w:r>
      <w:r w:rsidRPr="00844A94">
        <w:rPr>
          <w:rFonts w:cs="Times New Roman"/>
          <w:lang w:eastAsia="zh-CN"/>
        </w:rPr>
        <w:lastRenderedPageBreak/>
        <w:t>psychology, even though it does not demonstrate predictive power for future returns.</w:t>
      </w:r>
    </w:p>
    <w:p w14:paraId="379CCE07"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3.5 Limitations of the Sentiment Measure</w:t>
      </w:r>
    </w:p>
    <w:p w14:paraId="1598B125"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The Sector Sentiment index properly identifies known macroeconomic events such as the market crash in 2020, market recovery in 2021, and market decline in 2022 and shows reasonable diversification by industry sector. Extreme values correspond to known times of stress in the market. Nevertheless, there are certain shortcomings left:</w:t>
      </w:r>
    </w:p>
    <w:p w14:paraId="1DD0A0AD"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First, the data is composed of headlines but not entire articles. Headlines tend to be concise and lack any context; thus, a headline can be quite negative even though the actual news can be surprisingly positive and vice versa. It obviously puts a natural ceiling on how well the classification can work.</w:t>
      </w:r>
    </w:p>
    <w:p w14:paraId="67B0C438" w14:textId="642280E3" w:rsidR="00844A94" w:rsidRPr="00844A94" w:rsidRDefault="004D6303" w:rsidP="00844A94">
      <w:pPr>
        <w:widowControl w:val="0"/>
        <w:spacing w:line="360" w:lineRule="auto"/>
        <w:ind w:firstLineChars="200" w:firstLine="480"/>
        <w:rPr>
          <w:rFonts w:cs="Times New Roman"/>
          <w:lang w:eastAsia="zh-CN"/>
        </w:rPr>
      </w:pPr>
      <w:r w:rsidRPr="00687ACA">
        <w:rPr>
          <w:rFonts w:cs="Times New Roman"/>
          <w:lang w:eastAsia="zh-CN"/>
        </w:rPr>
        <w:t xml:space="preserve">Second, the problem is the neutral residual. </w:t>
      </w:r>
      <w:proofErr w:type="spellStart"/>
      <w:r w:rsidRPr="00687ACA">
        <w:rPr>
          <w:rFonts w:cs="Times New Roman"/>
          <w:lang w:eastAsia="zh-CN"/>
        </w:rPr>
        <w:t>FinVADER</w:t>
      </w:r>
      <w:proofErr w:type="spellEnd"/>
      <w:r w:rsidRPr="00687ACA">
        <w:rPr>
          <w:rFonts w:cs="Times New Roman"/>
          <w:lang w:eastAsia="zh-CN"/>
        </w:rPr>
        <w:t xml:space="preserve"> lowers the neutral category to about 23.0% (from the initial 24.1%), which is a modest improvement</w:t>
      </w:r>
      <w:r w:rsidR="00844A94" w:rsidRPr="00687ACA">
        <w:rPr>
          <w:rFonts w:cs="Times New Roman"/>
          <w:lang w:eastAsia="zh-CN"/>
        </w:rPr>
        <w:t>. Still, it means that a considerable share of the headlines does not produce extreme scores. It does not mean that they are useless; some news could indeed be neutral. But it certainly makes less directional data available for portfolios.</w:t>
      </w:r>
    </w:p>
    <w:p w14:paraId="03647B1A"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Finally, it is the problem of coverage. The sentiment algorithm works only for equities; thus, cryptocurrency positions cannot react to cryptocurrency news sentiment signals.</w:t>
      </w:r>
    </w:p>
    <w:p w14:paraId="40D3575B" w14:textId="77777777" w:rsidR="00844A94" w:rsidRPr="00844A94" w:rsidRDefault="00844A94" w:rsidP="00D941DB">
      <w:pPr>
        <w:pStyle w:val="1"/>
        <w:keepNext w:val="0"/>
        <w:keepLines w:val="0"/>
        <w:widowControl w:val="0"/>
        <w:spacing w:line="360" w:lineRule="auto"/>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4. Innovation Extensions and Evaluation</w:t>
      </w:r>
    </w:p>
    <w:p w14:paraId="06CB1FC5"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4.1 Extension 1: Hierarchical Risk Parity (HRP)</w:t>
      </w:r>
    </w:p>
    <w:p w14:paraId="398E76A6" w14:textId="77777777" w:rsidR="00844A94" w:rsidRPr="00844A94" w:rsidRDefault="00844A94" w:rsidP="00844A94">
      <w:pPr>
        <w:widowControl w:val="0"/>
        <w:spacing w:line="360" w:lineRule="auto"/>
        <w:ind w:firstLineChars="200" w:firstLine="480"/>
        <w:rPr>
          <w:rFonts w:cs="Times New Roman"/>
          <w:lang w:eastAsia="zh-CN"/>
        </w:rPr>
      </w:pPr>
      <w:bookmarkStart w:id="0" w:name="OLE_LINK2"/>
      <w:r w:rsidRPr="00844A94">
        <w:rPr>
          <w:rFonts w:cs="Times New Roman"/>
          <w:lang w:eastAsia="zh-CN"/>
        </w:rPr>
        <w:t xml:space="preserve">HRP methodology stands out as the most innovative way of constructing a portfolio among all risk parity methodologies. The covariance structure is used in traditional risk parity to compute marginal risk contribution; in case the correlation increases, and hence the covariance matrix becomes ill-conditioned, a small shift in the estimates may cause a large change in the portfolio weights. However, HRP solves the problem through restructuring the optimization problem (Antonov et al., 2024). In the HRP approach, the correlation matrix is transformed into </w:t>
      </w:r>
      <w:r w:rsidRPr="00844A94">
        <w:rPr>
          <w:rFonts w:cs="Times New Roman"/>
          <w:lang w:eastAsia="zh-CN"/>
        </w:rPr>
        <w:lastRenderedPageBreak/>
        <w:t xml:space="preserve">the distance measure, given as </w:t>
      </w:r>
      <m:oMath>
        <m:r>
          <w:rPr>
            <w:rFonts w:ascii="Cambria Math" w:hAnsi="Cambria Math" w:cs="Times New Roman"/>
            <w:lang w:eastAsia="zh-CN"/>
          </w:rPr>
          <m:t>d=</m:t>
        </m:r>
        <m:rad>
          <m:radPr>
            <m:degHide m:val="1"/>
            <m:ctrlPr>
              <w:rPr>
                <w:rFonts w:ascii="Cambria Math" w:hAnsi="Cambria Math" w:cs="Times New Roman"/>
                <w:i/>
                <w:lang w:eastAsia="zh-CN"/>
              </w:rPr>
            </m:ctrlPr>
          </m:radPr>
          <m:deg/>
          <m:e>
            <m:r>
              <w:rPr>
                <w:rFonts w:ascii="Cambria Math" w:hAnsi="Cambria Math" w:cs="Times New Roman"/>
                <w:lang w:eastAsia="zh-CN"/>
              </w:rPr>
              <m:t>0.5</m:t>
            </m:r>
            <m:d>
              <m:dPr>
                <m:ctrlPr>
                  <w:rPr>
                    <w:rFonts w:ascii="Cambria Math" w:hAnsi="Cambria Math" w:cs="Times New Roman"/>
                    <w:i/>
                    <w:lang w:eastAsia="zh-CN"/>
                  </w:rPr>
                </m:ctrlPr>
              </m:dPr>
              <m:e>
                <m:r>
                  <w:rPr>
                    <w:rFonts w:ascii="Cambria Math" w:hAnsi="Cambria Math" w:cs="Times New Roman"/>
                    <w:lang w:eastAsia="zh-CN"/>
                  </w:rPr>
                  <m:t>1-ρ</m:t>
                </m:r>
              </m:e>
            </m:d>
          </m:e>
        </m:rad>
      </m:oMath>
      <w:r w:rsidRPr="00844A94">
        <w:rPr>
          <w:rFonts w:cs="Times New Roman"/>
          <w:lang w:eastAsia="zh-CN"/>
        </w:rPr>
        <w:t>, and then used in hierarchical clustering, which results in the formation of clusters with similar asset behavior without necessarily having to invert the covariance matrix (Lopez de Prado, 2016).</w:t>
      </w:r>
    </w:p>
    <w:bookmarkEnd w:id="0"/>
    <w:p w14:paraId="296A8CFB"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From among the portfolio strategies, the Sharpe ratio for Combined HRP is 0.250, and the volatility of 15.07%, while the Sharpe ratio for the Combined conventional risk parity strategy is 0.229, and its volatility is 16.94% (Table 2). This difference may be small, but it is consistent because the HRP strategy provides smoother weight dynamics and lower turnover rates, especially around the correlation spike in 2022 when the conventional risk parity strategy had unstable weight dynamics. Overall, the HRP strategy is an appropriate methodology that ensures better numerical stability. Even though the outperformance in the sample is insignificant, optimization stability brings some value to risk management.</w:t>
      </w:r>
    </w:p>
    <w:p w14:paraId="77AF4861"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 xml:space="preserve">4.2 Extension 2: </w:t>
      </w:r>
      <w:proofErr w:type="spellStart"/>
      <w:r w:rsidRPr="00844A94">
        <w:rPr>
          <w:rFonts w:ascii="Times New Roman" w:hAnsi="Times New Roman" w:cs="Times New Roman"/>
          <w:color w:val="000000" w:themeColor="text1"/>
          <w:sz w:val="36"/>
          <w:szCs w:val="36"/>
        </w:rPr>
        <w:t>FinVADER</w:t>
      </w:r>
      <w:proofErr w:type="spellEnd"/>
      <w:r w:rsidRPr="00844A94">
        <w:rPr>
          <w:rFonts w:ascii="Times New Roman" w:hAnsi="Times New Roman" w:cs="Times New Roman"/>
          <w:color w:val="000000" w:themeColor="text1"/>
          <w:sz w:val="36"/>
          <w:szCs w:val="36"/>
        </w:rPr>
        <w:t xml:space="preserve"> Lexicon</w:t>
      </w:r>
    </w:p>
    <w:p w14:paraId="1A78B138"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This extended version of </w:t>
      </w:r>
      <w:proofErr w:type="spellStart"/>
      <w:r w:rsidRPr="00844A94">
        <w:rPr>
          <w:rFonts w:cs="Times New Roman"/>
          <w:lang w:eastAsia="zh-CN"/>
        </w:rPr>
        <w:t>FinVADER</w:t>
      </w:r>
      <w:proofErr w:type="spellEnd"/>
      <w:r w:rsidRPr="00844A94">
        <w:rPr>
          <w:rFonts w:cs="Times New Roman"/>
          <w:lang w:eastAsia="zh-CN"/>
        </w:rPr>
        <w:t xml:space="preserve"> was created with transparency in mind. In other words, instead of substituting VADER with an opaque model, the method makes changes to the lexicon to provide finance-specific sentiment values ​​to popular financial lexemes. The problem that needs to be tackled here lies with the limitation of general-purpose sentiment lexicons, which do not consider the importance of certain words like "surge," "plummet," "downgrade," and "bankruptcy" as they can be very informative in finance news.</w:t>
      </w:r>
    </w:p>
    <w:p w14:paraId="23336E1D"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proportion of neutral classifications (defined as |compound| &lt; 0.05) was reduced from 24.1% for the original VADER to 23.0% for </w:t>
      </w:r>
      <w:proofErr w:type="spellStart"/>
      <w:r w:rsidRPr="00844A94">
        <w:rPr>
          <w:rFonts w:cs="Times New Roman"/>
          <w:lang w:eastAsia="zh-CN"/>
        </w:rPr>
        <w:t>FinVADER</w:t>
      </w:r>
      <w:proofErr w:type="spellEnd"/>
      <w:r w:rsidRPr="00844A94">
        <w:rPr>
          <w:rFonts w:cs="Times New Roman"/>
          <w:lang w:eastAsia="zh-CN"/>
        </w:rPr>
        <w:t xml:space="preserve"> (see Appendix Figure 9), implying that the extension has been successful on a descriptive basis. The extension has improved the quantity of directional data and provided cross-sectional differentiation during market stress. Although it is not enough to show any economic value, this finding shows how domain adaptation can benefit NLP.</w:t>
      </w:r>
    </w:p>
    <w:p w14:paraId="07140DEE"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4.3 Sentiment Fusion: Before and After</w:t>
      </w:r>
    </w:p>
    <w:p w14:paraId="27670A33" w14:textId="77777777" w:rsidR="00844A94" w:rsidRPr="00844A94" w:rsidRDefault="00844A94" w:rsidP="00D941DB">
      <w:pPr>
        <w:widowControl w:val="0"/>
        <w:spacing w:after="0"/>
        <w:jc w:val="center"/>
        <w:rPr>
          <w:rFonts w:cs="Times New Roman"/>
          <w:sz w:val="22"/>
          <w:szCs w:val="20"/>
          <w:lang w:eastAsia="zh-CN"/>
        </w:rPr>
      </w:pPr>
      <w:r w:rsidRPr="00844A94">
        <w:rPr>
          <w:rFonts w:cs="Times New Roman"/>
          <w:b/>
          <w:bCs/>
          <w:sz w:val="22"/>
        </w:rPr>
        <w:t xml:space="preserve">Table </w:t>
      </w:r>
      <w:r w:rsidRPr="00844A94">
        <w:rPr>
          <w:rFonts w:cs="Times New Roman"/>
          <w:b/>
          <w:bCs/>
          <w:sz w:val="22"/>
          <w:lang w:eastAsia="zh-CN"/>
        </w:rPr>
        <w:t>3</w:t>
      </w:r>
      <w:r w:rsidRPr="00844A94">
        <w:rPr>
          <w:rFonts w:cs="Times New Roman"/>
          <w:b/>
          <w:bCs/>
          <w:sz w:val="22"/>
        </w:rPr>
        <w:t>:</w:t>
      </w:r>
      <w:r w:rsidRPr="00844A94">
        <w:rPr>
          <w:rFonts w:cs="Times New Roman"/>
          <w:sz w:val="22"/>
          <w:szCs w:val="20"/>
          <w:lang w:eastAsia="zh-CN"/>
        </w:rPr>
        <w:t xml:space="preserve"> </w:t>
      </w:r>
      <w:r w:rsidRPr="00844A94">
        <w:rPr>
          <w:rFonts w:cs="Times New Roman"/>
          <w:i/>
          <w:sz w:val="22"/>
        </w:rPr>
        <w:t>Fusion Before-vs-After — Combined Maximum-Sharpe</w:t>
      </w:r>
    </w:p>
    <w:tbl>
      <w:tblPr>
        <w:tblStyle w:val="af4"/>
        <w:tblW w:w="0" w:type="auto"/>
        <w:tblInd w:w="1162" w:type="dxa"/>
        <w:tblLook w:val="04A0" w:firstRow="1" w:lastRow="0" w:firstColumn="1" w:lastColumn="0" w:noHBand="0" w:noVBand="1"/>
      </w:tblPr>
      <w:tblGrid>
        <w:gridCol w:w="2346"/>
        <w:gridCol w:w="2328"/>
        <w:gridCol w:w="2348"/>
      </w:tblGrid>
      <w:tr w:rsidR="00844A94" w:rsidRPr="00844A94" w14:paraId="34E993E8" w14:textId="77777777" w:rsidTr="00D941DB">
        <w:tc>
          <w:tcPr>
            <w:tcW w:w="2346" w:type="dxa"/>
            <w:shd w:val="clear" w:color="auto" w:fill="D9E2F3"/>
          </w:tcPr>
          <w:p w14:paraId="36FF1CD8"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Metric</w:t>
            </w:r>
          </w:p>
        </w:tc>
        <w:tc>
          <w:tcPr>
            <w:tcW w:w="2328" w:type="dxa"/>
            <w:shd w:val="clear" w:color="auto" w:fill="D9E2F3"/>
          </w:tcPr>
          <w:p w14:paraId="74026DE5"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Base Max-Sharpe</w:t>
            </w:r>
          </w:p>
        </w:tc>
        <w:tc>
          <w:tcPr>
            <w:tcW w:w="2348" w:type="dxa"/>
            <w:shd w:val="clear" w:color="auto" w:fill="D9E2F3"/>
          </w:tcPr>
          <w:p w14:paraId="1C3EEBD2"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Sentiment-Augmented</w:t>
            </w:r>
          </w:p>
        </w:tc>
      </w:tr>
      <w:tr w:rsidR="00844A94" w:rsidRPr="00844A94" w14:paraId="0CFCF79B" w14:textId="77777777" w:rsidTr="00D941DB">
        <w:tc>
          <w:tcPr>
            <w:tcW w:w="2346" w:type="dxa"/>
          </w:tcPr>
          <w:p w14:paraId="7FDC0318" w14:textId="77777777" w:rsidR="00844A94" w:rsidRPr="00844A94" w:rsidRDefault="00844A94" w:rsidP="00D941DB">
            <w:pPr>
              <w:widowControl w:val="0"/>
              <w:spacing w:after="0"/>
              <w:jc w:val="center"/>
              <w:rPr>
                <w:rFonts w:cs="Times New Roman"/>
                <w:sz w:val="22"/>
                <w:szCs w:val="20"/>
              </w:rPr>
            </w:pPr>
            <w:proofErr w:type="spellStart"/>
            <w:r w:rsidRPr="00844A94">
              <w:rPr>
                <w:rFonts w:cs="Times New Roman"/>
                <w:sz w:val="22"/>
                <w:szCs w:val="20"/>
              </w:rPr>
              <w:t>Annualised</w:t>
            </w:r>
            <w:proofErr w:type="spellEnd"/>
            <w:r w:rsidRPr="00844A94">
              <w:rPr>
                <w:rFonts w:cs="Times New Roman"/>
                <w:sz w:val="22"/>
                <w:szCs w:val="20"/>
              </w:rPr>
              <w:t xml:space="preserve"> Return</w:t>
            </w:r>
          </w:p>
        </w:tc>
        <w:tc>
          <w:tcPr>
            <w:tcW w:w="2328" w:type="dxa"/>
          </w:tcPr>
          <w:p w14:paraId="366FAB6D"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lang w:eastAsia="zh-CN"/>
              </w:rPr>
              <w:t>-</w:t>
            </w:r>
            <w:r w:rsidRPr="00844A94">
              <w:rPr>
                <w:rFonts w:cs="Times New Roman"/>
                <w:sz w:val="22"/>
                <w:szCs w:val="20"/>
              </w:rPr>
              <w:t>7.33%</w:t>
            </w:r>
          </w:p>
        </w:tc>
        <w:tc>
          <w:tcPr>
            <w:tcW w:w="2348" w:type="dxa"/>
          </w:tcPr>
          <w:p w14:paraId="75104A3D"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lang w:eastAsia="zh-CN"/>
              </w:rPr>
              <w:t>-8</w:t>
            </w:r>
            <w:r w:rsidRPr="00844A94">
              <w:rPr>
                <w:rFonts w:cs="Times New Roman"/>
                <w:sz w:val="22"/>
                <w:szCs w:val="20"/>
              </w:rPr>
              <w:t>.2</w:t>
            </w:r>
            <w:r w:rsidRPr="00844A94">
              <w:rPr>
                <w:rFonts w:cs="Times New Roman"/>
                <w:sz w:val="22"/>
                <w:szCs w:val="20"/>
                <w:lang w:eastAsia="zh-CN"/>
              </w:rPr>
              <w:t>6</w:t>
            </w:r>
            <w:r w:rsidRPr="00844A94">
              <w:rPr>
                <w:rFonts w:cs="Times New Roman"/>
                <w:sz w:val="22"/>
                <w:szCs w:val="20"/>
              </w:rPr>
              <w:t>%</w:t>
            </w:r>
          </w:p>
        </w:tc>
      </w:tr>
      <w:tr w:rsidR="00844A94" w:rsidRPr="00844A94" w14:paraId="20D02FEF" w14:textId="77777777" w:rsidTr="00D941DB">
        <w:tc>
          <w:tcPr>
            <w:tcW w:w="2346" w:type="dxa"/>
          </w:tcPr>
          <w:p w14:paraId="5FB3A8EF" w14:textId="77777777" w:rsidR="00844A94" w:rsidRPr="00844A94" w:rsidRDefault="00844A94" w:rsidP="00D941DB">
            <w:pPr>
              <w:widowControl w:val="0"/>
              <w:spacing w:after="0"/>
              <w:jc w:val="center"/>
              <w:rPr>
                <w:rFonts w:cs="Times New Roman"/>
                <w:sz w:val="22"/>
                <w:szCs w:val="20"/>
              </w:rPr>
            </w:pPr>
            <w:proofErr w:type="spellStart"/>
            <w:r w:rsidRPr="00844A94">
              <w:rPr>
                <w:rFonts w:cs="Times New Roman"/>
                <w:sz w:val="22"/>
                <w:szCs w:val="20"/>
              </w:rPr>
              <w:lastRenderedPageBreak/>
              <w:t>Annualised</w:t>
            </w:r>
            <w:proofErr w:type="spellEnd"/>
            <w:r w:rsidRPr="00844A94">
              <w:rPr>
                <w:rFonts w:cs="Times New Roman"/>
                <w:sz w:val="22"/>
                <w:szCs w:val="20"/>
              </w:rPr>
              <w:t xml:space="preserve"> Volatility</w:t>
            </w:r>
          </w:p>
        </w:tc>
        <w:tc>
          <w:tcPr>
            <w:tcW w:w="2328" w:type="dxa"/>
          </w:tcPr>
          <w:p w14:paraId="0A64B870"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19.76%</w:t>
            </w:r>
          </w:p>
        </w:tc>
        <w:tc>
          <w:tcPr>
            <w:tcW w:w="2348" w:type="dxa"/>
          </w:tcPr>
          <w:p w14:paraId="55044B78"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2</w:t>
            </w:r>
            <w:r w:rsidRPr="00844A94">
              <w:rPr>
                <w:rFonts w:cs="Times New Roman"/>
                <w:sz w:val="22"/>
                <w:szCs w:val="20"/>
                <w:lang w:eastAsia="zh-CN"/>
              </w:rPr>
              <w:t>1</w:t>
            </w:r>
            <w:r w:rsidRPr="00844A94">
              <w:rPr>
                <w:rFonts w:cs="Times New Roman"/>
                <w:sz w:val="22"/>
                <w:szCs w:val="20"/>
              </w:rPr>
              <w:t>.</w:t>
            </w:r>
            <w:r w:rsidRPr="00844A94">
              <w:rPr>
                <w:rFonts w:cs="Times New Roman"/>
                <w:sz w:val="22"/>
                <w:szCs w:val="20"/>
                <w:lang w:eastAsia="zh-CN"/>
              </w:rPr>
              <w:t>03</w:t>
            </w:r>
            <w:r w:rsidRPr="00844A94">
              <w:rPr>
                <w:rFonts w:cs="Times New Roman"/>
                <w:sz w:val="22"/>
                <w:szCs w:val="20"/>
              </w:rPr>
              <w:t>%</w:t>
            </w:r>
          </w:p>
        </w:tc>
      </w:tr>
      <w:tr w:rsidR="00844A94" w:rsidRPr="00844A94" w14:paraId="506266BD" w14:textId="77777777" w:rsidTr="00D941DB">
        <w:tc>
          <w:tcPr>
            <w:tcW w:w="2346" w:type="dxa"/>
          </w:tcPr>
          <w:p w14:paraId="6DCBA888"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Sharpe Ratio</w:t>
            </w:r>
          </w:p>
        </w:tc>
        <w:tc>
          <w:tcPr>
            <w:tcW w:w="2328" w:type="dxa"/>
          </w:tcPr>
          <w:p w14:paraId="390D58E6" w14:textId="77777777" w:rsidR="00844A94" w:rsidRPr="00844A94" w:rsidRDefault="00844A94" w:rsidP="00D941DB">
            <w:pPr>
              <w:widowControl w:val="0"/>
              <w:spacing w:after="0"/>
              <w:jc w:val="center"/>
              <w:rPr>
                <w:rFonts w:cs="Times New Roman"/>
                <w:sz w:val="22"/>
                <w:szCs w:val="20"/>
                <w:lang w:eastAsia="zh-CN"/>
              </w:rPr>
            </w:pPr>
            <w:r w:rsidRPr="00844A94">
              <w:rPr>
                <w:rFonts w:cs="Times New Roman"/>
                <w:sz w:val="22"/>
                <w:szCs w:val="20"/>
                <w:lang w:eastAsia="zh-CN"/>
              </w:rPr>
              <w:t>-</w:t>
            </w:r>
            <w:r w:rsidRPr="00844A94">
              <w:rPr>
                <w:rFonts w:cs="Times New Roman"/>
                <w:sz w:val="22"/>
                <w:szCs w:val="20"/>
              </w:rPr>
              <w:t>0.37</w:t>
            </w:r>
            <w:r w:rsidRPr="00844A94">
              <w:rPr>
                <w:rFonts w:cs="Times New Roman"/>
                <w:sz w:val="22"/>
                <w:szCs w:val="20"/>
                <w:lang w:eastAsia="zh-CN"/>
              </w:rPr>
              <w:t>1</w:t>
            </w:r>
          </w:p>
        </w:tc>
        <w:tc>
          <w:tcPr>
            <w:tcW w:w="2348" w:type="dxa"/>
          </w:tcPr>
          <w:p w14:paraId="5018542F" w14:textId="77777777" w:rsidR="00844A94" w:rsidRPr="00844A94" w:rsidRDefault="00844A94" w:rsidP="00D941DB">
            <w:pPr>
              <w:widowControl w:val="0"/>
              <w:spacing w:after="0"/>
              <w:jc w:val="center"/>
              <w:rPr>
                <w:rFonts w:cs="Times New Roman"/>
                <w:sz w:val="22"/>
                <w:szCs w:val="20"/>
                <w:lang w:eastAsia="zh-CN"/>
              </w:rPr>
            </w:pPr>
            <w:r w:rsidRPr="00844A94">
              <w:rPr>
                <w:rFonts w:cs="Times New Roman"/>
                <w:sz w:val="22"/>
                <w:szCs w:val="20"/>
                <w:lang w:eastAsia="zh-CN"/>
              </w:rPr>
              <w:t>-</w:t>
            </w:r>
            <w:r w:rsidRPr="00844A94">
              <w:rPr>
                <w:rFonts w:cs="Times New Roman"/>
                <w:sz w:val="22"/>
                <w:szCs w:val="20"/>
              </w:rPr>
              <w:t>0.</w:t>
            </w:r>
            <w:r w:rsidRPr="00844A94">
              <w:rPr>
                <w:rFonts w:cs="Times New Roman"/>
                <w:sz w:val="22"/>
                <w:szCs w:val="20"/>
                <w:lang w:eastAsia="zh-CN"/>
              </w:rPr>
              <w:t>393</w:t>
            </w:r>
          </w:p>
        </w:tc>
      </w:tr>
      <w:tr w:rsidR="00D941DB" w:rsidRPr="00844A94" w14:paraId="1AE9B61D" w14:textId="77777777" w:rsidTr="00D941DB">
        <w:tc>
          <w:tcPr>
            <w:tcW w:w="2346" w:type="dxa"/>
          </w:tcPr>
          <w:p w14:paraId="6A0C4E6E"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rPr>
              <w:t>Maximum Drawdown</w:t>
            </w:r>
          </w:p>
        </w:tc>
        <w:tc>
          <w:tcPr>
            <w:tcW w:w="2328" w:type="dxa"/>
          </w:tcPr>
          <w:p w14:paraId="7529AFC5"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lang w:eastAsia="zh-CN"/>
              </w:rPr>
              <w:t>-</w:t>
            </w:r>
            <w:r w:rsidRPr="00844A94">
              <w:rPr>
                <w:rFonts w:cs="Times New Roman"/>
                <w:sz w:val="22"/>
                <w:szCs w:val="20"/>
              </w:rPr>
              <w:t>27.47%</w:t>
            </w:r>
          </w:p>
        </w:tc>
        <w:tc>
          <w:tcPr>
            <w:tcW w:w="2348" w:type="dxa"/>
          </w:tcPr>
          <w:p w14:paraId="5B49024A" w14:textId="77777777" w:rsidR="00844A94" w:rsidRPr="00844A94" w:rsidRDefault="00844A94" w:rsidP="00D941DB">
            <w:pPr>
              <w:widowControl w:val="0"/>
              <w:spacing w:after="0"/>
              <w:jc w:val="center"/>
              <w:rPr>
                <w:rFonts w:cs="Times New Roman"/>
                <w:sz w:val="22"/>
                <w:szCs w:val="20"/>
              </w:rPr>
            </w:pPr>
            <w:r w:rsidRPr="00844A94">
              <w:rPr>
                <w:rFonts w:cs="Times New Roman"/>
                <w:sz w:val="22"/>
                <w:szCs w:val="20"/>
                <w:lang w:eastAsia="zh-CN"/>
              </w:rPr>
              <w:t>-</w:t>
            </w:r>
            <w:r w:rsidRPr="00844A94">
              <w:rPr>
                <w:rFonts w:cs="Times New Roman"/>
                <w:sz w:val="22"/>
                <w:szCs w:val="20"/>
              </w:rPr>
              <w:t>31.</w:t>
            </w:r>
            <w:r w:rsidRPr="00844A94">
              <w:rPr>
                <w:rFonts w:cs="Times New Roman"/>
                <w:sz w:val="22"/>
                <w:szCs w:val="20"/>
                <w:lang w:eastAsia="zh-CN"/>
              </w:rPr>
              <w:t>80</w:t>
            </w:r>
            <w:r w:rsidRPr="00844A94">
              <w:rPr>
                <w:rFonts w:cs="Times New Roman"/>
                <w:sz w:val="22"/>
                <w:szCs w:val="20"/>
              </w:rPr>
              <w:t>%</w:t>
            </w:r>
          </w:p>
        </w:tc>
      </w:tr>
    </w:tbl>
    <w:p w14:paraId="12FC3939" w14:textId="77777777" w:rsidR="00844A94" w:rsidRPr="00844A94" w:rsidRDefault="00844A94" w:rsidP="00844A94">
      <w:pPr>
        <w:widowControl w:val="0"/>
        <w:rPr>
          <w:rFonts w:cs="Times New Roman"/>
        </w:rPr>
      </w:pPr>
    </w:p>
    <w:p w14:paraId="712C0C81" w14:textId="6131C22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As can be seen in Table 3 and Appendix Figure 6, the sentiment-augmented Max-Sharpe results in a lower Sharpe ratio (-0.393 versus -0.371) and a deeper drawdown (-31.80% versus -27.47%). A small tilt factor of 30% does not seem to be strong enough to counter the adverse trend of the basic strategy during this sample period, indicating that the sentiment information adds noise but not value to the optimization process.</w:t>
      </w:r>
    </w:p>
    <w:p w14:paraId="41E8B809"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This study is still very useful despite the subpar performance of the tests carried out. From this experiment, there is a demonstration of the chasm between “theoretically nice ideas” and “profitable strategies.” The solution to this is not in the elimination of the use of sentiment factors, but in improving the signals—by way of using long-term sentiment moving averages, better lexicons, or even specific entity scores instead of industry scores—and applying them to benchmark funds, instead of “maximum Sharpe ratio” funds.</w:t>
      </w:r>
    </w:p>
    <w:p w14:paraId="17E8FED3" w14:textId="77777777" w:rsidR="00844A94" w:rsidRPr="00844A94" w:rsidRDefault="00844A94" w:rsidP="00844A94">
      <w:pPr>
        <w:pStyle w:val="1"/>
        <w:keepNext w:val="0"/>
        <w:keepLines w:val="0"/>
        <w:widowControl w:val="0"/>
        <w:spacing w:line="360" w:lineRule="auto"/>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5. The App and the Investor Journey</w:t>
      </w:r>
    </w:p>
    <w:p w14:paraId="6084980D"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5.1 Target User</w:t>
      </w:r>
    </w:p>
    <w:p w14:paraId="59CA1BCA" w14:textId="77777777" w:rsidR="00844A94" w:rsidRPr="00844A94" w:rsidRDefault="00844A94" w:rsidP="00844A94">
      <w:pPr>
        <w:widowControl w:val="0"/>
        <w:spacing w:line="360" w:lineRule="auto"/>
        <w:ind w:firstLineChars="200" w:firstLine="480"/>
        <w:rPr>
          <w:rFonts w:cs="Times New Roman"/>
          <w:lang w:eastAsia="zh-CN"/>
        </w:rPr>
      </w:pPr>
      <w:proofErr w:type="spellStart"/>
      <w:r w:rsidRPr="00844A94">
        <w:rPr>
          <w:rFonts w:cs="Times New Roman"/>
          <w:lang w:eastAsia="zh-CN"/>
        </w:rPr>
        <w:t>AtlasFlow</w:t>
      </w:r>
      <w:proofErr w:type="spellEnd"/>
      <w:r w:rsidRPr="00844A94">
        <w:rPr>
          <w:rFonts w:cs="Times New Roman"/>
          <w:lang w:eastAsia="zh-CN"/>
        </w:rPr>
        <w:t xml:space="preserve"> is tailored for an individual investor with financial literacy but is not technically inclined and wants to invest in systemic funds instead of stocks. The user knows the basics such as returns, volatility, and Sharpe ratio but does not use optimizers or write codes. His/her difficulty in making investment decisions lies in selecting the numerous funds available.</w:t>
      </w:r>
    </w:p>
    <w:p w14:paraId="3998F1E5"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5.2 Investor Journey</w:t>
      </w:r>
    </w:p>
    <w:p w14:paraId="3B84AC0B" w14:textId="77777777" w:rsidR="00844A94" w:rsidRPr="00844A94" w:rsidRDefault="00844A94" w:rsidP="00844A94">
      <w:pPr>
        <w:widowControl w:val="0"/>
        <w:spacing w:after="0" w:line="360" w:lineRule="auto"/>
        <w:ind w:firstLineChars="200" w:firstLine="489"/>
        <w:rPr>
          <w:rFonts w:cs="Times New Roman"/>
          <w:b/>
          <w:bCs/>
          <w:szCs w:val="24"/>
          <w:lang w:eastAsia="zh-CN"/>
        </w:rPr>
      </w:pPr>
      <w:r w:rsidRPr="00844A94">
        <w:rPr>
          <w:rFonts w:eastAsia="Times New Roman" w:cs="Times New Roman"/>
          <w:b/>
          <w:bCs/>
          <w:szCs w:val="24"/>
          <w:lang w:eastAsia="zh-CN"/>
        </w:rPr>
        <w:t>Step 1: Fund Comparison.</w:t>
      </w:r>
    </w:p>
    <w:p w14:paraId="6BC8F145" w14:textId="77777777" w:rsidR="00844A94" w:rsidRPr="00844A94" w:rsidRDefault="00844A94" w:rsidP="00844A94">
      <w:pPr>
        <w:widowControl w:val="0"/>
        <w:spacing w:after="0" w:line="360" w:lineRule="auto"/>
        <w:ind w:firstLineChars="200" w:firstLine="480"/>
        <w:rPr>
          <w:rFonts w:cs="Times New Roman"/>
          <w:szCs w:val="24"/>
          <w:lang w:eastAsia="zh-CN"/>
        </w:rPr>
      </w:pPr>
      <w:r w:rsidRPr="00844A94">
        <w:rPr>
          <w:rFonts w:cs="Times New Roman"/>
          <w:szCs w:val="24"/>
          <w:lang w:eastAsia="zh-CN"/>
        </w:rPr>
        <w:t xml:space="preserve">The investor arrives at the Fund Comparison page and finds a table of all the funds sorted by Sharpe ratio and filters by fund family and by method. They notice right away that Equity Equal-Weight has the best Sharpe </w:t>
      </w:r>
      <w:proofErr w:type="gramStart"/>
      <w:r w:rsidRPr="00844A94">
        <w:rPr>
          <w:rFonts w:cs="Times New Roman"/>
          <w:szCs w:val="24"/>
          <w:lang w:eastAsia="zh-CN"/>
        </w:rPr>
        <w:t>ratio</w:t>
      </w:r>
      <w:proofErr w:type="gramEnd"/>
      <w:r w:rsidRPr="00844A94">
        <w:rPr>
          <w:rFonts w:cs="Times New Roman"/>
          <w:szCs w:val="24"/>
          <w:lang w:eastAsia="zh-CN"/>
        </w:rPr>
        <w:t xml:space="preserve"> and that Combined Max-Sharpe is negative. The table tells: “Which fund grew the most? Which fund used risk most efficiently?”</w:t>
      </w:r>
    </w:p>
    <w:p w14:paraId="16DCC4A7" w14:textId="77777777" w:rsidR="00844A94" w:rsidRPr="00844A94" w:rsidRDefault="00844A94" w:rsidP="00844A94">
      <w:pPr>
        <w:widowControl w:val="0"/>
        <w:spacing w:after="0" w:line="360" w:lineRule="auto"/>
        <w:ind w:firstLineChars="200" w:firstLine="480"/>
        <w:rPr>
          <w:rFonts w:cs="Times New Roman"/>
          <w:szCs w:val="24"/>
          <w:lang w:eastAsia="zh-CN"/>
        </w:rPr>
      </w:pPr>
    </w:p>
    <w:p w14:paraId="2E70F364" w14:textId="77777777" w:rsidR="00844A94" w:rsidRPr="00844A94" w:rsidRDefault="00844A94" w:rsidP="00844A94">
      <w:pPr>
        <w:widowControl w:val="0"/>
        <w:spacing w:after="0" w:line="360" w:lineRule="auto"/>
        <w:ind w:firstLineChars="200" w:firstLine="489"/>
        <w:rPr>
          <w:rFonts w:cs="Times New Roman"/>
          <w:b/>
          <w:bCs/>
          <w:szCs w:val="24"/>
          <w:lang w:eastAsia="zh-CN"/>
        </w:rPr>
      </w:pPr>
      <w:r w:rsidRPr="00844A94">
        <w:rPr>
          <w:rFonts w:eastAsia="Times New Roman" w:cs="Times New Roman"/>
          <w:b/>
          <w:bCs/>
          <w:szCs w:val="24"/>
          <w:lang w:eastAsia="zh-CN"/>
        </w:rPr>
        <w:t>Step 2: Fact Sheet Review.</w:t>
      </w:r>
    </w:p>
    <w:p w14:paraId="3E360A10" w14:textId="77777777" w:rsidR="00844A94" w:rsidRPr="00844A94" w:rsidRDefault="00844A94" w:rsidP="00844A94">
      <w:pPr>
        <w:widowControl w:val="0"/>
        <w:spacing w:line="360" w:lineRule="auto"/>
        <w:ind w:firstLineChars="200" w:firstLine="480"/>
        <w:rPr>
          <w:rFonts w:cs="Times New Roman"/>
          <w:szCs w:val="24"/>
          <w:lang w:eastAsia="zh-CN"/>
        </w:rPr>
      </w:pPr>
      <w:proofErr w:type="gramStart"/>
      <w:r w:rsidRPr="00844A94">
        <w:rPr>
          <w:rFonts w:cs="Times New Roman"/>
          <w:szCs w:val="24"/>
          <w:lang w:eastAsia="zh-CN"/>
        </w:rPr>
        <w:t>Opening up</w:t>
      </w:r>
      <w:proofErr w:type="gramEnd"/>
      <w:r w:rsidRPr="00844A94">
        <w:rPr>
          <w:rFonts w:cs="Times New Roman"/>
          <w:szCs w:val="24"/>
          <w:lang w:eastAsia="zh-CN"/>
        </w:rPr>
        <w:t xml:space="preserve"> a fund brings up the Fact Sheet which has four metrics cards (return, volatility, Sharpe ratio, and drawdown), the growth-of-$1 chart, the drawdown chart and the latest holdings list. The Fact Sheet answers: “What did this fund do? How badly were the losses? What does </w:t>
      </w:r>
      <w:proofErr w:type="spellStart"/>
      <w:r w:rsidRPr="00844A94">
        <w:rPr>
          <w:rFonts w:cs="Times New Roman"/>
          <w:szCs w:val="24"/>
          <w:lang w:eastAsia="zh-CN"/>
        </w:rPr>
        <w:t>it</w:t>
      </w:r>
      <w:proofErr w:type="spellEnd"/>
      <w:r w:rsidRPr="00844A94">
        <w:rPr>
          <w:rFonts w:cs="Times New Roman"/>
          <w:szCs w:val="24"/>
          <w:lang w:eastAsia="zh-CN"/>
        </w:rPr>
        <w:t xml:space="preserve"> own now?”</w:t>
      </w:r>
    </w:p>
    <w:p w14:paraId="3A2CCD46" w14:textId="77777777" w:rsidR="00844A94" w:rsidRPr="00844A94" w:rsidRDefault="00844A94" w:rsidP="00844A94">
      <w:pPr>
        <w:widowControl w:val="0"/>
        <w:spacing w:after="0" w:line="360" w:lineRule="auto"/>
        <w:ind w:firstLineChars="200" w:firstLine="489"/>
        <w:rPr>
          <w:rFonts w:cs="Times New Roman"/>
          <w:b/>
          <w:bCs/>
          <w:szCs w:val="24"/>
          <w:lang w:eastAsia="zh-CN"/>
        </w:rPr>
      </w:pPr>
      <w:r w:rsidRPr="00844A94">
        <w:rPr>
          <w:rFonts w:eastAsia="Times New Roman" w:cs="Times New Roman"/>
          <w:b/>
          <w:bCs/>
          <w:szCs w:val="24"/>
          <w:lang w:eastAsia="zh-CN"/>
        </w:rPr>
        <w:t>Step 3: Allocation.</w:t>
      </w:r>
    </w:p>
    <w:p w14:paraId="63CBB884" w14:textId="77777777" w:rsidR="00844A94" w:rsidRPr="00844A94" w:rsidRDefault="00844A94" w:rsidP="00844A94">
      <w:pPr>
        <w:widowControl w:val="0"/>
        <w:spacing w:line="360" w:lineRule="auto"/>
        <w:ind w:firstLineChars="200" w:firstLine="480"/>
        <w:rPr>
          <w:rFonts w:cs="Times New Roman"/>
          <w:szCs w:val="24"/>
          <w:lang w:eastAsia="zh-CN"/>
        </w:rPr>
      </w:pPr>
      <w:r w:rsidRPr="00844A94">
        <w:rPr>
          <w:rFonts w:cs="Times New Roman"/>
          <w:szCs w:val="24"/>
          <w:lang w:eastAsia="zh-CN"/>
        </w:rPr>
        <w:t xml:space="preserve">On the Allocation page, the investor can allocate their investment into any combination of funds through a slider input. The application calculates the resulting portfolio’s </w:t>
      </w:r>
      <w:proofErr w:type="spellStart"/>
      <w:r w:rsidRPr="00844A94">
        <w:rPr>
          <w:rFonts w:cs="Times New Roman"/>
          <w:szCs w:val="24"/>
          <w:lang w:eastAsia="zh-CN"/>
        </w:rPr>
        <w:t>annualised</w:t>
      </w:r>
      <w:proofErr w:type="spellEnd"/>
      <w:r w:rsidRPr="00844A94">
        <w:rPr>
          <w:rFonts w:cs="Times New Roman"/>
          <w:szCs w:val="24"/>
          <w:lang w:eastAsia="zh-CN"/>
        </w:rPr>
        <w:t xml:space="preserve"> return, volatility, Sharpe ratio, drawdown and draws the growth-of-$1 curve. That answers: “How do I mix the funds instead of investing into just one?”</w:t>
      </w:r>
    </w:p>
    <w:p w14:paraId="197281BD" w14:textId="77777777" w:rsidR="00844A94" w:rsidRPr="00844A94" w:rsidRDefault="00844A94" w:rsidP="00844A94">
      <w:pPr>
        <w:widowControl w:val="0"/>
        <w:spacing w:after="0" w:line="360" w:lineRule="auto"/>
        <w:ind w:firstLineChars="200" w:firstLine="489"/>
        <w:rPr>
          <w:rFonts w:cs="Times New Roman"/>
          <w:b/>
          <w:bCs/>
          <w:szCs w:val="24"/>
          <w:lang w:eastAsia="zh-CN"/>
        </w:rPr>
      </w:pPr>
      <w:r w:rsidRPr="00844A94">
        <w:rPr>
          <w:rFonts w:eastAsia="Times New Roman" w:cs="Times New Roman"/>
          <w:b/>
          <w:bCs/>
          <w:szCs w:val="24"/>
          <w:lang w:eastAsia="zh-CN"/>
        </w:rPr>
        <w:t>Step 4: Sentiment Interpretation.</w:t>
      </w:r>
    </w:p>
    <w:p w14:paraId="58E7E4B5" w14:textId="77777777" w:rsidR="00844A94" w:rsidRPr="00844A94" w:rsidRDefault="00844A94" w:rsidP="00844A94">
      <w:pPr>
        <w:widowControl w:val="0"/>
        <w:spacing w:line="360" w:lineRule="auto"/>
        <w:ind w:firstLineChars="200" w:firstLine="480"/>
        <w:rPr>
          <w:rFonts w:cs="Times New Roman"/>
          <w:szCs w:val="24"/>
          <w:lang w:eastAsia="zh-CN"/>
        </w:rPr>
      </w:pPr>
      <w:r w:rsidRPr="00844A94">
        <w:rPr>
          <w:rFonts w:cs="Times New Roman"/>
          <w:szCs w:val="24"/>
          <w:lang w:eastAsia="zh-CN"/>
        </w:rPr>
        <w:t xml:space="preserve">On the Sentiment page, the investor sees four analytics components: (1) a market-wide Fear &amp; Greed Index showing </w:t>
      </w:r>
      <w:proofErr w:type="spellStart"/>
      <w:r w:rsidRPr="00844A94">
        <w:rPr>
          <w:rFonts w:cs="Times New Roman"/>
          <w:szCs w:val="24"/>
          <w:lang w:eastAsia="zh-CN"/>
        </w:rPr>
        <w:t>standardised</w:t>
      </w:r>
      <w:proofErr w:type="spellEnd"/>
      <w:r w:rsidRPr="00844A94">
        <w:rPr>
          <w:rFonts w:cs="Times New Roman"/>
          <w:szCs w:val="24"/>
          <w:lang w:eastAsia="zh-CN"/>
        </w:rPr>
        <w:t xml:space="preserve"> aggregate sentiment over time; (2) a VADER vs </w:t>
      </w:r>
      <w:proofErr w:type="spellStart"/>
      <w:r w:rsidRPr="00844A94">
        <w:rPr>
          <w:rFonts w:cs="Times New Roman"/>
          <w:szCs w:val="24"/>
          <w:lang w:eastAsia="zh-CN"/>
        </w:rPr>
        <w:t>FinVADER</w:t>
      </w:r>
      <w:proofErr w:type="spellEnd"/>
      <w:r w:rsidRPr="00844A94">
        <w:rPr>
          <w:rFonts w:cs="Times New Roman"/>
          <w:szCs w:val="24"/>
          <w:lang w:eastAsia="zh-CN"/>
        </w:rPr>
        <w:t xml:space="preserve"> comparison demonstrating the reduction in false-neutral classifications; (3) the sector sentiment index time series with selectable sectors; and (4) a monthly heat map together with the latest snapshot table. From this they know which sectors have currently good or bad news sentiment and whether the overall market mood is unusually fearful or greedy. This answers: “What does the news environment tell me?”</w:t>
      </w:r>
    </w:p>
    <w:p w14:paraId="533DE4AC"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5.3 Responsible Communication</w:t>
      </w:r>
    </w:p>
    <w:p w14:paraId="087A6A10"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Responsible communication plays an important role in this regard since the application provides information about </w:t>
      </w:r>
      <w:proofErr w:type="spellStart"/>
      <w:r w:rsidRPr="00844A94">
        <w:rPr>
          <w:rFonts w:cs="Times New Roman"/>
          <w:lang w:eastAsia="zh-CN"/>
        </w:rPr>
        <w:t>backtested</w:t>
      </w:r>
      <w:proofErr w:type="spellEnd"/>
      <w:r w:rsidRPr="00844A94">
        <w:rPr>
          <w:rFonts w:cs="Times New Roman"/>
          <w:lang w:eastAsia="zh-CN"/>
        </w:rPr>
        <w:t xml:space="preserve"> investment results. All pages should contain information that past results are not indicative of future success, that cryptocurrency investments are highly risky, and that sentiment index indicates only a research result and not an instruction for trade.</w:t>
      </w:r>
    </w:p>
    <w:p w14:paraId="5B43978A" w14:textId="4D607B5C"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In addition, there should be some indication of the limits of the evidence in the interface. Although the </w:t>
      </w:r>
      <w:proofErr w:type="spellStart"/>
      <w:r w:rsidRPr="00844A94">
        <w:rPr>
          <w:rFonts w:cs="Times New Roman"/>
          <w:lang w:eastAsia="zh-CN"/>
        </w:rPr>
        <w:t>backtest</w:t>
      </w:r>
      <w:proofErr w:type="spellEnd"/>
      <w:r w:rsidRPr="00844A94">
        <w:rPr>
          <w:rFonts w:cs="Times New Roman"/>
          <w:lang w:eastAsia="zh-CN"/>
        </w:rPr>
        <w:t xml:space="preserve"> data provided is out-of-sample with respect to any portfolio decision, they still apply to a particular period (202</w:t>
      </w:r>
      <w:r w:rsidR="00D91A8B">
        <w:rPr>
          <w:rFonts w:cs="Times New Roman" w:hint="eastAsia"/>
          <w:lang w:eastAsia="zh-CN"/>
        </w:rPr>
        <w:t>1</w:t>
      </w:r>
      <w:r w:rsidRPr="00844A94">
        <w:rPr>
          <w:rFonts w:cs="Times New Roman"/>
          <w:lang w:eastAsia="zh-CN"/>
        </w:rPr>
        <w:t>–2023).</w:t>
      </w:r>
    </w:p>
    <w:p w14:paraId="4B197E05" w14:textId="77777777" w:rsidR="00844A94" w:rsidRPr="00844A94" w:rsidRDefault="00844A94" w:rsidP="00844A94">
      <w:pPr>
        <w:pStyle w:val="1"/>
        <w:keepNext w:val="0"/>
        <w:keepLines w:val="0"/>
        <w:widowControl w:val="0"/>
        <w:spacing w:line="360" w:lineRule="auto"/>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lastRenderedPageBreak/>
        <w:t>6. Critical Reflection and Recommendations</w:t>
      </w:r>
    </w:p>
    <w:p w14:paraId="2C046D72"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6.1 What Worked</w:t>
      </w:r>
    </w:p>
    <w:p w14:paraId="40E769E8"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The first major success pertains to the evidence of constructing estimation-robust portfolios. The equal-weight method works excellently in equity investments, while the minimum-variance method provides strong risk control among all the portfolio methods. This indicates an important takeaway from quantitative finance that in the case of financial problems where estimation noises and sample sizes are concerned, estimation robustness usually beats theoretical optimality.</w:t>
      </w:r>
    </w:p>
    <w:p w14:paraId="08D6CBAA"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Another success pertains to Hierarchical Risk Parity (HRP). As opposed to the conventional risk parity approach, HRP generates smoother portfolio weights </w:t>
      </w:r>
      <w:proofErr w:type="gramStart"/>
      <w:r w:rsidRPr="00844A94">
        <w:rPr>
          <w:rFonts w:cs="Times New Roman"/>
          <w:lang w:eastAsia="zh-CN"/>
        </w:rPr>
        <w:t>and also</w:t>
      </w:r>
      <w:proofErr w:type="gramEnd"/>
      <w:r w:rsidRPr="00844A94">
        <w:rPr>
          <w:rFonts w:cs="Times New Roman"/>
          <w:lang w:eastAsia="zh-CN"/>
        </w:rPr>
        <w:t xml:space="preserve"> provides slightly better risk-adjusted return.</w:t>
      </w:r>
    </w:p>
    <w:p w14:paraId="250E6018" w14:textId="77777777" w:rsid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Finally, a success related to expanding </w:t>
      </w:r>
      <w:proofErr w:type="spellStart"/>
      <w:r w:rsidRPr="00844A94">
        <w:rPr>
          <w:rFonts w:cs="Times New Roman"/>
          <w:lang w:eastAsia="zh-CN"/>
        </w:rPr>
        <w:t>FinVADER</w:t>
      </w:r>
      <w:proofErr w:type="spellEnd"/>
      <w:r w:rsidRPr="00844A94">
        <w:rPr>
          <w:rFonts w:cs="Times New Roman"/>
          <w:lang w:eastAsia="zh-CN"/>
        </w:rPr>
        <w:t xml:space="preserve"> is observed. Expansion of the lexicon helps avoid spurious neutral cases and create dynamic and interpretable sentiment indices for </w:t>
      </w:r>
      <w:proofErr w:type="gramStart"/>
      <w:r w:rsidRPr="00844A94">
        <w:rPr>
          <w:rFonts w:cs="Times New Roman"/>
          <w:lang w:eastAsia="zh-CN"/>
        </w:rPr>
        <w:t>particular industries</w:t>
      </w:r>
      <w:proofErr w:type="gramEnd"/>
      <w:r w:rsidRPr="00844A94">
        <w:rPr>
          <w:rFonts w:cs="Times New Roman"/>
          <w:lang w:eastAsia="zh-CN"/>
        </w:rPr>
        <w:t>.</w:t>
      </w:r>
    </w:p>
    <w:p w14:paraId="1EFDCAC0" w14:textId="4DA098AF" w:rsidR="00844A94" w:rsidRPr="00844A94" w:rsidRDefault="00844A94" w:rsidP="00844A94">
      <w:pPr>
        <w:widowControl w:val="0"/>
        <w:spacing w:line="360" w:lineRule="auto"/>
        <w:ind w:firstLineChars="200" w:firstLine="720"/>
        <w:rPr>
          <w:rFonts w:cs="Times New Roman"/>
          <w:lang w:eastAsia="zh-CN"/>
        </w:rPr>
      </w:pPr>
      <w:r w:rsidRPr="00844A94">
        <w:rPr>
          <w:rFonts w:cs="Times New Roman"/>
          <w:sz w:val="36"/>
          <w:szCs w:val="36"/>
        </w:rPr>
        <w:t>6.2 What Did Not Work</w:t>
      </w:r>
    </w:p>
    <w:p w14:paraId="0957FA53" w14:textId="77777777" w:rsidR="00844A94" w:rsidRPr="00844A94" w:rsidRDefault="00844A94" w:rsidP="00844A94">
      <w:pPr>
        <w:widowControl w:val="0"/>
        <w:spacing w:line="360" w:lineRule="auto"/>
        <w:ind w:firstLineChars="200" w:firstLine="480"/>
        <w:rPr>
          <w:rFonts w:cs="Times New Roman"/>
          <w:lang w:eastAsia="zh-CN"/>
        </w:rPr>
      </w:pPr>
      <w:bookmarkStart w:id="1" w:name="OLE_LINK5"/>
      <w:bookmarkStart w:id="2" w:name="OLE_LINK4"/>
      <w:r w:rsidRPr="00844A94">
        <w:rPr>
          <w:rFonts w:cs="Times New Roman"/>
          <w:lang w:eastAsia="zh-CN"/>
        </w:rPr>
        <w:t xml:space="preserve">First, the portfolio with the Maximum Sharpe ratio underperforms. This problem stems from the issue of estimation errors associated with the mean return (Kristensen &amp; </w:t>
      </w:r>
      <w:proofErr w:type="spellStart"/>
      <w:r w:rsidRPr="00844A94">
        <w:rPr>
          <w:rFonts w:cs="Times New Roman"/>
          <w:lang w:eastAsia="zh-CN"/>
        </w:rPr>
        <w:t>Vorobets</w:t>
      </w:r>
      <w:proofErr w:type="spellEnd"/>
      <w:r w:rsidRPr="00844A94">
        <w:rPr>
          <w:rFonts w:cs="Times New Roman"/>
          <w:lang w:eastAsia="zh-CN"/>
        </w:rPr>
        <w:t xml:space="preserve">, 2024). From 504 daily observations, the standard error associated with the estimate of the mean daily return equals </w:t>
      </w:r>
      <m:oMath>
        <m:r>
          <w:rPr>
            <w:rFonts w:ascii="Cambria Math" w:hAnsi="Cambria Math" w:cs="Times New Roman"/>
            <w:lang w:eastAsia="zh-CN"/>
          </w:rPr>
          <m:t xml:space="preserve">SE(r̄) ≈ </m:t>
        </m:r>
        <m:f>
          <m:fPr>
            <m:ctrlPr>
              <w:rPr>
                <w:rFonts w:ascii="Cambria Math" w:hAnsi="Cambria Math" w:cs="Times New Roman"/>
                <w:i/>
                <w:lang w:eastAsia="zh-CN"/>
              </w:rPr>
            </m:ctrlPr>
          </m:fPr>
          <m:num>
            <m:r>
              <w:rPr>
                <w:rFonts w:ascii="Cambria Math" w:hAnsi="Cambria Math" w:cs="Times New Roman"/>
                <w:lang w:eastAsia="zh-CN"/>
              </w:rPr>
              <m:t>σ</m:t>
            </m:r>
          </m:num>
          <m:den>
            <m:rad>
              <m:radPr>
                <m:degHide m:val="1"/>
                <m:ctrlPr>
                  <w:rPr>
                    <w:rFonts w:ascii="Cambria Math" w:hAnsi="Cambria Math" w:cs="Times New Roman"/>
                    <w:i/>
                    <w:lang w:eastAsia="zh-CN"/>
                  </w:rPr>
                </m:ctrlPr>
              </m:radPr>
              <m:deg/>
              <m:e>
                <m:r>
                  <w:rPr>
                    <w:rFonts w:ascii="Cambria Math" w:hAnsi="Cambria Math" w:cs="Times New Roman"/>
                    <w:lang w:eastAsia="zh-CN"/>
                  </w:rPr>
                  <m:t>504</m:t>
                </m:r>
              </m:e>
            </m:rad>
          </m:den>
        </m:f>
      </m:oMath>
      <w:r w:rsidRPr="00844A94">
        <w:rPr>
          <w:rFonts w:cs="Times New Roman"/>
          <w:lang w:eastAsia="zh-CN"/>
        </w:rPr>
        <w:t xml:space="preserve">. In case the daily volatility for an asset lies in the range of 20%-25%, the value of </w:t>
      </w:r>
      <m:oMath>
        <m:r>
          <w:rPr>
            <w:rFonts w:ascii="Cambria Math" w:hAnsi="Cambria Math" w:cs="Times New Roman"/>
            <w:lang w:eastAsia="zh-CN"/>
          </w:rPr>
          <m:t>SE(r̄)</m:t>
        </m:r>
      </m:oMath>
      <w:r w:rsidRPr="00844A94">
        <w:rPr>
          <w:rFonts w:cs="Times New Roman"/>
          <w:lang w:eastAsia="zh-CN"/>
        </w:rPr>
        <w:t xml:space="preserve"> varies between 0.9% and 1.1%.</w:t>
      </w:r>
    </w:p>
    <w:bookmarkEnd w:id="1"/>
    <w:p w14:paraId="0F2AFC13"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In the second place, the performance of sentiment integration in our analysis was poor. Sentiment indicators were too noisy to rescue the suboptimal Max Sharpe base fund. Even though it was required to introduce a one-day lag </w:t>
      </w:r>
      <w:proofErr w:type="gramStart"/>
      <w:r w:rsidRPr="00844A94">
        <w:rPr>
          <w:rFonts w:cs="Times New Roman"/>
          <w:lang w:eastAsia="zh-CN"/>
        </w:rPr>
        <w:t>in order to</w:t>
      </w:r>
      <w:proofErr w:type="gramEnd"/>
      <w:r w:rsidRPr="00844A94">
        <w:rPr>
          <w:rFonts w:cs="Times New Roman"/>
          <w:lang w:eastAsia="zh-CN"/>
        </w:rPr>
        <w:t xml:space="preserve"> make the sentiment-based approach forward-looking, it could have resulted in overlooking sentiment reversal patterns that might happen quickly. Moreover, the fact that we relied only on the headlines meant that we had access to incomplete information.</w:t>
      </w:r>
      <w:bookmarkEnd w:id="2"/>
    </w:p>
    <w:p w14:paraId="7F152809" w14:textId="77777777" w:rsidR="00844A94" w:rsidRPr="00844A94" w:rsidRDefault="00844A94" w:rsidP="00844A94">
      <w:pPr>
        <w:pStyle w:val="2"/>
        <w:keepNext w:val="0"/>
        <w:keepLines w:val="0"/>
        <w:widowControl w:val="0"/>
        <w:spacing w:line="360" w:lineRule="auto"/>
        <w:ind w:firstLine="20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lastRenderedPageBreak/>
        <w:t>6.3 Limitations</w:t>
      </w:r>
    </w:p>
    <w:p w14:paraId="69ADD7E1" w14:textId="77777777" w:rsidR="00844A94" w:rsidRPr="00844A94" w:rsidRDefault="00844A94" w:rsidP="00844A94">
      <w:pPr>
        <w:widowControl w:val="0"/>
        <w:spacing w:after="0"/>
        <w:rPr>
          <w:rFonts w:cs="Times New Roman"/>
          <w:sz w:val="22"/>
          <w:szCs w:val="20"/>
          <w:lang w:eastAsia="zh-CN"/>
        </w:rPr>
      </w:pPr>
      <w:r w:rsidRPr="00844A94">
        <w:rPr>
          <w:rFonts w:cs="Times New Roman"/>
          <w:b/>
          <w:bCs/>
          <w:sz w:val="22"/>
        </w:rPr>
        <w:t xml:space="preserve">Table </w:t>
      </w:r>
      <w:r w:rsidRPr="00844A94">
        <w:rPr>
          <w:rFonts w:cs="Times New Roman"/>
          <w:b/>
          <w:bCs/>
          <w:sz w:val="22"/>
          <w:lang w:eastAsia="zh-CN"/>
        </w:rPr>
        <w:t>4</w:t>
      </w:r>
      <w:r w:rsidRPr="00844A94">
        <w:rPr>
          <w:rFonts w:cs="Times New Roman"/>
          <w:b/>
          <w:bCs/>
          <w:sz w:val="22"/>
        </w:rPr>
        <w:t>:</w:t>
      </w:r>
      <w:r w:rsidRPr="00844A94">
        <w:rPr>
          <w:rFonts w:cs="Times New Roman"/>
          <w:sz w:val="22"/>
          <w:szCs w:val="20"/>
          <w:lang w:eastAsia="zh-CN"/>
        </w:rPr>
        <w:t xml:space="preserve"> </w:t>
      </w:r>
      <w:r w:rsidRPr="00844A94">
        <w:rPr>
          <w:rFonts w:cs="Times New Roman"/>
          <w:i/>
          <w:sz w:val="22"/>
        </w:rPr>
        <w:t>Limitations</w:t>
      </w:r>
    </w:p>
    <w:tbl>
      <w:tblPr>
        <w:tblStyle w:val="af4"/>
        <w:tblW w:w="0" w:type="auto"/>
        <w:tblLook w:val="04A0" w:firstRow="1" w:lastRow="0" w:firstColumn="1" w:lastColumn="0" w:noHBand="0" w:noVBand="1"/>
      </w:tblPr>
      <w:tblGrid>
        <w:gridCol w:w="1838"/>
        <w:gridCol w:w="3686"/>
        <w:gridCol w:w="3826"/>
      </w:tblGrid>
      <w:tr w:rsidR="00844A94" w:rsidRPr="00844A94" w14:paraId="5381B274" w14:textId="77777777" w:rsidTr="0071035D">
        <w:tc>
          <w:tcPr>
            <w:tcW w:w="1838" w:type="dxa"/>
            <w:shd w:val="clear" w:color="auto" w:fill="D9E2F3"/>
          </w:tcPr>
          <w:p w14:paraId="4D3FC142" w14:textId="77777777" w:rsidR="00844A94" w:rsidRPr="00844A94" w:rsidRDefault="00844A94" w:rsidP="00844A94">
            <w:pPr>
              <w:widowControl w:val="0"/>
              <w:spacing w:after="0"/>
              <w:rPr>
                <w:rFonts w:cs="Times New Roman"/>
                <w:b/>
                <w:bCs/>
                <w:sz w:val="22"/>
                <w:szCs w:val="20"/>
              </w:rPr>
            </w:pPr>
            <w:r w:rsidRPr="00844A94">
              <w:rPr>
                <w:rFonts w:cs="Times New Roman"/>
                <w:b/>
                <w:bCs/>
                <w:sz w:val="22"/>
                <w:szCs w:val="20"/>
              </w:rPr>
              <w:t>Area</w:t>
            </w:r>
          </w:p>
        </w:tc>
        <w:tc>
          <w:tcPr>
            <w:tcW w:w="3686" w:type="dxa"/>
            <w:shd w:val="clear" w:color="auto" w:fill="D9E2F3"/>
          </w:tcPr>
          <w:p w14:paraId="21E5D7BF" w14:textId="77777777" w:rsidR="00844A94" w:rsidRPr="00844A94" w:rsidRDefault="00844A94" w:rsidP="00844A94">
            <w:pPr>
              <w:widowControl w:val="0"/>
              <w:spacing w:after="0"/>
              <w:rPr>
                <w:rFonts w:cs="Times New Roman"/>
                <w:b/>
                <w:bCs/>
                <w:sz w:val="22"/>
                <w:szCs w:val="20"/>
              </w:rPr>
            </w:pPr>
            <w:r w:rsidRPr="00844A94">
              <w:rPr>
                <w:rFonts w:cs="Times New Roman"/>
                <w:b/>
                <w:bCs/>
                <w:sz w:val="22"/>
                <w:szCs w:val="20"/>
              </w:rPr>
              <w:t>Limitation</w:t>
            </w:r>
          </w:p>
        </w:tc>
        <w:tc>
          <w:tcPr>
            <w:tcW w:w="3826" w:type="dxa"/>
            <w:shd w:val="clear" w:color="auto" w:fill="D9E2F3"/>
          </w:tcPr>
          <w:p w14:paraId="09927AE7" w14:textId="77777777" w:rsidR="00844A94" w:rsidRPr="00844A94" w:rsidRDefault="00844A94" w:rsidP="00844A94">
            <w:pPr>
              <w:widowControl w:val="0"/>
              <w:spacing w:after="0"/>
              <w:rPr>
                <w:rFonts w:cs="Times New Roman"/>
                <w:b/>
                <w:bCs/>
                <w:sz w:val="22"/>
                <w:szCs w:val="20"/>
              </w:rPr>
            </w:pPr>
            <w:r w:rsidRPr="00844A94">
              <w:rPr>
                <w:rFonts w:cs="Times New Roman"/>
                <w:b/>
                <w:bCs/>
                <w:sz w:val="22"/>
                <w:szCs w:val="20"/>
              </w:rPr>
              <w:t>Implication</w:t>
            </w:r>
          </w:p>
        </w:tc>
      </w:tr>
      <w:tr w:rsidR="00844A94" w:rsidRPr="00844A94" w14:paraId="41517053" w14:textId="77777777" w:rsidTr="0071035D">
        <w:tc>
          <w:tcPr>
            <w:tcW w:w="1838" w:type="dxa"/>
          </w:tcPr>
          <w:p w14:paraId="31A7F15F" w14:textId="77777777" w:rsidR="00844A94" w:rsidRPr="00844A94" w:rsidRDefault="00844A94" w:rsidP="00844A94">
            <w:pPr>
              <w:widowControl w:val="0"/>
              <w:spacing w:after="0"/>
              <w:rPr>
                <w:rFonts w:cs="Times New Roman"/>
                <w:sz w:val="22"/>
                <w:szCs w:val="20"/>
              </w:rPr>
            </w:pPr>
            <w:r w:rsidRPr="00844A94">
              <w:rPr>
                <w:rFonts w:cs="Times New Roman"/>
                <w:sz w:val="22"/>
                <w:szCs w:val="20"/>
              </w:rPr>
              <w:t>Data</w:t>
            </w:r>
          </w:p>
        </w:tc>
        <w:tc>
          <w:tcPr>
            <w:tcW w:w="3686" w:type="dxa"/>
          </w:tcPr>
          <w:p w14:paraId="12E38C33" w14:textId="77777777" w:rsidR="00844A94" w:rsidRPr="00844A94" w:rsidRDefault="00844A94" w:rsidP="00844A94">
            <w:pPr>
              <w:widowControl w:val="0"/>
              <w:spacing w:after="0"/>
              <w:rPr>
                <w:rFonts w:cs="Times New Roman"/>
                <w:sz w:val="22"/>
                <w:szCs w:val="20"/>
              </w:rPr>
            </w:pPr>
            <w:r w:rsidRPr="00844A94">
              <w:rPr>
                <w:rFonts w:cs="Times New Roman"/>
                <w:sz w:val="22"/>
                <w:szCs w:val="20"/>
              </w:rPr>
              <w:t>Sample limited to 2020–2023</w:t>
            </w:r>
          </w:p>
        </w:tc>
        <w:tc>
          <w:tcPr>
            <w:tcW w:w="3826" w:type="dxa"/>
          </w:tcPr>
          <w:p w14:paraId="3E864D54" w14:textId="77777777" w:rsidR="00844A94" w:rsidRPr="00844A94" w:rsidRDefault="00844A94" w:rsidP="00844A94">
            <w:pPr>
              <w:widowControl w:val="0"/>
              <w:spacing w:after="0"/>
              <w:rPr>
                <w:rFonts w:cs="Times New Roman"/>
                <w:sz w:val="22"/>
                <w:szCs w:val="20"/>
              </w:rPr>
            </w:pPr>
            <w:r w:rsidRPr="00844A94">
              <w:rPr>
                <w:rFonts w:cs="Times New Roman"/>
                <w:sz w:val="22"/>
                <w:szCs w:val="20"/>
              </w:rPr>
              <w:t>Results not necessarily representative of future market regimes</w:t>
            </w:r>
          </w:p>
        </w:tc>
      </w:tr>
      <w:tr w:rsidR="00844A94" w:rsidRPr="00844A94" w14:paraId="7E7D2C4E" w14:textId="77777777" w:rsidTr="0071035D">
        <w:tc>
          <w:tcPr>
            <w:tcW w:w="1838" w:type="dxa"/>
          </w:tcPr>
          <w:p w14:paraId="6C4EEDB3" w14:textId="77777777" w:rsidR="00844A94" w:rsidRPr="00844A94" w:rsidRDefault="00844A94" w:rsidP="00844A94">
            <w:pPr>
              <w:widowControl w:val="0"/>
              <w:spacing w:after="0"/>
              <w:rPr>
                <w:rFonts w:cs="Times New Roman"/>
                <w:sz w:val="22"/>
                <w:szCs w:val="20"/>
              </w:rPr>
            </w:pPr>
            <w:r w:rsidRPr="00844A94">
              <w:rPr>
                <w:rFonts w:cs="Times New Roman"/>
                <w:sz w:val="22"/>
                <w:szCs w:val="20"/>
              </w:rPr>
              <w:t>Text data</w:t>
            </w:r>
          </w:p>
        </w:tc>
        <w:tc>
          <w:tcPr>
            <w:tcW w:w="3686" w:type="dxa"/>
          </w:tcPr>
          <w:p w14:paraId="2B01EC28" w14:textId="77777777" w:rsidR="00844A94" w:rsidRPr="00844A94" w:rsidRDefault="00844A94" w:rsidP="00844A94">
            <w:pPr>
              <w:widowControl w:val="0"/>
              <w:spacing w:after="0"/>
              <w:rPr>
                <w:rFonts w:cs="Times New Roman"/>
                <w:sz w:val="22"/>
                <w:szCs w:val="20"/>
              </w:rPr>
            </w:pPr>
            <w:r w:rsidRPr="00844A94">
              <w:rPr>
                <w:rFonts w:cs="Times New Roman"/>
                <w:sz w:val="22"/>
                <w:szCs w:val="20"/>
              </w:rPr>
              <w:t>Headlines</w:t>
            </w:r>
            <w:r w:rsidRPr="00844A94">
              <w:rPr>
                <w:rFonts w:cs="Times New Roman"/>
                <w:sz w:val="22"/>
                <w:szCs w:val="20"/>
                <w:lang w:eastAsia="zh-CN"/>
              </w:rPr>
              <w:t xml:space="preserve"> not </w:t>
            </w:r>
            <w:r w:rsidRPr="00844A94">
              <w:rPr>
                <w:rFonts w:cs="Times New Roman"/>
                <w:sz w:val="22"/>
                <w:szCs w:val="20"/>
              </w:rPr>
              <w:t>full articles</w:t>
            </w:r>
          </w:p>
        </w:tc>
        <w:tc>
          <w:tcPr>
            <w:tcW w:w="3826" w:type="dxa"/>
          </w:tcPr>
          <w:p w14:paraId="03CD853D" w14:textId="77777777" w:rsidR="00844A94" w:rsidRPr="00844A94" w:rsidRDefault="00844A94" w:rsidP="00844A94">
            <w:pPr>
              <w:widowControl w:val="0"/>
              <w:spacing w:after="0"/>
              <w:rPr>
                <w:rFonts w:cs="Times New Roman"/>
                <w:sz w:val="22"/>
                <w:szCs w:val="20"/>
              </w:rPr>
            </w:pPr>
            <w:r w:rsidRPr="00844A94">
              <w:rPr>
                <w:rFonts w:cs="Times New Roman"/>
                <w:sz w:val="22"/>
                <w:szCs w:val="20"/>
              </w:rPr>
              <w:t>Sentiment signals are crude and contextually weak</w:t>
            </w:r>
          </w:p>
        </w:tc>
      </w:tr>
      <w:tr w:rsidR="00844A94" w:rsidRPr="00844A94" w14:paraId="20CBB3BF" w14:textId="77777777" w:rsidTr="0071035D">
        <w:tc>
          <w:tcPr>
            <w:tcW w:w="1838" w:type="dxa"/>
          </w:tcPr>
          <w:p w14:paraId="2319A08D" w14:textId="77777777" w:rsidR="00844A94" w:rsidRPr="00844A94" w:rsidRDefault="00844A94" w:rsidP="00844A94">
            <w:pPr>
              <w:widowControl w:val="0"/>
              <w:spacing w:after="0"/>
              <w:rPr>
                <w:rFonts w:cs="Times New Roman"/>
                <w:sz w:val="22"/>
                <w:szCs w:val="20"/>
              </w:rPr>
            </w:pPr>
            <w:r w:rsidRPr="00844A94">
              <w:rPr>
                <w:rFonts w:cs="Times New Roman"/>
                <w:sz w:val="22"/>
                <w:szCs w:val="20"/>
              </w:rPr>
              <w:t>Coverage</w:t>
            </w:r>
          </w:p>
        </w:tc>
        <w:tc>
          <w:tcPr>
            <w:tcW w:w="3686" w:type="dxa"/>
          </w:tcPr>
          <w:p w14:paraId="29311093" w14:textId="77777777" w:rsidR="00844A94" w:rsidRPr="00844A94" w:rsidRDefault="00844A94" w:rsidP="00844A94">
            <w:pPr>
              <w:widowControl w:val="0"/>
              <w:spacing w:after="0"/>
              <w:rPr>
                <w:rFonts w:cs="Times New Roman"/>
                <w:sz w:val="22"/>
                <w:szCs w:val="20"/>
              </w:rPr>
            </w:pPr>
            <w:r w:rsidRPr="00844A94">
              <w:rPr>
                <w:rFonts w:cs="Times New Roman"/>
                <w:sz w:val="22"/>
                <w:szCs w:val="20"/>
              </w:rPr>
              <w:t>No crypto news signal</w:t>
            </w:r>
          </w:p>
        </w:tc>
        <w:tc>
          <w:tcPr>
            <w:tcW w:w="3826" w:type="dxa"/>
          </w:tcPr>
          <w:p w14:paraId="5A559897" w14:textId="77777777" w:rsidR="00844A94" w:rsidRPr="00844A94" w:rsidRDefault="00844A94" w:rsidP="00844A94">
            <w:pPr>
              <w:widowControl w:val="0"/>
              <w:spacing w:after="0"/>
              <w:rPr>
                <w:rFonts w:cs="Times New Roman"/>
                <w:sz w:val="22"/>
                <w:szCs w:val="20"/>
              </w:rPr>
            </w:pPr>
            <w:r w:rsidRPr="00844A94">
              <w:rPr>
                <w:rFonts w:cs="Times New Roman"/>
                <w:sz w:val="22"/>
                <w:szCs w:val="20"/>
              </w:rPr>
              <w:t>Crypto fund does not benefit from sentiment-based allocation</w:t>
            </w:r>
          </w:p>
        </w:tc>
      </w:tr>
      <w:tr w:rsidR="00844A94" w:rsidRPr="00844A94" w14:paraId="17929730" w14:textId="77777777" w:rsidTr="0071035D">
        <w:tc>
          <w:tcPr>
            <w:tcW w:w="1838" w:type="dxa"/>
          </w:tcPr>
          <w:p w14:paraId="41BB6687" w14:textId="77777777" w:rsidR="00844A94" w:rsidRPr="00844A94" w:rsidRDefault="00844A94" w:rsidP="00844A94">
            <w:pPr>
              <w:widowControl w:val="0"/>
              <w:spacing w:after="0"/>
              <w:rPr>
                <w:rFonts w:cs="Times New Roman"/>
                <w:sz w:val="22"/>
                <w:szCs w:val="20"/>
              </w:rPr>
            </w:pPr>
            <w:r w:rsidRPr="00844A94">
              <w:rPr>
                <w:rFonts w:cs="Times New Roman"/>
                <w:sz w:val="22"/>
                <w:szCs w:val="20"/>
              </w:rPr>
              <w:t>Implementation</w:t>
            </w:r>
          </w:p>
        </w:tc>
        <w:tc>
          <w:tcPr>
            <w:tcW w:w="3686" w:type="dxa"/>
          </w:tcPr>
          <w:p w14:paraId="4D590F1A" w14:textId="77777777" w:rsidR="00844A94" w:rsidRPr="00844A94" w:rsidRDefault="00844A94" w:rsidP="00844A94">
            <w:pPr>
              <w:widowControl w:val="0"/>
              <w:spacing w:after="0"/>
              <w:rPr>
                <w:rFonts w:cs="Times New Roman"/>
                <w:sz w:val="22"/>
                <w:szCs w:val="20"/>
              </w:rPr>
            </w:pPr>
            <w:r w:rsidRPr="00844A94">
              <w:rPr>
                <w:rFonts w:cs="Times New Roman"/>
                <w:sz w:val="22"/>
                <w:szCs w:val="20"/>
              </w:rPr>
              <w:t>Zero transaction costs</w:t>
            </w:r>
          </w:p>
        </w:tc>
        <w:tc>
          <w:tcPr>
            <w:tcW w:w="3826" w:type="dxa"/>
          </w:tcPr>
          <w:p w14:paraId="6CA52BEA" w14:textId="77777777" w:rsidR="00844A94" w:rsidRPr="00844A94" w:rsidRDefault="00844A94" w:rsidP="00844A94">
            <w:pPr>
              <w:widowControl w:val="0"/>
              <w:spacing w:after="0"/>
              <w:rPr>
                <w:rFonts w:cs="Times New Roman"/>
                <w:sz w:val="22"/>
                <w:szCs w:val="20"/>
              </w:rPr>
            </w:pPr>
            <w:r w:rsidRPr="00844A94">
              <w:rPr>
                <w:rFonts w:cs="Times New Roman"/>
                <w:sz w:val="22"/>
                <w:szCs w:val="20"/>
              </w:rPr>
              <w:t>Reported returns do not reflect true investment performance</w:t>
            </w:r>
          </w:p>
        </w:tc>
      </w:tr>
      <w:tr w:rsidR="00960754" w:rsidRPr="00844A94" w14:paraId="732F37BD" w14:textId="77777777" w:rsidTr="0071035D">
        <w:tc>
          <w:tcPr>
            <w:tcW w:w="1838" w:type="dxa"/>
          </w:tcPr>
          <w:p w14:paraId="6DBEC48E" w14:textId="77777777" w:rsidR="00844A94" w:rsidRPr="00844A94" w:rsidRDefault="00844A94" w:rsidP="00844A94">
            <w:pPr>
              <w:widowControl w:val="0"/>
              <w:spacing w:after="0"/>
              <w:rPr>
                <w:rFonts w:cs="Times New Roman"/>
                <w:sz w:val="22"/>
                <w:szCs w:val="20"/>
              </w:rPr>
            </w:pPr>
            <w:r w:rsidRPr="00844A94">
              <w:rPr>
                <w:rFonts w:cs="Times New Roman"/>
                <w:sz w:val="22"/>
                <w:szCs w:val="20"/>
              </w:rPr>
              <w:t>Model</w:t>
            </w:r>
          </w:p>
        </w:tc>
        <w:tc>
          <w:tcPr>
            <w:tcW w:w="3686" w:type="dxa"/>
          </w:tcPr>
          <w:p w14:paraId="4A877DA9" w14:textId="77777777" w:rsidR="00844A94" w:rsidRPr="00844A94" w:rsidRDefault="00844A94" w:rsidP="00844A94">
            <w:pPr>
              <w:widowControl w:val="0"/>
              <w:spacing w:after="0"/>
              <w:rPr>
                <w:rFonts w:cs="Times New Roman"/>
                <w:sz w:val="22"/>
                <w:szCs w:val="20"/>
              </w:rPr>
            </w:pPr>
            <w:r w:rsidRPr="00844A94">
              <w:rPr>
                <w:rFonts w:cs="Times New Roman"/>
                <w:sz w:val="22"/>
                <w:szCs w:val="20"/>
              </w:rPr>
              <w:t>Fixed 504-day estimation window</w:t>
            </w:r>
          </w:p>
        </w:tc>
        <w:tc>
          <w:tcPr>
            <w:tcW w:w="3826" w:type="dxa"/>
          </w:tcPr>
          <w:p w14:paraId="4AECA2D2" w14:textId="77777777" w:rsidR="00844A94" w:rsidRPr="00844A94" w:rsidRDefault="00844A94" w:rsidP="00844A94">
            <w:pPr>
              <w:widowControl w:val="0"/>
              <w:spacing w:after="0"/>
              <w:rPr>
                <w:rFonts w:cs="Times New Roman"/>
                <w:sz w:val="22"/>
                <w:szCs w:val="20"/>
              </w:rPr>
            </w:pPr>
            <w:r w:rsidRPr="00844A94">
              <w:rPr>
                <w:rFonts w:cs="Times New Roman"/>
                <w:sz w:val="22"/>
                <w:szCs w:val="20"/>
              </w:rPr>
              <w:t>Not much flexibility in adjusting to different market regimes</w:t>
            </w:r>
          </w:p>
        </w:tc>
      </w:tr>
    </w:tbl>
    <w:p w14:paraId="757A4B9D" w14:textId="77777777" w:rsidR="00844A94" w:rsidRPr="00844A94" w:rsidRDefault="00844A94" w:rsidP="00844A94">
      <w:pPr>
        <w:widowControl w:val="0"/>
        <w:rPr>
          <w:rFonts w:cs="Times New Roman"/>
          <w:lang w:eastAsia="zh-CN"/>
        </w:rPr>
      </w:pPr>
    </w:p>
    <w:p w14:paraId="6FB3ACE9" w14:textId="77777777" w:rsidR="00844A94" w:rsidRPr="00844A94" w:rsidRDefault="00844A94" w:rsidP="00844A94">
      <w:pPr>
        <w:pStyle w:val="2"/>
        <w:keepNext w:val="0"/>
        <w:keepLines w:val="0"/>
        <w:widowControl w:val="0"/>
        <w:spacing w:line="360" w:lineRule="auto"/>
        <w:ind w:firstLineChars="200" w:firstLine="72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t>6.4 Three Concrete Recommendations</w:t>
      </w:r>
    </w:p>
    <w:p w14:paraId="5AFD4F9E" w14:textId="77777777" w:rsidR="00844A94" w:rsidRPr="00844A94" w:rsidRDefault="00844A94" w:rsidP="00844A94">
      <w:pPr>
        <w:widowControl w:val="0"/>
        <w:spacing w:line="360" w:lineRule="auto"/>
        <w:ind w:firstLineChars="200" w:firstLine="480"/>
        <w:rPr>
          <w:rFonts w:cs="Times New Roman"/>
          <w:b/>
          <w:bCs/>
          <w:lang w:eastAsia="zh-CN"/>
        </w:rPr>
      </w:pPr>
      <w:r w:rsidRPr="00844A94">
        <w:rPr>
          <w:rFonts w:cs="Times New Roman"/>
          <w:b/>
          <w:bCs/>
          <w:lang w:eastAsia="zh-CN"/>
        </w:rPr>
        <w:t>Recommendation 1: Replace Max-Sharpe with minimum variance as the base of sentiment fusion</w:t>
      </w:r>
    </w:p>
    <w:p w14:paraId="42E44CAC"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The first recommendation involves using the sentiment in the minimum variance portfolio as opposed to the maximum Sharpe portfolio. The use of the minimum variance approach means that there are no estimations of the mean return and any changes in the performance caused by sentiment will be due to sentiment only. The main measure of performance is the change in Sharpe ratio while other measures include maximum drawdown, turnover, volatility, and sector exposure stability. The benefit of such an approach is the ability to determine whether the sentiment contributes to performance or not.</w:t>
      </w:r>
    </w:p>
    <w:p w14:paraId="4B5E2804"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b/>
          <w:bCs/>
          <w:lang w:eastAsia="zh-CN"/>
        </w:rPr>
        <w:t xml:space="preserve">Recommendation 2: Implement turnover penalty in the </w:t>
      </w:r>
      <w:proofErr w:type="spellStart"/>
      <w:r w:rsidRPr="00844A94">
        <w:rPr>
          <w:rFonts w:cs="Times New Roman"/>
          <w:b/>
          <w:bCs/>
          <w:lang w:eastAsia="zh-CN"/>
        </w:rPr>
        <w:t>backtest</w:t>
      </w:r>
      <w:proofErr w:type="spellEnd"/>
    </w:p>
    <w:p w14:paraId="763210DE"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second recommendation is the move from gross-cost </w:t>
      </w:r>
      <w:proofErr w:type="spellStart"/>
      <w:r w:rsidRPr="00844A94">
        <w:rPr>
          <w:rFonts w:cs="Times New Roman"/>
          <w:lang w:eastAsia="zh-CN"/>
        </w:rPr>
        <w:t>backtesting</w:t>
      </w:r>
      <w:proofErr w:type="spellEnd"/>
      <w:r w:rsidRPr="00844A94">
        <w:rPr>
          <w:rFonts w:cs="Times New Roman"/>
          <w:lang w:eastAsia="zh-CN"/>
        </w:rPr>
        <w:t xml:space="preserve"> to net-cost </w:t>
      </w:r>
      <w:proofErr w:type="spellStart"/>
      <w:r w:rsidRPr="00844A94">
        <w:rPr>
          <w:rFonts w:cs="Times New Roman"/>
          <w:lang w:eastAsia="zh-CN"/>
        </w:rPr>
        <w:t>backtesting</w:t>
      </w:r>
      <w:proofErr w:type="spellEnd"/>
      <w:r w:rsidRPr="00844A94">
        <w:rPr>
          <w:rFonts w:cs="Times New Roman"/>
          <w:lang w:eastAsia="zh-CN"/>
        </w:rPr>
        <w:t xml:space="preserve">. Gross cost </w:t>
      </w:r>
      <w:proofErr w:type="spellStart"/>
      <w:r w:rsidRPr="00844A94">
        <w:rPr>
          <w:rFonts w:cs="Times New Roman"/>
          <w:lang w:eastAsia="zh-CN"/>
        </w:rPr>
        <w:t>backtests</w:t>
      </w:r>
      <w:proofErr w:type="spellEnd"/>
      <w:r w:rsidRPr="00844A94">
        <w:rPr>
          <w:rFonts w:cs="Times New Roman"/>
          <w:lang w:eastAsia="zh-CN"/>
        </w:rPr>
        <w:t xml:space="preserve"> currently make some assumptions about transaction costs being zero, causing high turnover strategies like the Max Sharpe strategy to look much better than what it </w:t>
      </w:r>
      <w:proofErr w:type="gramStart"/>
      <w:r w:rsidRPr="00844A94">
        <w:rPr>
          <w:rFonts w:cs="Times New Roman"/>
          <w:lang w:eastAsia="zh-CN"/>
        </w:rPr>
        <w:t>actually is</w:t>
      </w:r>
      <w:proofErr w:type="gramEnd"/>
      <w:r w:rsidRPr="00844A94">
        <w:rPr>
          <w:rFonts w:cs="Times New Roman"/>
          <w:lang w:eastAsia="zh-CN"/>
        </w:rPr>
        <w:t xml:space="preserve">. The truth is that bid-ask spreads and market impacts reduce profits, especially in the cryptocurrency markets. We recommend conservative transaction cost estimates, including 10 basis points per transaction or 20 basis points </w:t>
      </w:r>
      <w:proofErr w:type="gramStart"/>
      <w:r w:rsidRPr="00844A94">
        <w:rPr>
          <w:rFonts w:cs="Times New Roman"/>
          <w:lang w:eastAsia="zh-CN"/>
        </w:rPr>
        <w:t>roundtrip</w:t>
      </w:r>
      <w:proofErr w:type="gramEnd"/>
      <w:r w:rsidRPr="00844A94">
        <w:rPr>
          <w:rFonts w:cs="Times New Roman"/>
          <w:lang w:eastAsia="zh-CN"/>
        </w:rPr>
        <w:t xml:space="preserve">. It is important to know if the rankings of the funds change significantly when this cost is taken into consideration; in case the </w:t>
      </w:r>
      <w:r w:rsidRPr="00844A94">
        <w:rPr>
          <w:rFonts w:cs="Times New Roman"/>
          <w:lang w:eastAsia="zh-CN"/>
        </w:rPr>
        <w:lastRenderedPageBreak/>
        <w:t xml:space="preserve">strategy fails to work when costs are </w:t>
      </w:r>
      <w:proofErr w:type="gramStart"/>
      <w:r w:rsidRPr="00844A94">
        <w:rPr>
          <w:rFonts w:cs="Times New Roman"/>
          <w:lang w:eastAsia="zh-CN"/>
        </w:rPr>
        <w:t>taken into account</w:t>
      </w:r>
      <w:proofErr w:type="gramEnd"/>
      <w:r w:rsidRPr="00844A94">
        <w:rPr>
          <w:rFonts w:cs="Times New Roman"/>
          <w:lang w:eastAsia="zh-CN"/>
        </w:rPr>
        <w:t>, then this should be known.</w:t>
      </w:r>
    </w:p>
    <w:p w14:paraId="79BE18AB" w14:textId="77777777" w:rsidR="00844A94" w:rsidRPr="00844A94" w:rsidRDefault="00844A94" w:rsidP="00844A94">
      <w:pPr>
        <w:widowControl w:val="0"/>
        <w:spacing w:line="360" w:lineRule="auto"/>
        <w:ind w:firstLineChars="200" w:firstLine="480"/>
        <w:rPr>
          <w:rFonts w:cs="Times New Roman"/>
          <w:b/>
          <w:bCs/>
          <w:lang w:eastAsia="zh-CN"/>
        </w:rPr>
      </w:pPr>
      <w:r w:rsidRPr="00844A94">
        <w:rPr>
          <w:rFonts w:cs="Times New Roman"/>
          <w:b/>
          <w:bCs/>
          <w:lang w:eastAsia="zh-CN"/>
        </w:rPr>
        <w:t>Recommendation 3: Roll the sentiment model into an entity-level sentiment model.</w:t>
      </w:r>
    </w:p>
    <w:p w14:paraId="0CC55A46" w14:textId="77777777" w:rsidR="00844A94" w:rsidRPr="00844A94" w:rsidRDefault="00844A94" w:rsidP="00844A94">
      <w:pPr>
        <w:widowControl w:val="0"/>
        <w:spacing w:line="360" w:lineRule="auto"/>
        <w:ind w:firstLineChars="200" w:firstLine="480"/>
        <w:rPr>
          <w:rFonts w:cs="Times New Roman"/>
          <w:lang w:eastAsia="zh-CN"/>
        </w:rPr>
      </w:pPr>
      <w:r w:rsidRPr="00844A94">
        <w:rPr>
          <w:rFonts w:cs="Times New Roman"/>
          <w:lang w:eastAsia="zh-CN"/>
        </w:rPr>
        <w:t xml:space="preserve">The third recommendation concerns increasing the accuracy of sentiment signals. Although sector-level aggregation is helpful in constructing market-wide indicators, information that is unique to each individual firm could get averaged away when aggregated at the sector level. For example, a very positive headline for one stock amid a poorly performing industry will simply be averaged away. </w:t>
      </w:r>
      <w:proofErr w:type="gramStart"/>
      <w:r w:rsidRPr="00844A94">
        <w:rPr>
          <w:rFonts w:cs="Times New Roman"/>
          <w:lang w:eastAsia="zh-CN"/>
        </w:rPr>
        <w:t>In order to</w:t>
      </w:r>
      <w:proofErr w:type="gramEnd"/>
      <w:r w:rsidRPr="00844A94">
        <w:rPr>
          <w:rFonts w:cs="Times New Roman"/>
          <w:lang w:eastAsia="zh-CN"/>
        </w:rPr>
        <w:t xml:space="preserve"> overcome this problem, we can rate headlines on a ticker-level basis and construct 5-day and 10-day moving averages for sentiments. Instead of taking the level of the moving average into account, we would base our signal on whether the sentiment is rising or falling, where a rising sentiment leads us to overweight, and falling sentiment leads us to underweight.</w:t>
      </w:r>
    </w:p>
    <w:p w14:paraId="0A24F68A" w14:textId="77777777" w:rsidR="00844A94" w:rsidRPr="00844A94" w:rsidRDefault="00844A94" w:rsidP="00844A94">
      <w:pPr>
        <w:widowControl w:val="0"/>
        <w:rPr>
          <w:rFonts w:cs="Times New Roman"/>
          <w:szCs w:val="24"/>
          <w:lang w:eastAsia="zh-CN"/>
        </w:rPr>
      </w:pPr>
    </w:p>
    <w:p w14:paraId="4712CE12" w14:textId="77777777" w:rsidR="00844A94" w:rsidRPr="00844A94" w:rsidRDefault="00844A94" w:rsidP="00844A94">
      <w:pPr>
        <w:widowControl w:val="0"/>
        <w:rPr>
          <w:rFonts w:cs="Times New Roman"/>
          <w:szCs w:val="24"/>
          <w:lang w:eastAsia="zh-CN"/>
        </w:rPr>
      </w:pPr>
    </w:p>
    <w:p w14:paraId="37785C62" w14:textId="77777777" w:rsidR="00844A94" w:rsidRDefault="00844A94" w:rsidP="00844A94">
      <w:pPr>
        <w:widowControl w:val="0"/>
        <w:rPr>
          <w:rFonts w:eastAsiaTheme="majorEastAsia" w:cs="Times New Roman"/>
          <w:b/>
          <w:bCs/>
          <w:kern w:val="2"/>
          <w:sz w:val="32"/>
          <w:szCs w:val="32"/>
          <w:lang w:eastAsia="zh-CN"/>
          <w14:ligatures w14:val="standardContextual"/>
        </w:rPr>
      </w:pPr>
    </w:p>
    <w:p w14:paraId="08B0EA3F"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4332B7EB"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5D81A852"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29E05614"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6F51F609"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0535A6B1"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54BC2F6D"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50E09776"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798282EB" w14:textId="77777777" w:rsidR="00676BCD" w:rsidRDefault="00676BCD" w:rsidP="00844A94">
      <w:pPr>
        <w:widowControl w:val="0"/>
        <w:rPr>
          <w:rFonts w:eastAsiaTheme="majorEastAsia" w:cs="Times New Roman"/>
          <w:b/>
          <w:bCs/>
          <w:kern w:val="2"/>
          <w:sz w:val="32"/>
          <w:szCs w:val="32"/>
          <w:lang w:eastAsia="zh-CN"/>
          <w14:ligatures w14:val="standardContextual"/>
        </w:rPr>
      </w:pPr>
    </w:p>
    <w:p w14:paraId="5F3EDE14" w14:textId="77777777" w:rsidR="00676BCD" w:rsidRPr="00844A94" w:rsidRDefault="00676BCD" w:rsidP="00844A94">
      <w:pPr>
        <w:widowControl w:val="0"/>
        <w:rPr>
          <w:rFonts w:eastAsiaTheme="majorEastAsia" w:cs="Times New Roman"/>
          <w:b/>
          <w:bCs/>
          <w:kern w:val="2"/>
          <w:sz w:val="32"/>
          <w:szCs w:val="32"/>
          <w:lang w:eastAsia="zh-CN"/>
          <w14:ligatures w14:val="standardContextual"/>
        </w:rPr>
      </w:pPr>
    </w:p>
    <w:p w14:paraId="1F7CFF42" w14:textId="77777777" w:rsidR="00844A94" w:rsidRPr="00844A94" w:rsidRDefault="00844A94" w:rsidP="00844A94">
      <w:pPr>
        <w:pStyle w:val="1"/>
        <w:keepNext w:val="0"/>
        <w:keepLines w:val="0"/>
        <w:widowControl w:val="0"/>
        <w:rPr>
          <w:rFonts w:ascii="Times New Roman" w:hAnsi="Times New Roman" w:cs="Times New Roman"/>
          <w:color w:val="000000" w:themeColor="text1"/>
          <w:sz w:val="36"/>
          <w:szCs w:val="36"/>
        </w:rPr>
      </w:pPr>
      <w:r w:rsidRPr="00844A94">
        <w:rPr>
          <w:rFonts w:ascii="Times New Roman" w:hAnsi="Times New Roman" w:cs="Times New Roman"/>
          <w:color w:val="000000" w:themeColor="text1"/>
          <w:sz w:val="36"/>
          <w:szCs w:val="36"/>
        </w:rPr>
        <w:lastRenderedPageBreak/>
        <w:t>References</w:t>
      </w:r>
    </w:p>
    <w:p w14:paraId="195950C9" w14:textId="77777777" w:rsidR="00844A94" w:rsidRPr="00844A94" w:rsidRDefault="00844A94" w:rsidP="00844A94">
      <w:pPr>
        <w:widowControl w:val="0"/>
        <w:spacing w:before="100" w:beforeAutospacing="1" w:after="100" w:afterAutospacing="1"/>
        <w:ind w:left="567" w:hanging="567"/>
        <w:rPr>
          <w:rFonts w:cs="Times New Roman"/>
          <w:szCs w:val="24"/>
          <w:lang w:eastAsia="zh-CN"/>
        </w:rPr>
      </w:pPr>
      <w:r w:rsidRPr="00844A94">
        <w:rPr>
          <w:rFonts w:eastAsia="Times New Roman" w:cs="Times New Roman"/>
          <w:szCs w:val="24"/>
          <w:lang w:eastAsia="zh-CN"/>
        </w:rPr>
        <w:t xml:space="preserve">Antonov, A., Lipton, A., &amp; López de Prado, M. (2024). Overcoming Markowitz’s instability with the help of the hierarchical risk parity (HRP): Theoretical evidence. </w:t>
      </w:r>
      <w:r w:rsidRPr="00844A94">
        <w:rPr>
          <w:rFonts w:eastAsia="Times New Roman" w:cs="Times New Roman"/>
          <w:i/>
          <w:iCs/>
          <w:szCs w:val="24"/>
          <w:lang w:eastAsia="zh-CN"/>
        </w:rPr>
        <w:t>SSRN Electronic Journal</w:t>
      </w:r>
      <w:r w:rsidRPr="00844A94">
        <w:rPr>
          <w:rFonts w:eastAsia="Times New Roman" w:cs="Times New Roman"/>
          <w:szCs w:val="24"/>
          <w:lang w:eastAsia="zh-CN"/>
        </w:rPr>
        <w:t xml:space="preserve">. </w:t>
      </w:r>
      <w:hyperlink r:id="rId8" w:history="1">
        <w:r w:rsidRPr="00844A94">
          <w:rPr>
            <w:rStyle w:val="af5"/>
            <w:rFonts w:eastAsia="Times New Roman" w:cs="Times New Roman"/>
            <w:color w:val="000000" w:themeColor="text1"/>
            <w:szCs w:val="24"/>
            <w:lang w:eastAsia="zh-CN"/>
          </w:rPr>
          <w:t>https://doi.org/10.2139/ssrn.4748151</w:t>
        </w:r>
      </w:hyperlink>
    </w:p>
    <w:p w14:paraId="127CDF47" w14:textId="77777777" w:rsidR="00844A94" w:rsidRPr="00844A94" w:rsidRDefault="00844A94" w:rsidP="00844A94">
      <w:pPr>
        <w:pStyle w:val="ae"/>
        <w:widowControl w:val="0"/>
        <w:ind w:left="567" w:hanging="567"/>
        <w:rPr>
          <w:rFonts w:ascii="Times New Roman" w:eastAsiaTheme="minorEastAsia" w:hAnsi="Times New Roman" w:cs="Times New Roman"/>
        </w:rPr>
      </w:pPr>
      <w:proofErr w:type="spellStart"/>
      <w:r w:rsidRPr="00844A94">
        <w:rPr>
          <w:rFonts w:ascii="Times New Roman" w:hAnsi="Times New Roman" w:cs="Times New Roman"/>
        </w:rPr>
        <w:t>Briola</w:t>
      </w:r>
      <w:proofErr w:type="spellEnd"/>
      <w:r w:rsidRPr="00844A94">
        <w:rPr>
          <w:rFonts w:ascii="Times New Roman" w:hAnsi="Times New Roman" w:cs="Times New Roman"/>
        </w:rPr>
        <w:t xml:space="preserve">, A., Vidal-Tomás, D., Wang, Y., &amp; </w:t>
      </w:r>
      <w:proofErr w:type="spellStart"/>
      <w:r w:rsidRPr="00844A94">
        <w:rPr>
          <w:rFonts w:ascii="Times New Roman" w:hAnsi="Times New Roman" w:cs="Times New Roman"/>
        </w:rPr>
        <w:t>Aste</w:t>
      </w:r>
      <w:proofErr w:type="spellEnd"/>
      <w:r w:rsidRPr="00844A94">
        <w:rPr>
          <w:rFonts w:ascii="Times New Roman" w:hAnsi="Times New Roman" w:cs="Times New Roman"/>
        </w:rPr>
        <w:t xml:space="preserve">, T. (2023). Anatomy of a Stablecoin’s failure: The terra-luna case. </w:t>
      </w:r>
      <w:r w:rsidRPr="00844A94">
        <w:rPr>
          <w:rFonts w:ascii="Times New Roman" w:hAnsi="Times New Roman" w:cs="Times New Roman"/>
          <w:i/>
          <w:iCs/>
        </w:rPr>
        <w:t>Finance Research Letters</w:t>
      </w:r>
      <w:r w:rsidRPr="00844A94">
        <w:rPr>
          <w:rFonts w:ascii="Times New Roman" w:hAnsi="Times New Roman" w:cs="Times New Roman"/>
        </w:rPr>
        <w:t xml:space="preserve">, </w:t>
      </w:r>
      <w:r w:rsidRPr="00844A94">
        <w:rPr>
          <w:rFonts w:ascii="Times New Roman" w:hAnsi="Times New Roman" w:cs="Times New Roman"/>
          <w:i/>
          <w:iCs/>
        </w:rPr>
        <w:t>51</w:t>
      </w:r>
      <w:r w:rsidRPr="00844A94">
        <w:rPr>
          <w:rFonts w:ascii="Times New Roman" w:hAnsi="Times New Roman" w:cs="Times New Roman"/>
        </w:rPr>
        <w:t xml:space="preserve">, 103358. </w:t>
      </w:r>
      <w:hyperlink r:id="rId9" w:history="1">
        <w:r w:rsidRPr="00844A94">
          <w:rPr>
            <w:rStyle w:val="af5"/>
            <w:rFonts w:ascii="Times New Roman" w:hAnsi="Times New Roman" w:cs="Times New Roman"/>
            <w:color w:val="000000" w:themeColor="text1"/>
          </w:rPr>
          <w:t>https://doi.org/10.1016/j.frl.2022.103358</w:t>
        </w:r>
      </w:hyperlink>
    </w:p>
    <w:p w14:paraId="5B8E595E" w14:textId="77777777" w:rsidR="00844A94" w:rsidRPr="00844A94" w:rsidRDefault="00844A94" w:rsidP="00844A94">
      <w:pPr>
        <w:widowControl w:val="0"/>
        <w:spacing w:before="100" w:beforeAutospacing="1" w:after="100" w:afterAutospacing="1"/>
        <w:ind w:left="567" w:hanging="567"/>
        <w:rPr>
          <w:rFonts w:cs="Times New Roman"/>
          <w:szCs w:val="24"/>
          <w:lang w:eastAsia="zh-CN"/>
        </w:rPr>
      </w:pPr>
      <w:r w:rsidRPr="00844A94">
        <w:rPr>
          <w:rFonts w:eastAsia="Times New Roman" w:cs="Times New Roman"/>
          <w:szCs w:val="24"/>
          <w:lang w:eastAsia="zh-CN"/>
        </w:rPr>
        <w:t xml:space="preserve">Kristensen, L., &amp; </w:t>
      </w:r>
      <w:proofErr w:type="spellStart"/>
      <w:r w:rsidRPr="00844A94">
        <w:rPr>
          <w:rFonts w:eastAsia="Times New Roman" w:cs="Times New Roman"/>
          <w:szCs w:val="24"/>
          <w:lang w:eastAsia="zh-CN"/>
        </w:rPr>
        <w:t>Vorobets</w:t>
      </w:r>
      <w:proofErr w:type="spellEnd"/>
      <w:r w:rsidRPr="00844A94">
        <w:rPr>
          <w:rFonts w:eastAsia="Times New Roman" w:cs="Times New Roman"/>
          <w:szCs w:val="24"/>
          <w:lang w:eastAsia="zh-CN"/>
        </w:rPr>
        <w:t xml:space="preserve">, A. (2024). Portfolio optimization and parameter uncertainty. </w:t>
      </w:r>
      <w:r w:rsidRPr="00844A94">
        <w:rPr>
          <w:rFonts w:eastAsia="Times New Roman" w:cs="Times New Roman"/>
          <w:i/>
          <w:iCs/>
          <w:szCs w:val="24"/>
          <w:lang w:eastAsia="zh-CN"/>
        </w:rPr>
        <w:t>SSRN Electronic Journal</w:t>
      </w:r>
      <w:r w:rsidRPr="00844A94">
        <w:rPr>
          <w:rFonts w:eastAsia="Times New Roman" w:cs="Times New Roman"/>
          <w:szCs w:val="24"/>
          <w:lang w:eastAsia="zh-CN"/>
        </w:rPr>
        <w:t xml:space="preserve">. </w:t>
      </w:r>
      <w:hyperlink r:id="rId10" w:history="1">
        <w:r w:rsidRPr="00844A94">
          <w:rPr>
            <w:rStyle w:val="af5"/>
            <w:rFonts w:eastAsia="Times New Roman" w:cs="Times New Roman"/>
            <w:color w:val="000000" w:themeColor="text1"/>
            <w:szCs w:val="24"/>
            <w:lang w:eastAsia="zh-CN"/>
          </w:rPr>
          <w:t>https://doi.org/10.2139/ssrn.4709317</w:t>
        </w:r>
      </w:hyperlink>
    </w:p>
    <w:p w14:paraId="7F075C49" w14:textId="77777777" w:rsidR="00844A94" w:rsidRPr="00844A94" w:rsidRDefault="00844A94" w:rsidP="00844A94">
      <w:pPr>
        <w:pStyle w:val="ae"/>
        <w:widowControl w:val="0"/>
        <w:ind w:left="567" w:hanging="567"/>
        <w:rPr>
          <w:rFonts w:ascii="Times New Roman" w:eastAsiaTheme="minorEastAsia" w:hAnsi="Times New Roman" w:cs="Times New Roman"/>
        </w:rPr>
      </w:pPr>
      <w:r w:rsidRPr="00844A94">
        <w:rPr>
          <w:rFonts w:ascii="Times New Roman" w:hAnsi="Times New Roman" w:cs="Times New Roman"/>
        </w:rPr>
        <w:t xml:space="preserve">López de Prado, M. (2016). Building diversified portfolios that outperform out of sample. </w:t>
      </w:r>
      <w:r w:rsidRPr="00844A94">
        <w:rPr>
          <w:rFonts w:ascii="Times New Roman" w:hAnsi="Times New Roman" w:cs="Times New Roman"/>
          <w:i/>
          <w:iCs/>
        </w:rPr>
        <w:t>The Journal of Portfolio Management</w:t>
      </w:r>
      <w:r w:rsidRPr="00844A94">
        <w:rPr>
          <w:rFonts w:ascii="Times New Roman" w:hAnsi="Times New Roman" w:cs="Times New Roman"/>
        </w:rPr>
        <w:t xml:space="preserve">, </w:t>
      </w:r>
      <w:r w:rsidRPr="00844A94">
        <w:rPr>
          <w:rFonts w:ascii="Times New Roman" w:hAnsi="Times New Roman" w:cs="Times New Roman"/>
          <w:i/>
          <w:iCs/>
        </w:rPr>
        <w:t>42</w:t>
      </w:r>
      <w:r w:rsidRPr="00844A94">
        <w:rPr>
          <w:rFonts w:ascii="Times New Roman" w:hAnsi="Times New Roman" w:cs="Times New Roman"/>
        </w:rPr>
        <w:t xml:space="preserve">(4), 59–69. </w:t>
      </w:r>
      <w:hyperlink r:id="rId11" w:history="1">
        <w:r w:rsidRPr="00844A94">
          <w:rPr>
            <w:rStyle w:val="af5"/>
            <w:rFonts w:ascii="Times New Roman" w:hAnsi="Times New Roman" w:cs="Times New Roman"/>
            <w:color w:val="000000" w:themeColor="text1"/>
          </w:rPr>
          <w:t>https://doi.org/10.3905/jpm.2016.42.4.059</w:t>
        </w:r>
      </w:hyperlink>
    </w:p>
    <w:p w14:paraId="586C675C" w14:textId="77777777" w:rsidR="00844A94" w:rsidRPr="00844A94" w:rsidRDefault="00844A94" w:rsidP="00844A94">
      <w:pPr>
        <w:widowControl w:val="0"/>
        <w:spacing w:before="100" w:beforeAutospacing="1" w:after="100" w:afterAutospacing="1"/>
        <w:ind w:left="567" w:hanging="567"/>
        <w:rPr>
          <w:rFonts w:cs="Times New Roman"/>
          <w:szCs w:val="24"/>
          <w:lang w:eastAsia="zh-CN"/>
        </w:rPr>
      </w:pPr>
      <w:r w:rsidRPr="00844A94">
        <w:rPr>
          <w:rFonts w:eastAsia="Times New Roman" w:cs="Times New Roman"/>
          <w:szCs w:val="24"/>
          <w:lang w:eastAsia="zh-CN"/>
        </w:rPr>
        <w:t xml:space="preserve">Mei, X., Zhu, H., &amp; Chen, C. (2022). Mean-variance portfolio selection with estimation risk and transaction costs. </w:t>
      </w:r>
      <w:r w:rsidRPr="00844A94">
        <w:rPr>
          <w:rFonts w:eastAsia="Times New Roman" w:cs="Times New Roman"/>
          <w:i/>
          <w:iCs/>
          <w:szCs w:val="24"/>
          <w:lang w:eastAsia="zh-CN"/>
        </w:rPr>
        <w:t>Applied Economics</w:t>
      </w:r>
      <w:r w:rsidRPr="00844A94">
        <w:rPr>
          <w:rFonts w:eastAsia="Times New Roman" w:cs="Times New Roman"/>
          <w:szCs w:val="24"/>
          <w:lang w:eastAsia="zh-CN"/>
        </w:rPr>
        <w:t xml:space="preserve">, </w:t>
      </w:r>
      <w:r w:rsidRPr="00844A94">
        <w:rPr>
          <w:rFonts w:eastAsia="Times New Roman" w:cs="Times New Roman"/>
          <w:i/>
          <w:iCs/>
          <w:szCs w:val="24"/>
          <w:lang w:eastAsia="zh-CN"/>
        </w:rPr>
        <w:t>55</w:t>
      </w:r>
      <w:r w:rsidRPr="00844A94">
        <w:rPr>
          <w:rFonts w:eastAsia="Times New Roman" w:cs="Times New Roman"/>
          <w:szCs w:val="24"/>
          <w:lang w:eastAsia="zh-CN"/>
        </w:rPr>
        <w:t xml:space="preserve">(13), 1436–1453. </w:t>
      </w:r>
      <w:hyperlink r:id="rId12" w:history="1">
        <w:r w:rsidRPr="00844A94">
          <w:rPr>
            <w:rStyle w:val="af5"/>
            <w:rFonts w:eastAsia="Times New Roman" w:cs="Times New Roman"/>
            <w:color w:val="000000" w:themeColor="text1"/>
            <w:szCs w:val="24"/>
            <w:lang w:eastAsia="zh-CN"/>
          </w:rPr>
          <w:t>https://doi.org/10.1080/00036846.2022.209719</w:t>
        </w:r>
        <w:r w:rsidRPr="00844A94">
          <w:rPr>
            <w:rStyle w:val="af5"/>
            <w:rFonts w:cs="Times New Roman"/>
            <w:color w:val="000000" w:themeColor="text1"/>
            <w:szCs w:val="24"/>
            <w:lang w:eastAsia="zh-CN"/>
          </w:rPr>
          <w:t>1</w:t>
        </w:r>
      </w:hyperlink>
    </w:p>
    <w:p w14:paraId="51C62497" w14:textId="77777777" w:rsidR="00844A94" w:rsidRPr="00844A94" w:rsidRDefault="00844A94" w:rsidP="00844A94">
      <w:pPr>
        <w:pStyle w:val="ae"/>
        <w:widowControl w:val="0"/>
        <w:ind w:left="567" w:hanging="567"/>
        <w:rPr>
          <w:rFonts w:ascii="Times New Roman" w:eastAsiaTheme="minorEastAsia" w:hAnsi="Times New Roman" w:cs="Times New Roman"/>
        </w:rPr>
      </w:pPr>
      <w:r w:rsidRPr="00844A94">
        <w:rPr>
          <w:rFonts w:ascii="Times New Roman" w:hAnsi="Times New Roman" w:cs="Times New Roman"/>
        </w:rPr>
        <w:t xml:space="preserve">Vidal-Tomás, D., </w:t>
      </w:r>
      <w:proofErr w:type="spellStart"/>
      <w:r w:rsidRPr="00844A94">
        <w:rPr>
          <w:rFonts w:ascii="Times New Roman" w:hAnsi="Times New Roman" w:cs="Times New Roman"/>
        </w:rPr>
        <w:t>Briola</w:t>
      </w:r>
      <w:proofErr w:type="spellEnd"/>
      <w:r w:rsidRPr="00844A94">
        <w:rPr>
          <w:rFonts w:ascii="Times New Roman" w:hAnsi="Times New Roman" w:cs="Times New Roman"/>
        </w:rPr>
        <w:t xml:space="preserve">, A., &amp; </w:t>
      </w:r>
      <w:proofErr w:type="spellStart"/>
      <w:r w:rsidRPr="00844A94">
        <w:rPr>
          <w:rFonts w:ascii="Times New Roman" w:hAnsi="Times New Roman" w:cs="Times New Roman"/>
        </w:rPr>
        <w:t>Aste</w:t>
      </w:r>
      <w:proofErr w:type="spellEnd"/>
      <w:r w:rsidRPr="00844A94">
        <w:rPr>
          <w:rFonts w:ascii="Times New Roman" w:hAnsi="Times New Roman" w:cs="Times New Roman"/>
        </w:rPr>
        <w:t xml:space="preserve">, T. (2023). FTX’s downfall and </w:t>
      </w:r>
      <w:proofErr w:type="spellStart"/>
      <w:r w:rsidRPr="00844A94">
        <w:rPr>
          <w:rFonts w:ascii="Times New Roman" w:hAnsi="Times New Roman" w:cs="Times New Roman"/>
        </w:rPr>
        <w:t>Binance’s</w:t>
      </w:r>
      <w:proofErr w:type="spellEnd"/>
      <w:r w:rsidRPr="00844A94">
        <w:rPr>
          <w:rFonts w:ascii="Times New Roman" w:hAnsi="Times New Roman" w:cs="Times New Roman"/>
        </w:rPr>
        <w:t xml:space="preserve"> consolidation: The fragility of </w:t>
      </w:r>
      <w:proofErr w:type="spellStart"/>
      <w:r w:rsidRPr="00844A94">
        <w:rPr>
          <w:rFonts w:ascii="Times New Roman" w:hAnsi="Times New Roman" w:cs="Times New Roman"/>
        </w:rPr>
        <w:t>centralised</w:t>
      </w:r>
      <w:proofErr w:type="spellEnd"/>
      <w:r w:rsidRPr="00844A94">
        <w:rPr>
          <w:rFonts w:ascii="Times New Roman" w:hAnsi="Times New Roman" w:cs="Times New Roman"/>
        </w:rPr>
        <w:t xml:space="preserve"> digital finance. </w:t>
      </w:r>
      <w:proofErr w:type="spellStart"/>
      <w:r w:rsidRPr="00844A94">
        <w:rPr>
          <w:rFonts w:ascii="Times New Roman" w:hAnsi="Times New Roman" w:cs="Times New Roman"/>
          <w:i/>
          <w:iCs/>
        </w:rPr>
        <w:t>Physica</w:t>
      </w:r>
      <w:proofErr w:type="spellEnd"/>
      <w:r w:rsidRPr="00844A94">
        <w:rPr>
          <w:rFonts w:ascii="Times New Roman" w:hAnsi="Times New Roman" w:cs="Times New Roman"/>
          <w:i/>
          <w:iCs/>
        </w:rPr>
        <w:t xml:space="preserve"> A: Statistical Mechanics and Its Applications</w:t>
      </w:r>
      <w:r w:rsidRPr="00844A94">
        <w:rPr>
          <w:rFonts w:ascii="Times New Roman" w:hAnsi="Times New Roman" w:cs="Times New Roman"/>
        </w:rPr>
        <w:t xml:space="preserve">, </w:t>
      </w:r>
      <w:r w:rsidRPr="00844A94">
        <w:rPr>
          <w:rFonts w:ascii="Times New Roman" w:hAnsi="Times New Roman" w:cs="Times New Roman"/>
          <w:i/>
          <w:iCs/>
        </w:rPr>
        <w:t>625</w:t>
      </w:r>
      <w:r w:rsidRPr="00844A94">
        <w:rPr>
          <w:rFonts w:ascii="Times New Roman" w:hAnsi="Times New Roman" w:cs="Times New Roman"/>
        </w:rPr>
        <w:t xml:space="preserve">, 129044. </w:t>
      </w:r>
      <w:hyperlink r:id="rId13" w:history="1">
        <w:r w:rsidRPr="00844A94">
          <w:rPr>
            <w:rStyle w:val="af5"/>
            <w:rFonts w:ascii="Times New Roman" w:hAnsi="Times New Roman" w:cs="Times New Roman"/>
            <w:color w:val="000000" w:themeColor="text1"/>
          </w:rPr>
          <w:t>https://doi.org/10.1016/j.physa.2023.129044</w:t>
        </w:r>
      </w:hyperlink>
    </w:p>
    <w:p w14:paraId="39768B79" w14:textId="77777777" w:rsidR="00844A94" w:rsidRPr="00844A94" w:rsidRDefault="00844A94" w:rsidP="00844A94">
      <w:pPr>
        <w:pStyle w:val="ae"/>
        <w:widowControl w:val="0"/>
        <w:ind w:left="567" w:hanging="567"/>
        <w:rPr>
          <w:rFonts w:ascii="Times New Roman" w:eastAsiaTheme="minorEastAsia" w:hAnsi="Times New Roman" w:cs="Times New Roman"/>
        </w:rPr>
      </w:pPr>
      <w:r w:rsidRPr="00844A94">
        <w:rPr>
          <w:rFonts w:ascii="Times New Roman" w:hAnsi="Times New Roman" w:cs="Times New Roman"/>
        </w:rPr>
        <w:t xml:space="preserve"> Wood, K., Roberts, S., &amp; </w:t>
      </w:r>
      <w:proofErr w:type="spellStart"/>
      <w:r w:rsidRPr="00844A94">
        <w:rPr>
          <w:rFonts w:ascii="Times New Roman" w:hAnsi="Times New Roman" w:cs="Times New Roman"/>
        </w:rPr>
        <w:t>Zohren</w:t>
      </w:r>
      <w:proofErr w:type="spellEnd"/>
      <w:r w:rsidRPr="00844A94">
        <w:rPr>
          <w:rFonts w:ascii="Times New Roman" w:hAnsi="Times New Roman" w:cs="Times New Roman"/>
        </w:rPr>
        <w:t xml:space="preserve">, S. (2021). Slow momentum with fast reversion: A trading strategy using Deep learning and changepoint detection. </w:t>
      </w:r>
      <w:r w:rsidRPr="00844A94">
        <w:rPr>
          <w:rFonts w:ascii="Times New Roman" w:hAnsi="Times New Roman" w:cs="Times New Roman"/>
          <w:i/>
          <w:iCs/>
        </w:rPr>
        <w:t>The Journal of Financial Data Science</w:t>
      </w:r>
      <w:r w:rsidRPr="00844A94">
        <w:rPr>
          <w:rFonts w:ascii="Times New Roman" w:hAnsi="Times New Roman" w:cs="Times New Roman"/>
        </w:rPr>
        <w:t xml:space="preserve">, </w:t>
      </w:r>
      <w:r w:rsidRPr="00844A94">
        <w:rPr>
          <w:rFonts w:ascii="Times New Roman" w:hAnsi="Times New Roman" w:cs="Times New Roman"/>
          <w:i/>
          <w:iCs/>
        </w:rPr>
        <w:t>4</w:t>
      </w:r>
      <w:r w:rsidRPr="00844A94">
        <w:rPr>
          <w:rFonts w:ascii="Times New Roman" w:hAnsi="Times New Roman" w:cs="Times New Roman"/>
        </w:rPr>
        <w:t xml:space="preserve">(1), 111–129. </w:t>
      </w:r>
      <w:hyperlink r:id="rId14" w:history="1">
        <w:r w:rsidRPr="00844A94">
          <w:rPr>
            <w:rStyle w:val="af5"/>
            <w:rFonts w:ascii="Times New Roman" w:hAnsi="Times New Roman" w:cs="Times New Roman"/>
            <w:color w:val="000000" w:themeColor="text1"/>
          </w:rPr>
          <w:t>https://doi.org/10.3905/jfds.2021.1.081</w:t>
        </w:r>
      </w:hyperlink>
    </w:p>
    <w:p w14:paraId="2D0930D9" w14:textId="54A3C514" w:rsidR="00B92453" w:rsidRPr="00B92453" w:rsidRDefault="00844A94" w:rsidP="00B92453">
      <w:pPr>
        <w:pStyle w:val="ae"/>
        <w:widowControl w:val="0"/>
        <w:ind w:left="567" w:hanging="567"/>
        <w:rPr>
          <w:rFonts w:ascii="Times New Roman" w:hAnsi="Times New Roman" w:cs="Times New Roman" w:hint="eastAsia"/>
          <w:u w:val="single"/>
          <w:lang w:eastAsia="zh-CN"/>
        </w:rPr>
      </w:pPr>
      <w:r w:rsidRPr="00844A94">
        <w:rPr>
          <w:rFonts w:ascii="Times New Roman" w:hAnsi="Times New Roman" w:cs="Times New Roman"/>
        </w:rPr>
        <w:t xml:space="preserve"> Yuan, M., &amp; Zhou, G. (2023). Why naive $ 1/n $ diversification is not so naive, and how to beat it? </w:t>
      </w:r>
      <w:r w:rsidRPr="00844A94">
        <w:rPr>
          <w:rFonts w:ascii="Times New Roman" w:hAnsi="Times New Roman" w:cs="Times New Roman"/>
          <w:i/>
          <w:iCs/>
        </w:rPr>
        <w:t>Journal of Financial and Quantitative Analysis</w:t>
      </w:r>
      <w:r w:rsidRPr="00844A94">
        <w:rPr>
          <w:rFonts w:ascii="Times New Roman" w:hAnsi="Times New Roman" w:cs="Times New Roman"/>
        </w:rPr>
        <w:t xml:space="preserve">, </w:t>
      </w:r>
      <w:r w:rsidRPr="00844A94">
        <w:rPr>
          <w:rFonts w:ascii="Times New Roman" w:hAnsi="Times New Roman" w:cs="Times New Roman"/>
          <w:i/>
          <w:iCs/>
        </w:rPr>
        <w:t>59</w:t>
      </w:r>
      <w:r w:rsidRPr="00844A94">
        <w:rPr>
          <w:rFonts w:ascii="Times New Roman" w:hAnsi="Times New Roman" w:cs="Times New Roman"/>
        </w:rPr>
        <w:t xml:space="preserve">(8), 3601–3632. </w:t>
      </w:r>
      <w:hyperlink r:id="rId15" w:history="1">
        <w:r w:rsidRPr="00844A94">
          <w:rPr>
            <w:rStyle w:val="af5"/>
            <w:rFonts w:ascii="Times New Roman" w:hAnsi="Times New Roman" w:cs="Times New Roman"/>
            <w:color w:val="000000" w:themeColor="text1"/>
          </w:rPr>
          <w:t>https://doi.org/10.1017/s0022109023001175</w:t>
        </w:r>
      </w:hyperlink>
    </w:p>
    <w:p w14:paraId="663E3755" w14:textId="77777777" w:rsidR="00844A94" w:rsidRPr="00844A94" w:rsidRDefault="00844A94" w:rsidP="00844A94">
      <w:pPr>
        <w:pStyle w:val="ae"/>
        <w:widowControl w:val="0"/>
        <w:ind w:left="567" w:hanging="567"/>
        <w:rPr>
          <w:rFonts w:ascii="Times New Roman" w:hAnsi="Times New Roman" w:cs="Times New Roman"/>
        </w:rPr>
      </w:pPr>
      <w:r w:rsidRPr="00844A94">
        <w:rPr>
          <w:rFonts w:ascii="Times New Roman" w:hAnsi="Times New Roman" w:cs="Times New Roman"/>
        </w:rPr>
        <w:t xml:space="preserve"> </w:t>
      </w:r>
    </w:p>
    <w:p w14:paraId="7BDD9C5B" w14:textId="77777777" w:rsidR="00844A94" w:rsidRPr="00844A94" w:rsidRDefault="00844A94" w:rsidP="00844A94">
      <w:pPr>
        <w:pStyle w:val="ae"/>
        <w:widowControl w:val="0"/>
        <w:ind w:left="567" w:hanging="567"/>
        <w:rPr>
          <w:rFonts w:ascii="Times New Roman" w:hAnsi="Times New Roman" w:cs="Times New Roman"/>
        </w:rPr>
      </w:pPr>
      <w:r w:rsidRPr="00844A94">
        <w:rPr>
          <w:rFonts w:ascii="Times New Roman" w:hAnsi="Times New Roman" w:cs="Times New Roman"/>
        </w:rPr>
        <w:t xml:space="preserve"> </w:t>
      </w:r>
    </w:p>
    <w:p w14:paraId="7FC43F26" w14:textId="77777777" w:rsidR="00844A94" w:rsidRPr="00844A94" w:rsidRDefault="00844A94" w:rsidP="00844A94">
      <w:pPr>
        <w:widowControl w:val="0"/>
        <w:spacing w:after="0"/>
        <w:rPr>
          <w:rFonts w:cs="Times New Roman"/>
          <w:lang w:eastAsia="zh-CN"/>
        </w:rPr>
      </w:pPr>
      <w:r w:rsidRPr="00844A94">
        <w:rPr>
          <w:rFonts w:cs="Times New Roman"/>
          <w:lang w:eastAsia="zh-CN"/>
        </w:rPr>
        <w:br w:type="page"/>
      </w:r>
    </w:p>
    <w:p w14:paraId="26B78AD2" w14:textId="77777777" w:rsidR="00844A94" w:rsidRPr="00844A94" w:rsidRDefault="00844A94" w:rsidP="00844A94">
      <w:pPr>
        <w:pStyle w:val="1"/>
        <w:keepNext w:val="0"/>
        <w:keepLines w:val="0"/>
        <w:widowControl w:val="0"/>
        <w:rPr>
          <w:rFonts w:ascii="Times New Roman" w:hAnsi="Times New Roman" w:cs="Times New Roman"/>
          <w:color w:val="000000" w:themeColor="text1"/>
        </w:rPr>
      </w:pPr>
      <w:r w:rsidRPr="00844A94">
        <w:rPr>
          <w:rFonts w:ascii="Times New Roman" w:hAnsi="Times New Roman" w:cs="Times New Roman"/>
          <w:color w:val="000000" w:themeColor="text1"/>
        </w:rPr>
        <w:lastRenderedPageBreak/>
        <w:t>Appendix. Required Exhibits</w:t>
      </w:r>
    </w:p>
    <w:p w14:paraId="6A55510F" w14:textId="0AF9B1BE" w:rsidR="00844A94" w:rsidRPr="00844A94" w:rsidRDefault="00C92D92" w:rsidP="00844A94">
      <w:pPr>
        <w:widowControl w:val="0"/>
        <w:jc w:val="center"/>
        <w:rPr>
          <w:rFonts w:cs="Times New Roman"/>
          <w:szCs w:val="24"/>
        </w:rPr>
      </w:pPr>
      <w:r>
        <w:rPr>
          <w:rFonts w:cs="Times New Roman"/>
          <w:noProof/>
          <w:szCs w:val="24"/>
          <w14:ligatures w14:val="standardContextual"/>
        </w:rPr>
        <w:drawing>
          <wp:inline distT="0" distB="0" distL="0" distR="0" wp14:anchorId="7805F116" wp14:editId="01665722">
            <wp:extent cx="5943600" cy="4481195"/>
            <wp:effectExtent l="0" t="0" r="0" b="1905"/>
            <wp:docPr id="1199021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21214" name="图片 11990212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81195"/>
                    </a:xfrm>
                    <a:prstGeom prst="rect">
                      <a:avLst/>
                    </a:prstGeom>
                  </pic:spPr>
                </pic:pic>
              </a:graphicData>
            </a:graphic>
          </wp:inline>
        </w:drawing>
      </w:r>
    </w:p>
    <w:p w14:paraId="1A8E82F5" w14:textId="58D40213" w:rsidR="00844A94" w:rsidRPr="00676BCD" w:rsidRDefault="00844A94" w:rsidP="00844A94">
      <w:pPr>
        <w:widowControl w:val="0"/>
        <w:rPr>
          <w:rFonts w:cs="Times New Roman"/>
          <w:sz w:val="22"/>
          <w:szCs w:val="20"/>
          <w:lang w:eastAsia="zh-CN"/>
        </w:rPr>
      </w:pPr>
      <w:r w:rsidRPr="00844A94">
        <w:rPr>
          <w:rFonts w:cs="Times New Roman"/>
          <w:b/>
          <w:bCs/>
          <w:sz w:val="22"/>
        </w:rPr>
        <w:t>Figure 1:</w:t>
      </w:r>
      <w:r w:rsidRPr="00844A94">
        <w:rPr>
          <w:rFonts w:cs="Times New Roman"/>
          <w:szCs w:val="24"/>
        </w:rPr>
        <w:t xml:space="preserve"> </w:t>
      </w:r>
      <w:r w:rsidRPr="00844A94">
        <w:rPr>
          <w:rFonts w:cs="Times New Roman"/>
          <w:i/>
          <w:sz w:val="22"/>
        </w:rPr>
        <w:t xml:space="preserve">Sharpe Ratio by Fund and Method. Ranking of the fifteen core funds using </w:t>
      </w:r>
      <w:proofErr w:type="spellStart"/>
      <w:r w:rsidRPr="00844A94">
        <w:rPr>
          <w:rFonts w:cs="Times New Roman"/>
          <w:i/>
          <w:sz w:val="22"/>
        </w:rPr>
        <w:t>annualised</w:t>
      </w:r>
      <w:proofErr w:type="spellEnd"/>
      <w:r w:rsidRPr="00844A94">
        <w:rPr>
          <w:rFonts w:cs="Times New Roman"/>
          <w:i/>
          <w:sz w:val="22"/>
        </w:rPr>
        <w:t xml:space="preserve"> Sharpe ratios.</w:t>
      </w:r>
    </w:p>
    <w:p w14:paraId="6842A959" w14:textId="131351AC" w:rsidR="00844A94" w:rsidRPr="00844A94" w:rsidRDefault="00C92D92" w:rsidP="00844A94">
      <w:pPr>
        <w:widowControl w:val="0"/>
        <w:spacing w:after="0"/>
        <w:rPr>
          <w:rFonts w:cs="Times New Roman"/>
          <w:szCs w:val="24"/>
        </w:rPr>
      </w:pPr>
      <w:r>
        <w:rPr>
          <w:rFonts w:cs="Times New Roman"/>
          <w:noProof/>
          <w:szCs w:val="24"/>
          <w14:ligatures w14:val="standardContextual"/>
        </w:rPr>
        <w:lastRenderedPageBreak/>
        <w:drawing>
          <wp:inline distT="0" distB="0" distL="0" distR="0" wp14:anchorId="286A674B" wp14:editId="575C151D">
            <wp:extent cx="5943600" cy="3534410"/>
            <wp:effectExtent l="0" t="0" r="0" b="0"/>
            <wp:docPr id="3727479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7958" name="图片 3727479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043C6358" w14:textId="20CCF12A" w:rsidR="00844A94" w:rsidRPr="00844A94" w:rsidRDefault="00844A94" w:rsidP="00844A94">
      <w:pPr>
        <w:widowControl w:val="0"/>
        <w:spacing w:after="0"/>
        <w:rPr>
          <w:rFonts w:cs="Times New Roman"/>
          <w:szCs w:val="24"/>
        </w:rPr>
      </w:pPr>
      <w:r w:rsidRPr="00844A94">
        <w:rPr>
          <w:rFonts w:cs="Times New Roman"/>
          <w:b/>
          <w:bCs/>
          <w:sz w:val="22"/>
        </w:rPr>
        <w:t>Figure 2:</w:t>
      </w:r>
      <w:r w:rsidRPr="00844A94">
        <w:rPr>
          <w:rFonts w:cs="Times New Roman"/>
          <w:szCs w:val="24"/>
        </w:rPr>
        <w:t xml:space="preserve"> </w:t>
      </w:r>
      <w:r w:rsidRPr="00844A94">
        <w:rPr>
          <w:rFonts w:cs="Times New Roman"/>
          <w:i/>
          <w:sz w:val="22"/>
        </w:rPr>
        <w:t xml:space="preserve">Growth of $1 — Out-of-Sample </w:t>
      </w:r>
      <w:proofErr w:type="spellStart"/>
      <w:r w:rsidRPr="00844A94">
        <w:rPr>
          <w:rFonts w:cs="Times New Roman"/>
          <w:i/>
          <w:sz w:val="22"/>
        </w:rPr>
        <w:t>Backtest</w:t>
      </w:r>
      <w:proofErr w:type="spellEnd"/>
      <w:r w:rsidRPr="00844A94">
        <w:rPr>
          <w:rFonts w:cs="Times New Roman"/>
          <w:i/>
          <w:sz w:val="22"/>
        </w:rPr>
        <w:t xml:space="preserve">. </w:t>
      </w:r>
      <w:r w:rsidR="009D1BD4">
        <w:t>Walk-forward comparison of fund performance over the out-of-sample evaluation periods.</w:t>
      </w:r>
      <w:r w:rsidR="00C92D92">
        <w:rPr>
          <w:rFonts w:cs="Times New Roman"/>
          <w:noProof/>
          <w:szCs w:val="24"/>
          <w14:ligatures w14:val="standardContextual"/>
        </w:rPr>
        <w:drawing>
          <wp:inline distT="0" distB="0" distL="0" distR="0" wp14:anchorId="15EB21D4" wp14:editId="7EC14409">
            <wp:extent cx="5943600" cy="2698115"/>
            <wp:effectExtent l="0" t="0" r="0" b="0"/>
            <wp:docPr id="820492112"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2112" name="图片 3" descr="图表&#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98115"/>
                    </a:xfrm>
                    <a:prstGeom prst="rect">
                      <a:avLst/>
                    </a:prstGeom>
                  </pic:spPr>
                </pic:pic>
              </a:graphicData>
            </a:graphic>
          </wp:inline>
        </w:drawing>
      </w:r>
    </w:p>
    <w:p w14:paraId="1BBBE72F" w14:textId="77777777" w:rsidR="00844A94" w:rsidRPr="00844A94" w:rsidRDefault="00844A94" w:rsidP="00844A94">
      <w:pPr>
        <w:widowControl w:val="0"/>
        <w:rPr>
          <w:rFonts w:cs="Times New Roman"/>
          <w:i/>
          <w:sz w:val="22"/>
        </w:rPr>
      </w:pPr>
      <w:r w:rsidRPr="00844A94">
        <w:rPr>
          <w:rFonts w:cs="Times New Roman"/>
          <w:b/>
          <w:bCs/>
          <w:sz w:val="22"/>
        </w:rPr>
        <w:t>Figure 3:</w:t>
      </w:r>
      <w:r w:rsidRPr="00844A94">
        <w:rPr>
          <w:rFonts w:cs="Times New Roman"/>
          <w:szCs w:val="24"/>
        </w:rPr>
        <w:t xml:space="preserve"> </w:t>
      </w:r>
      <w:r w:rsidRPr="00844A94">
        <w:rPr>
          <w:rFonts w:cs="Times New Roman"/>
          <w:i/>
          <w:sz w:val="22"/>
        </w:rPr>
        <w:t>Drawdown — Combined Maximum-Sharpe. Peak-to-trough decline, with the deepest drawdown of 27.47% occurring in late 2022.</w:t>
      </w:r>
    </w:p>
    <w:p w14:paraId="12A0C31B" w14:textId="79C7DAE8" w:rsidR="00844A94" w:rsidRPr="00844A94" w:rsidRDefault="00C92D92" w:rsidP="00844A94">
      <w:pPr>
        <w:widowControl w:val="0"/>
        <w:spacing w:after="0"/>
        <w:rPr>
          <w:rFonts w:cs="Times New Roman"/>
          <w:szCs w:val="24"/>
        </w:rPr>
      </w:pPr>
      <w:r>
        <w:rPr>
          <w:rFonts w:cs="Times New Roman"/>
          <w:noProof/>
          <w:szCs w:val="24"/>
          <w14:ligatures w14:val="standardContextual"/>
        </w:rPr>
        <w:lastRenderedPageBreak/>
        <w:drawing>
          <wp:inline distT="0" distB="0" distL="0" distR="0" wp14:anchorId="04C332F9" wp14:editId="06BC3EC8">
            <wp:extent cx="5943600" cy="4061460"/>
            <wp:effectExtent l="0" t="0" r="0" b="2540"/>
            <wp:docPr id="18528124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12460" name="图片 18528124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3C698BCB" w14:textId="77777777" w:rsidR="00844A94" w:rsidRPr="00844A94" w:rsidRDefault="00844A94" w:rsidP="00844A94">
      <w:pPr>
        <w:widowControl w:val="0"/>
        <w:spacing w:after="0"/>
        <w:rPr>
          <w:rFonts w:cs="Times New Roman"/>
          <w:i/>
          <w:sz w:val="22"/>
        </w:rPr>
      </w:pPr>
      <w:r w:rsidRPr="00844A94">
        <w:rPr>
          <w:rFonts w:cs="Times New Roman"/>
          <w:b/>
          <w:bCs/>
          <w:sz w:val="22"/>
        </w:rPr>
        <w:t>Figure 4:</w:t>
      </w:r>
      <w:r w:rsidRPr="00844A94">
        <w:rPr>
          <w:rFonts w:cs="Times New Roman"/>
        </w:rPr>
        <w:t xml:space="preserve"> </w:t>
      </w:r>
      <w:r w:rsidRPr="00844A94">
        <w:rPr>
          <w:rFonts w:cs="Times New Roman"/>
          <w:i/>
          <w:sz w:val="22"/>
        </w:rPr>
        <w:t>Portfolio Weights Over Time — Combined</w:t>
      </w:r>
      <w:r w:rsidRPr="00844A94">
        <w:rPr>
          <w:rFonts w:cs="Times New Roman"/>
          <w:i/>
          <w:sz w:val="22"/>
          <w:lang w:eastAsia="zh-CN"/>
        </w:rPr>
        <w:t xml:space="preserve"> Family (by Method)</w:t>
      </w:r>
      <w:r w:rsidRPr="00844A94">
        <w:rPr>
          <w:rFonts w:cs="Times New Roman"/>
          <w:i/>
          <w:sz w:val="22"/>
        </w:rPr>
        <w:t>. Sector-level stacked area chart showing allocation evolution</w:t>
      </w:r>
    </w:p>
    <w:p w14:paraId="3824D24C" w14:textId="77777777" w:rsidR="00844A94" w:rsidRPr="00844A94" w:rsidRDefault="00844A94" w:rsidP="00844A94">
      <w:pPr>
        <w:widowControl w:val="0"/>
        <w:spacing w:after="0"/>
        <w:rPr>
          <w:rFonts w:cs="Times New Roman"/>
          <w:szCs w:val="24"/>
        </w:rPr>
      </w:pPr>
      <w:r w:rsidRPr="00844A94">
        <w:rPr>
          <w:rFonts w:cs="Times New Roman"/>
          <w:noProof/>
          <w:szCs w:val="24"/>
          <w14:ligatures w14:val="standardContextual"/>
        </w:rPr>
        <w:drawing>
          <wp:inline distT="0" distB="0" distL="0" distR="0" wp14:anchorId="5A3E8292" wp14:editId="2B23FE52">
            <wp:extent cx="5943600" cy="3537585"/>
            <wp:effectExtent l="0" t="0" r="0" b="5715"/>
            <wp:docPr id="750819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19387" name="Picture 7508193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14:paraId="77A4887F" w14:textId="77777777" w:rsidR="00844A94" w:rsidRPr="00844A94" w:rsidRDefault="00844A94" w:rsidP="00844A94">
      <w:pPr>
        <w:widowControl w:val="0"/>
        <w:spacing w:after="0"/>
        <w:rPr>
          <w:rFonts w:cs="Times New Roman"/>
          <w:i/>
          <w:sz w:val="22"/>
        </w:rPr>
      </w:pPr>
      <w:r w:rsidRPr="00844A94">
        <w:rPr>
          <w:rFonts w:cs="Times New Roman"/>
          <w:b/>
          <w:bCs/>
          <w:sz w:val="22"/>
        </w:rPr>
        <w:t>Figure 5:</w:t>
      </w:r>
      <w:r w:rsidRPr="00844A94">
        <w:rPr>
          <w:rFonts w:cs="Times New Roman"/>
          <w:szCs w:val="24"/>
        </w:rPr>
        <w:t xml:space="preserve"> </w:t>
      </w:r>
      <w:r w:rsidRPr="00844A94">
        <w:rPr>
          <w:rFonts w:cs="Times New Roman"/>
          <w:i/>
          <w:sz w:val="22"/>
        </w:rPr>
        <w:t xml:space="preserve">Sector Sentiment Index Over Time. </w:t>
      </w:r>
      <w:r w:rsidRPr="00844A94">
        <w:rPr>
          <w:rFonts w:cs="Times New Roman"/>
          <w:i/>
          <w:sz w:val="22"/>
          <w:lang w:eastAsia="zh-CN"/>
        </w:rPr>
        <w:t>Equal-weight tickers within sector</w:t>
      </w:r>
      <w:r w:rsidRPr="00844A94">
        <w:rPr>
          <w:rFonts w:cs="Times New Roman"/>
          <w:i/>
          <w:sz w:val="22"/>
        </w:rPr>
        <w:t xml:space="preserve">, lagged by one trading </w:t>
      </w:r>
      <w:r w:rsidRPr="00844A94">
        <w:rPr>
          <w:rFonts w:cs="Times New Roman"/>
          <w:i/>
          <w:sz w:val="22"/>
        </w:rPr>
        <w:lastRenderedPageBreak/>
        <w:t>day, covering 2020–2023.</w:t>
      </w:r>
    </w:p>
    <w:p w14:paraId="7E1556A3" w14:textId="77777777" w:rsidR="00844A94" w:rsidRPr="00844A94" w:rsidRDefault="00844A94" w:rsidP="00844A94">
      <w:pPr>
        <w:widowControl w:val="0"/>
        <w:spacing w:after="0"/>
        <w:rPr>
          <w:rFonts w:cs="Times New Roman"/>
          <w:szCs w:val="24"/>
        </w:rPr>
      </w:pPr>
      <w:r w:rsidRPr="00844A94">
        <w:rPr>
          <w:rFonts w:cs="Times New Roman"/>
          <w:noProof/>
          <w:szCs w:val="24"/>
          <w14:ligatures w14:val="standardContextual"/>
        </w:rPr>
        <w:drawing>
          <wp:inline distT="0" distB="0" distL="0" distR="0" wp14:anchorId="1EE05D1E" wp14:editId="20610CC3">
            <wp:extent cx="5943600" cy="3296285"/>
            <wp:effectExtent l="0" t="0" r="0" b="0"/>
            <wp:docPr id="1863087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7402" name="Picture 18630874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96285"/>
                    </a:xfrm>
                    <a:prstGeom prst="rect">
                      <a:avLst/>
                    </a:prstGeom>
                  </pic:spPr>
                </pic:pic>
              </a:graphicData>
            </a:graphic>
          </wp:inline>
        </w:drawing>
      </w:r>
    </w:p>
    <w:p w14:paraId="13A997A4" w14:textId="77777777" w:rsidR="00844A94" w:rsidRPr="00844A94" w:rsidRDefault="00844A94" w:rsidP="00844A94">
      <w:pPr>
        <w:widowControl w:val="0"/>
        <w:rPr>
          <w:rFonts w:cs="Times New Roman"/>
          <w:i/>
          <w:sz w:val="22"/>
        </w:rPr>
      </w:pPr>
      <w:r w:rsidRPr="00844A94">
        <w:rPr>
          <w:rFonts w:cs="Times New Roman"/>
          <w:b/>
          <w:bCs/>
          <w:sz w:val="22"/>
        </w:rPr>
        <w:t>Figure 6:</w:t>
      </w:r>
      <w:r w:rsidRPr="00844A94">
        <w:rPr>
          <w:rFonts w:cs="Times New Roman"/>
          <w:szCs w:val="24"/>
        </w:rPr>
        <w:t xml:space="preserve"> </w:t>
      </w:r>
      <w:r w:rsidRPr="00844A94">
        <w:rPr>
          <w:rFonts w:cs="Times New Roman"/>
          <w:i/>
          <w:sz w:val="22"/>
        </w:rPr>
        <w:t>Fusion Before-vs-After — Combined Maximum-Sharpe. Comparison of the base and sentiment-augmented portfolios.</w:t>
      </w:r>
    </w:p>
    <w:p w14:paraId="6C2B1BC2" w14:textId="77777777" w:rsidR="00844A94" w:rsidRPr="00844A94" w:rsidRDefault="00844A94" w:rsidP="00844A94">
      <w:pPr>
        <w:widowControl w:val="0"/>
        <w:spacing w:after="0"/>
        <w:rPr>
          <w:rFonts w:cs="Times New Roman"/>
          <w:szCs w:val="24"/>
        </w:rPr>
      </w:pPr>
      <w:r w:rsidRPr="00844A94">
        <w:rPr>
          <w:rFonts w:cs="Times New Roman"/>
          <w:noProof/>
          <w:szCs w:val="24"/>
          <w14:ligatures w14:val="standardContextual"/>
        </w:rPr>
        <w:drawing>
          <wp:inline distT="0" distB="0" distL="0" distR="0" wp14:anchorId="4633458B" wp14:editId="37FFC1E2">
            <wp:extent cx="5943600" cy="2459990"/>
            <wp:effectExtent l="0" t="0" r="0" b="0"/>
            <wp:docPr id="916827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7086" name="Picture 9168270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59990"/>
                    </a:xfrm>
                    <a:prstGeom prst="rect">
                      <a:avLst/>
                    </a:prstGeom>
                  </pic:spPr>
                </pic:pic>
              </a:graphicData>
            </a:graphic>
          </wp:inline>
        </w:drawing>
      </w:r>
    </w:p>
    <w:p w14:paraId="4CD4CF9F" w14:textId="77777777" w:rsidR="00844A94" w:rsidRPr="00844A94" w:rsidRDefault="00844A94" w:rsidP="00844A94">
      <w:pPr>
        <w:widowControl w:val="0"/>
        <w:rPr>
          <w:rFonts w:cs="Times New Roman"/>
          <w:i/>
          <w:sz w:val="22"/>
        </w:rPr>
      </w:pPr>
      <w:r w:rsidRPr="00844A94">
        <w:rPr>
          <w:rFonts w:cs="Times New Roman"/>
          <w:b/>
          <w:bCs/>
          <w:sz w:val="22"/>
        </w:rPr>
        <w:t>Figure 7:</w:t>
      </w:r>
      <w:r w:rsidRPr="00844A94">
        <w:rPr>
          <w:rFonts w:cs="Times New Roman"/>
        </w:rPr>
        <w:t xml:space="preserve"> </w:t>
      </w:r>
      <w:r w:rsidRPr="00844A94">
        <w:rPr>
          <w:rFonts w:cs="Times New Roman"/>
          <w:i/>
          <w:sz w:val="22"/>
        </w:rPr>
        <w:t xml:space="preserve">Fear &amp; Greed Index. </w:t>
      </w:r>
      <w:proofErr w:type="spellStart"/>
      <w:r w:rsidRPr="00844A94">
        <w:rPr>
          <w:rFonts w:cs="Times New Roman"/>
          <w:i/>
          <w:sz w:val="22"/>
        </w:rPr>
        <w:t>Standardised</w:t>
      </w:r>
      <w:proofErr w:type="spellEnd"/>
      <w:r w:rsidRPr="00844A94">
        <w:rPr>
          <w:rFonts w:cs="Times New Roman"/>
          <w:i/>
          <w:sz w:val="22"/>
        </w:rPr>
        <w:t xml:space="preserve"> market-wide sentiment index revealing fear spikes during the COVID crash and Omicron announcement.</w:t>
      </w:r>
    </w:p>
    <w:p w14:paraId="1B2DE10E" w14:textId="1734AD7B" w:rsidR="00844A94" w:rsidRPr="00844A94" w:rsidRDefault="00C92D92" w:rsidP="00844A94">
      <w:pPr>
        <w:widowControl w:val="0"/>
        <w:spacing w:after="0"/>
        <w:jc w:val="center"/>
        <w:rPr>
          <w:rFonts w:cs="Times New Roman"/>
          <w:szCs w:val="24"/>
        </w:rPr>
      </w:pPr>
      <w:r>
        <w:rPr>
          <w:rFonts w:cs="Times New Roman"/>
          <w:noProof/>
          <w:szCs w:val="24"/>
          <w14:ligatures w14:val="standardContextual"/>
        </w:rPr>
        <w:lastRenderedPageBreak/>
        <w:drawing>
          <wp:inline distT="0" distB="0" distL="0" distR="0" wp14:anchorId="4FA8284B" wp14:editId="4F656F29">
            <wp:extent cx="5943600" cy="4326255"/>
            <wp:effectExtent l="0" t="0" r="0" b="4445"/>
            <wp:docPr id="829639543" name="图片 5"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9543" name="图片 5" descr="图表, 散点图&#10;&#10;描述已自动生成"/>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326255"/>
                    </a:xfrm>
                    <a:prstGeom prst="rect">
                      <a:avLst/>
                    </a:prstGeom>
                  </pic:spPr>
                </pic:pic>
              </a:graphicData>
            </a:graphic>
          </wp:inline>
        </w:drawing>
      </w:r>
    </w:p>
    <w:p w14:paraId="4A1F84D7" w14:textId="77777777" w:rsidR="00844A94" w:rsidRPr="00844A94" w:rsidRDefault="00844A94" w:rsidP="00844A94">
      <w:pPr>
        <w:widowControl w:val="0"/>
        <w:spacing w:after="0"/>
        <w:rPr>
          <w:rFonts w:cs="Times New Roman"/>
          <w:i/>
          <w:sz w:val="22"/>
        </w:rPr>
      </w:pPr>
      <w:r w:rsidRPr="00844A94">
        <w:rPr>
          <w:rFonts w:cs="Times New Roman"/>
          <w:b/>
          <w:bCs/>
          <w:sz w:val="22"/>
        </w:rPr>
        <w:t>Figure 8:</w:t>
      </w:r>
      <w:r w:rsidRPr="00844A94">
        <w:rPr>
          <w:rFonts w:cs="Times New Roman"/>
          <w:szCs w:val="24"/>
        </w:rPr>
        <w:t xml:space="preserve"> </w:t>
      </w:r>
      <w:r w:rsidRPr="00844A94">
        <w:rPr>
          <w:rFonts w:cs="Times New Roman"/>
          <w:i/>
          <w:sz w:val="22"/>
        </w:rPr>
        <w:t>Risk vs Return — Out-of-Sample Funds. Scatter plot placing each fund by volatility (horizontal) and return (vertical). Crypto funds cluster in the high-volatility region, while equity funds occupy the lower-risk left side.</w:t>
      </w:r>
    </w:p>
    <w:p w14:paraId="36381322" w14:textId="77777777" w:rsidR="00844A94" w:rsidRPr="00844A94" w:rsidRDefault="00844A94" w:rsidP="00844A94">
      <w:pPr>
        <w:widowControl w:val="0"/>
        <w:jc w:val="center"/>
        <w:rPr>
          <w:rFonts w:cs="Times New Roman"/>
          <w:szCs w:val="24"/>
        </w:rPr>
      </w:pPr>
      <w:r w:rsidRPr="00844A94">
        <w:rPr>
          <w:rFonts w:cs="Times New Roman"/>
          <w:noProof/>
          <w:szCs w:val="24"/>
          <w14:ligatures w14:val="standardContextual"/>
        </w:rPr>
        <w:drawing>
          <wp:inline distT="0" distB="0" distL="0" distR="0" wp14:anchorId="67ABCF2C" wp14:editId="4537B874">
            <wp:extent cx="3992734" cy="2692139"/>
            <wp:effectExtent l="0" t="0" r="8255" b="0"/>
            <wp:docPr id="91113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190" name="Picture 911131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00222" cy="2697188"/>
                    </a:xfrm>
                    <a:prstGeom prst="rect">
                      <a:avLst/>
                    </a:prstGeom>
                  </pic:spPr>
                </pic:pic>
              </a:graphicData>
            </a:graphic>
          </wp:inline>
        </w:drawing>
      </w:r>
    </w:p>
    <w:p w14:paraId="2042CFD4" w14:textId="77777777" w:rsidR="00844A94" w:rsidRPr="00844A94" w:rsidRDefault="00844A94" w:rsidP="00844A94">
      <w:pPr>
        <w:widowControl w:val="0"/>
        <w:spacing w:after="0"/>
        <w:rPr>
          <w:rFonts w:cs="Times New Roman"/>
          <w:szCs w:val="24"/>
        </w:rPr>
      </w:pPr>
      <w:r w:rsidRPr="00844A94">
        <w:rPr>
          <w:rFonts w:cs="Times New Roman"/>
          <w:b/>
          <w:bCs/>
          <w:sz w:val="22"/>
        </w:rPr>
        <w:t>Figure 9:</w:t>
      </w:r>
      <w:r w:rsidRPr="00844A94">
        <w:rPr>
          <w:rFonts w:cs="Times New Roman"/>
          <w:szCs w:val="24"/>
        </w:rPr>
        <w:t xml:space="preserve"> </w:t>
      </w:r>
      <w:r w:rsidRPr="00844A94">
        <w:rPr>
          <w:rFonts w:cs="Times New Roman"/>
          <w:i/>
          <w:sz w:val="22"/>
        </w:rPr>
        <w:t xml:space="preserve">Neutral Rate: VADER vs </w:t>
      </w:r>
      <w:proofErr w:type="spellStart"/>
      <w:r w:rsidRPr="00844A94">
        <w:rPr>
          <w:rFonts w:cs="Times New Roman"/>
          <w:i/>
          <w:sz w:val="22"/>
        </w:rPr>
        <w:t>FinVADER</w:t>
      </w:r>
      <w:proofErr w:type="spellEnd"/>
      <w:r w:rsidRPr="00844A94">
        <w:rPr>
          <w:rFonts w:cs="Times New Roman"/>
          <w:i/>
          <w:sz w:val="22"/>
        </w:rPr>
        <w:t xml:space="preserve">. </w:t>
      </w:r>
      <w:proofErr w:type="spellStart"/>
      <w:r w:rsidRPr="00844A94">
        <w:rPr>
          <w:rFonts w:cs="Times New Roman"/>
          <w:i/>
          <w:sz w:val="22"/>
        </w:rPr>
        <w:t>FinVADER</w:t>
      </w:r>
      <w:proofErr w:type="spellEnd"/>
      <w:r w:rsidRPr="00844A94">
        <w:rPr>
          <w:rFonts w:cs="Times New Roman"/>
          <w:i/>
          <w:sz w:val="22"/>
        </w:rPr>
        <w:t xml:space="preserve"> reduces the share of neutral-classified headlines from 24.1% to 23.0%, demonstrating that the finance lexicon captures more directional sentiment.</w:t>
      </w:r>
    </w:p>
    <w:p w14:paraId="176AEE9B" w14:textId="77777777" w:rsidR="00222003" w:rsidRPr="00844A94" w:rsidRDefault="00222003">
      <w:pPr>
        <w:pStyle w:val="HTML0"/>
        <w:rPr>
          <w:rFonts w:ascii="Times New Roman" w:hAnsi="Times New Roman" w:cs="Times New Roman"/>
          <w:sz w:val="22"/>
        </w:rPr>
      </w:pPr>
    </w:p>
    <w:sectPr w:rsidR="00222003" w:rsidRPr="00844A94" w:rsidSect="00844A94">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9A763" w14:textId="77777777" w:rsidR="00983A84" w:rsidRDefault="00983A84">
      <w:pPr>
        <w:spacing w:after="0"/>
      </w:pPr>
      <w:r>
        <w:separator/>
      </w:r>
    </w:p>
  </w:endnote>
  <w:endnote w:type="continuationSeparator" w:id="0">
    <w:p w14:paraId="5FE431A8" w14:textId="77777777" w:rsidR="00983A84" w:rsidRDefault="00983A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B60D9" w14:textId="77777777" w:rsidR="00C80382" w:rsidRDefault="00000000">
    <w:pPr>
      <w:pStyle w:val="af0"/>
      <w:jc w:val="right"/>
    </w:pPr>
    <w:r>
      <w:rPr>
        <w:color w:val="5F6B73"/>
        <w:sz w:val="18"/>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AD657A" w14:textId="77777777" w:rsidR="00983A84" w:rsidRDefault="00983A84">
      <w:pPr>
        <w:spacing w:after="0"/>
      </w:pPr>
      <w:r>
        <w:separator/>
      </w:r>
    </w:p>
  </w:footnote>
  <w:footnote w:type="continuationSeparator" w:id="0">
    <w:p w14:paraId="3AD0C3D9" w14:textId="77777777" w:rsidR="00983A84" w:rsidRDefault="00983A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2272" w14:textId="77777777" w:rsidR="00C80382" w:rsidRDefault="00000000">
    <w:pPr>
      <w:pStyle w:val="af2"/>
      <w:jc w:val="right"/>
      <w:rPr>
        <w:lang w:eastAsia="zh-CN"/>
      </w:rPr>
    </w:pPr>
    <w:r>
      <w:rPr>
        <w:b/>
        <w:color w:val="5F6B73"/>
        <w:sz w:val="17"/>
      </w:rPr>
      <w:t xml:space="preserve">ATLASFLOW | </w:t>
    </w:r>
    <w:r>
      <w:rPr>
        <w:rFonts w:hint="eastAsia"/>
        <w:b/>
        <w:color w:val="5F6B73"/>
        <w:sz w:val="17"/>
        <w:lang w:eastAsia="zh-CN"/>
      </w:rPr>
      <w:t>PART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36A98"/>
    <w:multiLevelType w:val="hybridMultilevel"/>
    <w:tmpl w:val="5546D71C"/>
    <w:lvl w:ilvl="0" w:tplc="ABB49E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6413E7"/>
    <w:multiLevelType w:val="hybridMultilevel"/>
    <w:tmpl w:val="187A7D34"/>
    <w:lvl w:ilvl="0" w:tplc="7020138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5F40F1"/>
    <w:multiLevelType w:val="hybridMultilevel"/>
    <w:tmpl w:val="1D5A6812"/>
    <w:lvl w:ilvl="0" w:tplc="0AE41CB2">
      <w:start w:val="1"/>
      <w:numFmt w:val="decimal"/>
      <w:lvlText w:val="%1，"/>
      <w:lvlJc w:val="left"/>
      <w:pPr>
        <w:ind w:left="360" w:hanging="360"/>
      </w:pPr>
      <w:rPr>
        <w:rFonts w:ascii="Calibri" w:eastAsiaTheme="minorEastAsia" w:hAnsi="Calibri" w:cstheme="minorBidi"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0769351">
    <w:abstractNumId w:val="2"/>
  </w:num>
  <w:num w:numId="2" w16cid:durableId="313026742">
    <w:abstractNumId w:val="0"/>
  </w:num>
  <w:num w:numId="3" w16cid:durableId="25621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D5"/>
    <w:rsid w:val="00012775"/>
    <w:rsid w:val="000A0CBB"/>
    <w:rsid w:val="000B6810"/>
    <w:rsid w:val="000C77C7"/>
    <w:rsid w:val="001243E5"/>
    <w:rsid w:val="001A7419"/>
    <w:rsid w:val="0020198E"/>
    <w:rsid w:val="00222003"/>
    <w:rsid w:val="00237C47"/>
    <w:rsid w:val="002C35A2"/>
    <w:rsid w:val="002F0F38"/>
    <w:rsid w:val="003202AB"/>
    <w:rsid w:val="00320B84"/>
    <w:rsid w:val="003A293E"/>
    <w:rsid w:val="004315F0"/>
    <w:rsid w:val="004A4952"/>
    <w:rsid w:val="004D32EE"/>
    <w:rsid w:val="004D56D5"/>
    <w:rsid w:val="004D6303"/>
    <w:rsid w:val="004E4B8B"/>
    <w:rsid w:val="00553458"/>
    <w:rsid w:val="00580180"/>
    <w:rsid w:val="00581A1D"/>
    <w:rsid w:val="00586FBD"/>
    <w:rsid w:val="00591B2A"/>
    <w:rsid w:val="005D65EC"/>
    <w:rsid w:val="0065089C"/>
    <w:rsid w:val="00667743"/>
    <w:rsid w:val="00676BCD"/>
    <w:rsid w:val="00687ACA"/>
    <w:rsid w:val="00687D43"/>
    <w:rsid w:val="006A5450"/>
    <w:rsid w:val="006B69B3"/>
    <w:rsid w:val="006D3781"/>
    <w:rsid w:val="007154C6"/>
    <w:rsid w:val="007518A9"/>
    <w:rsid w:val="007E15BB"/>
    <w:rsid w:val="007E4EB0"/>
    <w:rsid w:val="008110B3"/>
    <w:rsid w:val="00844A94"/>
    <w:rsid w:val="008A37CD"/>
    <w:rsid w:val="008C5552"/>
    <w:rsid w:val="009052AB"/>
    <w:rsid w:val="009469EE"/>
    <w:rsid w:val="00960754"/>
    <w:rsid w:val="00983A84"/>
    <w:rsid w:val="00995FE7"/>
    <w:rsid w:val="009A316D"/>
    <w:rsid w:val="009D1BD4"/>
    <w:rsid w:val="009F250B"/>
    <w:rsid w:val="00A15900"/>
    <w:rsid w:val="00A73109"/>
    <w:rsid w:val="00B531A9"/>
    <w:rsid w:val="00B5731C"/>
    <w:rsid w:val="00B92453"/>
    <w:rsid w:val="00BB2636"/>
    <w:rsid w:val="00BD621B"/>
    <w:rsid w:val="00BF4B30"/>
    <w:rsid w:val="00C80382"/>
    <w:rsid w:val="00C92D92"/>
    <w:rsid w:val="00D30928"/>
    <w:rsid w:val="00D74E4D"/>
    <w:rsid w:val="00D91A8B"/>
    <w:rsid w:val="00D941DB"/>
    <w:rsid w:val="00DB6CB5"/>
    <w:rsid w:val="00DE3E50"/>
    <w:rsid w:val="00E702CE"/>
    <w:rsid w:val="00ED54F5"/>
    <w:rsid w:val="00F158ED"/>
    <w:rsid w:val="00F46601"/>
    <w:rsid w:val="00F80ECD"/>
    <w:rsid w:val="00FA72F8"/>
    <w:rsid w:val="00FB7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8813B2"/>
  <w15:chartTrackingRefBased/>
  <w15:docId w15:val="{E1724223-936D-EB4E-860D-278D4653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A94"/>
    <w:pPr>
      <w:spacing w:after="240"/>
    </w:pPr>
    <w:rPr>
      <w:rFonts w:ascii="Times New Roman" w:hAnsi="Times New Roman"/>
      <w:color w:val="000000" w:themeColor="text1"/>
      <w:kern w:val="0"/>
      <w:sz w:val="24"/>
      <w:szCs w:val="22"/>
      <w:lang w:eastAsia="en-US"/>
      <w14:ligatures w14:val="none"/>
    </w:rPr>
  </w:style>
  <w:style w:type="paragraph" w:styleId="1">
    <w:name w:val="heading 1"/>
    <w:basedOn w:val="a"/>
    <w:next w:val="a"/>
    <w:link w:val="10"/>
    <w:uiPriority w:val="9"/>
    <w:qFormat/>
    <w:rsid w:val="004D56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D56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D56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D56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D56D5"/>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D56D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D56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56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D56D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4D56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D56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D56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D56D5"/>
    <w:rPr>
      <w:rFonts w:cstheme="majorBidi"/>
      <w:color w:val="2F5496" w:themeColor="accent1" w:themeShade="BF"/>
      <w:sz w:val="28"/>
      <w:szCs w:val="28"/>
    </w:rPr>
  </w:style>
  <w:style w:type="character" w:customStyle="1" w:styleId="50">
    <w:name w:val="标题 5 字符"/>
    <w:basedOn w:val="a0"/>
    <w:link w:val="5"/>
    <w:uiPriority w:val="9"/>
    <w:semiHidden/>
    <w:rsid w:val="004D56D5"/>
    <w:rPr>
      <w:rFonts w:cstheme="majorBidi"/>
      <w:color w:val="2F5496" w:themeColor="accent1" w:themeShade="BF"/>
      <w:sz w:val="24"/>
    </w:rPr>
  </w:style>
  <w:style w:type="character" w:customStyle="1" w:styleId="60">
    <w:name w:val="标题 6 字符"/>
    <w:basedOn w:val="a0"/>
    <w:link w:val="6"/>
    <w:uiPriority w:val="9"/>
    <w:semiHidden/>
    <w:rsid w:val="004D56D5"/>
    <w:rPr>
      <w:rFonts w:cstheme="majorBidi"/>
      <w:b/>
      <w:bCs/>
      <w:color w:val="2F5496" w:themeColor="accent1" w:themeShade="BF"/>
    </w:rPr>
  </w:style>
  <w:style w:type="character" w:customStyle="1" w:styleId="70">
    <w:name w:val="标题 7 字符"/>
    <w:basedOn w:val="a0"/>
    <w:link w:val="7"/>
    <w:uiPriority w:val="9"/>
    <w:semiHidden/>
    <w:rsid w:val="004D56D5"/>
    <w:rPr>
      <w:rFonts w:cstheme="majorBidi"/>
      <w:b/>
      <w:bCs/>
      <w:color w:val="595959" w:themeColor="text1" w:themeTint="A6"/>
    </w:rPr>
  </w:style>
  <w:style w:type="character" w:customStyle="1" w:styleId="80">
    <w:name w:val="标题 8 字符"/>
    <w:basedOn w:val="a0"/>
    <w:link w:val="8"/>
    <w:uiPriority w:val="9"/>
    <w:semiHidden/>
    <w:rsid w:val="004D56D5"/>
    <w:rPr>
      <w:rFonts w:cstheme="majorBidi"/>
      <w:color w:val="595959" w:themeColor="text1" w:themeTint="A6"/>
    </w:rPr>
  </w:style>
  <w:style w:type="character" w:customStyle="1" w:styleId="90">
    <w:name w:val="标题 9 字符"/>
    <w:basedOn w:val="a0"/>
    <w:link w:val="9"/>
    <w:uiPriority w:val="9"/>
    <w:semiHidden/>
    <w:rsid w:val="004D56D5"/>
    <w:rPr>
      <w:rFonts w:eastAsiaTheme="majorEastAsia" w:cstheme="majorBidi"/>
      <w:color w:val="595959" w:themeColor="text1" w:themeTint="A6"/>
    </w:rPr>
  </w:style>
  <w:style w:type="paragraph" w:styleId="a3">
    <w:name w:val="Title"/>
    <w:basedOn w:val="a"/>
    <w:next w:val="a"/>
    <w:link w:val="a4"/>
    <w:uiPriority w:val="10"/>
    <w:qFormat/>
    <w:rsid w:val="004D56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56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56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56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56D5"/>
    <w:pPr>
      <w:spacing w:before="160" w:after="160"/>
      <w:jc w:val="center"/>
    </w:pPr>
    <w:rPr>
      <w:i/>
      <w:iCs/>
      <w:color w:val="404040" w:themeColor="text1" w:themeTint="BF"/>
    </w:rPr>
  </w:style>
  <w:style w:type="character" w:customStyle="1" w:styleId="a8">
    <w:name w:val="引用 字符"/>
    <w:basedOn w:val="a0"/>
    <w:link w:val="a7"/>
    <w:uiPriority w:val="29"/>
    <w:rsid w:val="004D56D5"/>
    <w:rPr>
      <w:i/>
      <w:iCs/>
      <w:color w:val="404040" w:themeColor="text1" w:themeTint="BF"/>
    </w:rPr>
  </w:style>
  <w:style w:type="paragraph" w:styleId="a9">
    <w:name w:val="List Paragraph"/>
    <w:basedOn w:val="a"/>
    <w:uiPriority w:val="34"/>
    <w:qFormat/>
    <w:rsid w:val="004D56D5"/>
    <w:pPr>
      <w:ind w:left="720"/>
      <w:contextualSpacing/>
    </w:pPr>
  </w:style>
  <w:style w:type="character" w:styleId="aa">
    <w:name w:val="Intense Emphasis"/>
    <w:basedOn w:val="a0"/>
    <w:uiPriority w:val="21"/>
    <w:qFormat/>
    <w:rsid w:val="004D56D5"/>
    <w:rPr>
      <w:i/>
      <w:iCs/>
      <w:color w:val="2F5496" w:themeColor="accent1" w:themeShade="BF"/>
    </w:rPr>
  </w:style>
  <w:style w:type="paragraph" w:styleId="ab">
    <w:name w:val="Intense Quote"/>
    <w:basedOn w:val="a"/>
    <w:next w:val="a"/>
    <w:link w:val="ac"/>
    <w:uiPriority w:val="30"/>
    <w:qFormat/>
    <w:rsid w:val="004D5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D56D5"/>
    <w:rPr>
      <w:i/>
      <w:iCs/>
      <w:color w:val="2F5496" w:themeColor="accent1" w:themeShade="BF"/>
    </w:rPr>
  </w:style>
  <w:style w:type="character" w:styleId="ad">
    <w:name w:val="Intense Reference"/>
    <w:basedOn w:val="a0"/>
    <w:uiPriority w:val="32"/>
    <w:qFormat/>
    <w:rsid w:val="004D56D5"/>
    <w:rPr>
      <w:b/>
      <w:bCs/>
      <w:smallCaps/>
      <w:color w:val="2F5496" w:themeColor="accent1" w:themeShade="BF"/>
      <w:spacing w:val="5"/>
    </w:rPr>
  </w:style>
  <w:style w:type="paragraph" w:styleId="ae">
    <w:name w:val="Normal (Web)"/>
    <w:basedOn w:val="a"/>
    <w:uiPriority w:val="99"/>
    <w:unhideWhenUsed/>
    <w:rsid w:val="00580180"/>
    <w:pPr>
      <w:spacing w:before="100" w:beforeAutospacing="1" w:after="100" w:afterAutospacing="1"/>
    </w:pPr>
    <w:rPr>
      <w:rFonts w:ascii="宋体" w:eastAsia="宋体" w:hAnsi="宋体" w:cs="宋体"/>
    </w:rPr>
  </w:style>
  <w:style w:type="character" w:customStyle="1" w:styleId="apple-converted-space">
    <w:name w:val="apple-converted-space"/>
    <w:basedOn w:val="a0"/>
    <w:rsid w:val="00581A1D"/>
  </w:style>
  <w:style w:type="character" w:customStyle="1" w:styleId="diff-highlight">
    <w:name w:val="diff-highlight"/>
    <w:basedOn w:val="a0"/>
    <w:rsid w:val="00581A1D"/>
  </w:style>
  <w:style w:type="character" w:styleId="HTML">
    <w:name w:val="HTML Code"/>
    <w:basedOn w:val="a0"/>
    <w:uiPriority w:val="99"/>
    <w:semiHidden/>
    <w:unhideWhenUsed/>
    <w:rsid w:val="000C77C7"/>
    <w:rPr>
      <w:rFonts w:ascii="宋体" w:eastAsia="宋体" w:hAnsi="宋体" w:cs="宋体"/>
      <w:sz w:val="24"/>
      <w:szCs w:val="24"/>
    </w:rPr>
  </w:style>
  <w:style w:type="paragraph" w:styleId="HTML0">
    <w:name w:val="HTML Preformatted"/>
    <w:basedOn w:val="a"/>
    <w:link w:val="HTML1"/>
    <w:uiPriority w:val="99"/>
    <w:unhideWhenUsed/>
    <w:rsid w:val="0075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rPr>
  </w:style>
  <w:style w:type="character" w:customStyle="1" w:styleId="HTML1">
    <w:name w:val="HTML 预设格式 字符"/>
    <w:basedOn w:val="a0"/>
    <w:link w:val="HTML0"/>
    <w:uiPriority w:val="99"/>
    <w:rsid w:val="007518A9"/>
    <w:rPr>
      <w:rFonts w:ascii="宋体" w:eastAsia="宋体" w:hAnsi="宋体" w:cs="宋体"/>
      <w:kern w:val="0"/>
      <w:sz w:val="24"/>
      <w14:ligatures w14:val="none"/>
    </w:rPr>
  </w:style>
  <w:style w:type="character" w:styleId="af">
    <w:name w:val="Strong"/>
    <w:basedOn w:val="a0"/>
    <w:uiPriority w:val="22"/>
    <w:qFormat/>
    <w:rsid w:val="007518A9"/>
    <w:rPr>
      <w:b/>
      <w:bCs/>
    </w:rPr>
  </w:style>
  <w:style w:type="paragraph" w:styleId="af0">
    <w:name w:val="footer"/>
    <w:basedOn w:val="a"/>
    <w:link w:val="af1"/>
    <w:uiPriority w:val="99"/>
    <w:unhideWhenUsed/>
    <w:qFormat/>
    <w:rsid w:val="00844A94"/>
    <w:pPr>
      <w:tabs>
        <w:tab w:val="center" w:pos="4680"/>
        <w:tab w:val="right" w:pos="9360"/>
      </w:tabs>
      <w:spacing w:after="0"/>
    </w:pPr>
  </w:style>
  <w:style w:type="character" w:customStyle="1" w:styleId="af1">
    <w:name w:val="页脚 字符"/>
    <w:basedOn w:val="a0"/>
    <w:link w:val="af0"/>
    <w:uiPriority w:val="99"/>
    <w:rsid w:val="00844A94"/>
    <w:rPr>
      <w:rFonts w:ascii="Times New Roman" w:hAnsi="Times New Roman"/>
      <w:color w:val="000000" w:themeColor="text1"/>
      <w:kern w:val="0"/>
      <w:sz w:val="24"/>
      <w:szCs w:val="22"/>
      <w:lang w:eastAsia="en-US"/>
      <w14:ligatures w14:val="none"/>
    </w:rPr>
  </w:style>
  <w:style w:type="paragraph" w:styleId="af2">
    <w:name w:val="header"/>
    <w:basedOn w:val="a"/>
    <w:link w:val="af3"/>
    <w:uiPriority w:val="99"/>
    <w:unhideWhenUsed/>
    <w:rsid w:val="00844A94"/>
    <w:pPr>
      <w:tabs>
        <w:tab w:val="center" w:pos="4680"/>
        <w:tab w:val="right" w:pos="9360"/>
      </w:tabs>
      <w:spacing w:after="0"/>
    </w:pPr>
  </w:style>
  <w:style w:type="character" w:customStyle="1" w:styleId="af3">
    <w:name w:val="页眉 字符"/>
    <w:basedOn w:val="a0"/>
    <w:link w:val="af2"/>
    <w:uiPriority w:val="99"/>
    <w:rsid w:val="00844A94"/>
    <w:rPr>
      <w:rFonts w:ascii="Times New Roman" w:hAnsi="Times New Roman"/>
      <w:color w:val="000000" w:themeColor="text1"/>
      <w:kern w:val="0"/>
      <w:sz w:val="24"/>
      <w:szCs w:val="22"/>
      <w:lang w:eastAsia="en-US"/>
      <w14:ligatures w14:val="none"/>
    </w:rPr>
  </w:style>
  <w:style w:type="table" w:styleId="af4">
    <w:name w:val="Table Grid"/>
    <w:basedOn w:val="a1"/>
    <w:uiPriority w:val="59"/>
    <w:qFormat/>
    <w:rsid w:val="00844A94"/>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844A94"/>
    <w:rPr>
      <w:color w:val="0563C1" w:themeColor="hyperlink"/>
      <w:u w:val="single"/>
    </w:rPr>
  </w:style>
  <w:style w:type="character" w:customStyle="1" w:styleId="hover-sent">
    <w:name w:val="hover-sent"/>
    <w:basedOn w:val="a0"/>
    <w:rsid w:val="008A3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57794">
      <w:bodyDiv w:val="1"/>
      <w:marLeft w:val="0"/>
      <w:marRight w:val="0"/>
      <w:marTop w:val="0"/>
      <w:marBottom w:val="0"/>
      <w:divBdr>
        <w:top w:val="none" w:sz="0" w:space="0" w:color="auto"/>
        <w:left w:val="none" w:sz="0" w:space="0" w:color="auto"/>
        <w:bottom w:val="none" w:sz="0" w:space="0" w:color="auto"/>
        <w:right w:val="none" w:sz="0" w:space="0" w:color="auto"/>
      </w:divBdr>
      <w:divsChild>
        <w:div w:id="1087969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61403">
      <w:bodyDiv w:val="1"/>
      <w:marLeft w:val="0"/>
      <w:marRight w:val="0"/>
      <w:marTop w:val="0"/>
      <w:marBottom w:val="0"/>
      <w:divBdr>
        <w:top w:val="none" w:sz="0" w:space="0" w:color="auto"/>
        <w:left w:val="none" w:sz="0" w:space="0" w:color="auto"/>
        <w:bottom w:val="none" w:sz="0" w:space="0" w:color="auto"/>
        <w:right w:val="none" w:sz="0" w:space="0" w:color="auto"/>
      </w:divBdr>
    </w:div>
    <w:div w:id="1075933935">
      <w:bodyDiv w:val="1"/>
      <w:marLeft w:val="0"/>
      <w:marRight w:val="0"/>
      <w:marTop w:val="0"/>
      <w:marBottom w:val="0"/>
      <w:divBdr>
        <w:top w:val="none" w:sz="0" w:space="0" w:color="auto"/>
        <w:left w:val="none" w:sz="0" w:space="0" w:color="auto"/>
        <w:bottom w:val="none" w:sz="0" w:space="0" w:color="auto"/>
        <w:right w:val="none" w:sz="0" w:space="0" w:color="auto"/>
      </w:divBdr>
      <w:divsChild>
        <w:div w:id="842277745">
          <w:marLeft w:val="0"/>
          <w:marRight w:val="0"/>
          <w:marTop w:val="0"/>
          <w:marBottom w:val="0"/>
          <w:divBdr>
            <w:top w:val="none" w:sz="0" w:space="0" w:color="auto"/>
            <w:left w:val="none" w:sz="0" w:space="0" w:color="auto"/>
            <w:bottom w:val="none" w:sz="0" w:space="0" w:color="auto"/>
            <w:right w:val="none" w:sz="0" w:space="0" w:color="auto"/>
          </w:divBdr>
          <w:divsChild>
            <w:div w:id="864828995">
              <w:marLeft w:val="0"/>
              <w:marRight w:val="0"/>
              <w:marTop w:val="0"/>
              <w:marBottom w:val="0"/>
              <w:divBdr>
                <w:top w:val="none" w:sz="0" w:space="0" w:color="auto"/>
                <w:left w:val="none" w:sz="0" w:space="0" w:color="auto"/>
                <w:bottom w:val="none" w:sz="0" w:space="0" w:color="auto"/>
                <w:right w:val="none" w:sz="0" w:space="0" w:color="auto"/>
              </w:divBdr>
              <w:divsChild>
                <w:div w:id="5906168">
                  <w:marLeft w:val="0"/>
                  <w:marRight w:val="0"/>
                  <w:marTop w:val="0"/>
                  <w:marBottom w:val="0"/>
                  <w:divBdr>
                    <w:top w:val="none" w:sz="0" w:space="0" w:color="auto"/>
                    <w:left w:val="none" w:sz="0" w:space="0" w:color="auto"/>
                    <w:bottom w:val="none" w:sz="0" w:space="0" w:color="auto"/>
                    <w:right w:val="none" w:sz="0" w:space="0" w:color="auto"/>
                  </w:divBdr>
                  <w:divsChild>
                    <w:div w:id="1779831679">
                      <w:marLeft w:val="0"/>
                      <w:marRight w:val="0"/>
                      <w:marTop w:val="0"/>
                      <w:marBottom w:val="0"/>
                      <w:divBdr>
                        <w:top w:val="none" w:sz="0" w:space="0" w:color="auto"/>
                        <w:left w:val="none" w:sz="0" w:space="0" w:color="auto"/>
                        <w:bottom w:val="none" w:sz="0" w:space="0" w:color="auto"/>
                        <w:right w:val="none" w:sz="0" w:space="0" w:color="auto"/>
                      </w:divBdr>
                      <w:divsChild>
                        <w:div w:id="1489587788">
                          <w:marLeft w:val="0"/>
                          <w:marRight w:val="0"/>
                          <w:marTop w:val="0"/>
                          <w:marBottom w:val="0"/>
                          <w:divBdr>
                            <w:top w:val="none" w:sz="0" w:space="0" w:color="auto"/>
                            <w:left w:val="none" w:sz="0" w:space="0" w:color="auto"/>
                            <w:bottom w:val="none" w:sz="0" w:space="0" w:color="auto"/>
                            <w:right w:val="none" w:sz="0" w:space="0" w:color="auto"/>
                          </w:divBdr>
                          <w:divsChild>
                            <w:div w:id="94252381">
                              <w:marLeft w:val="0"/>
                              <w:marRight w:val="0"/>
                              <w:marTop w:val="0"/>
                              <w:marBottom w:val="0"/>
                              <w:divBdr>
                                <w:top w:val="none" w:sz="0" w:space="0" w:color="auto"/>
                                <w:left w:val="none" w:sz="0" w:space="0" w:color="auto"/>
                                <w:bottom w:val="none" w:sz="0" w:space="0" w:color="auto"/>
                                <w:right w:val="none" w:sz="0" w:space="0" w:color="auto"/>
                              </w:divBdr>
                              <w:divsChild>
                                <w:div w:id="1207864">
                                  <w:marLeft w:val="0"/>
                                  <w:marRight w:val="0"/>
                                  <w:marTop w:val="0"/>
                                  <w:marBottom w:val="0"/>
                                  <w:divBdr>
                                    <w:top w:val="none" w:sz="0" w:space="0" w:color="auto"/>
                                    <w:left w:val="none" w:sz="0" w:space="0" w:color="auto"/>
                                    <w:bottom w:val="none" w:sz="0" w:space="0" w:color="auto"/>
                                    <w:right w:val="none" w:sz="0" w:space="0" w:color="auto"/>
                                  </w:divBdr>
                                  <w:divsChild>
                                    <w:div w:id="103615776">
                                      <w:marLeft w:val="0"/>
                                      <w:marRight w:val="0"/>
                                      <w:marTop w:val="0"/>
                                      <w:marBottom w:val="0"/>
                                      <w:divBdr>
                                        <w:top w:val="none" w:sz="0" w:space="0" w:color="auto"/>
                                        <w:left w:val="none" w:sz="0" w:space="0" w:color="auto"/>
                                        <w:bottom w:val="none" w:sz="0" w:space="0" w:color="auto"/>
                                        <w:right w:val="none" w:sz="0" w:space="0" w:color="auto"/>
                                      </w:divBdr>
                                      <w:divsChild>
                                        <w:div w:id="683870779">
                                          <w:marLeft w:val="0"/>
                                          <w:marRight w:val="0"/>
                                          <w:marTop w:val="0"/>
                                          <w:marBottom w:val="0"/>
                                          <w:divBdr>
                                            <w:top w:val="none" w:sz="0" w:space="0" w:color="auto"/>
                                            <w:left w:val="none" w:sz="0" w:space="0" w:color="auto"/>
                                            <w:bottom w:val="none" w:sz="0" w:space="0" w:color="auto"/>
                                            <w:right w:val="none" w:sz="0" w:space="0" w:color="auto"/>
                                          </w:divBdr>
                                          <w:divsChild>
                                            <w:div w:id="1287276130">
                                              <w:marLeft w:val="0"/>
                                              <w:marRight w:val="0"/>
                                              <w:marTop w:val="0"/>
                                              <w:marBottom w:val="0"/>
                                              <w:divBdr>
                                                <w:top w:val="none" w:sz="0" w:space="0" w:color="auto"/>
                                                <w:left w:val="none" w:sz="0" w:space="0" w:color="auto"/>
                                                <w:bottom w:val="none" w:sz="0" w:space="0" w:color="auto"/>
                                                <w:right w:val="none" w:sz="0" w:space="0" w:color="auto"/>
                                              </w:divBdr>
                                              <w:divsChild>
                                                <w:div w:id="46537125">
                                                  <w:marLeft w:val="0"/>
                                                  <w:marRight w:val="0"/>
                                                  <w:marTop w:val="0"/>
                                                  <w:marBottom w:val="0"/>
                                                  <w:divBdr>
                                                    <w:top w:val="none" w:sz="0" w:space="0" w:color="auto"/>
                                                    <w:left w:val="none" w:sz="0" w:space="0" w:color="auto"/>
                                                    <w:bottom w:val="none" w:sz="0" w:space="0" w:color="auto"/>
                                                    <w:right w:val="none" w:sz="0" w:space="0" w:color="auto"/>
                                                  </w:divBdr>
                                                  <w:divsChild>
                                                    <w:div w:id="17534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925881">
      <w:bodyDiv w:val="1"/>
      <w:marLeft w:val="0"/>
      <w:marRight w:val="0"/>
      <w:marTop w:val="0"/>
      <w:marBottom w:val="0"/>
      <w:divBdr>
        <w:top w:val="none" w:sz="0" w:space="0" w:color="auto"/>
        <w:left w:val="none" w:sz="0" w:space="0" w:color="auto"/>
        <w:bottom w:val="none" w:sz="0" w:space="0" w:color="auto"/>
        <w:right w:val="none" w:sz="0" w:space="0" w:color="auto"/>
      </w:divBdr>
    </w:div>
    <w:div w:id="1508323084">
      <w:bodyDiv w:val="1"/>
      <w:marLeft w:val="0"/>
      <w:marRight w:val="0"/>
      <w:marTop w:val="0"/>
      <w:marBottom w:val="0"/>
      <w:divBdr>
        <w:top w:val="none" w:sz="0" w:space="0" w:color="auto"/>
        <w:left w:val="none" w:sz="0" w:space="0" w:color="auto"/>
        <w:bottom w:val="none" w:sz="0" w:space="0" w:color="auto"/>
        <w:right w:val="none" w:sz="0" w:space="0" w:color="auto"/>
      </w:divBdr>
    </w:div>
    <w:div w:id="1666326073">
      <w:bodyDiv w:val="1"/>
      <w:marLeft w:val="0"/>
      <w:marRight w:val="0"/>
      <w:marTop w:val="0"/>
      <w:marBottom w:val="0"/>
      <w:divBdr>
        <w:top w:val="none" w:sz="0" w:space="0" w:color="auto"/>
        <w:left w:val="none" w:sz="0" w:space="0" w:color="auto"/>
        <w:bottom w:val="none" w:sz="0" w:space="0" w:color="auto"/>
        <w:right w:val="none" w:sz="0" w:space="0" w:color="auto"/>
      </w:divBdr>
    </w:div>
    <w:div w:id="1906797670">
      <w:bodyDiv w:val="1"/>
      <w:marLeft w:val="0"/>
      <w:marRight w:val="0"/>
      <w:marTop w:val="0"/>
      <w:marBottom w:val="0"/>
      <w:divBdr>
        <w:top w:val="none" w:sz="0" w:space="0" w:color="auto"/>
        <w:left w:val="none" w:sz="0" w:space="0" w:color="auto"/>
        <w:bottom w:val="none" w:sz="0" w:space="0" w:color="auto"/>
        <w:right w:val="none" w:sz="0" w:space="0" w:color="auto"/>
      </w:divBdr>
    </w:div>
    <w:div w:id="1926576195">
      <w:bodyDiv w:val="1"/>
      <w:marLeft w:val="0"/>
      <w:marRight w:val="0"/>
      <w:marTop w:val="0"/>
      <w:marBottom w:val="0"/>
      <w:divBdr>
        <w:top w:val="none" w:sz="0" w:space="0" w:color="auto"/>
        <w:left w:val="none" w:sz="0" w:space="0" w:color="auto"/>
        <w:bottom w:val="none" w:sz="0" w:space="0" w:color="auto"/>
        <w:right w:val="none" w:sz="0" w:space="0" w:color="auto"/>
      </w:divBdr>
      <w:divsChild>
        <w:div w:id="1123576707">
          <w:marLeft w:val="0"/>
          <w:marRight w:val="0"/>
          <w:marTop w:val="0"/>
          <w:marBottom w:val="0"/>
          <w:divBdr>
            <w:top w:val="none" w:sz="0" w:space="0" w:color="auto"/>
            <w:left w:val="none" w:sz="0" w:space="0" w:color="auto"/>
            <w:bottom w:val="none" w:sz="0" w:space="0" w:color="auto"/>
            <w:right w:val="none" w:sz="0" w:space="0" w:color="auto"/>
          </w:divBdr>
          <w:divsChild>
            <w:div w:id="339357591">
              <w:marLeft w:val="0"/>
              <w:marRight w:val="0"/>
              <w:marTop w:val="0"/>
              <w:marBottom w:val="0"/>
              <w:divBdr>
                <w:top w:val="none" w:sz="0" w:space="0" w:color="auto"/>
                <w:left w:val="none" w:sz="0" w:space="0" w:color="auto"/>
                <w:bottom w:val="none" w:sz="0" w:space="0" w:color="auto"/>
                <w:right w:val="none" w:sz="0" w:space="0" w:color="auto"/>
              </w:divBdr>
              <w:divsChild>
                <w:div w:id="542399655">
                  <w:marLeft w:val="0"/>
                  <w:marRight w:val="0"/>
                  <w:marTop w:val="0"/>
                  <w:marBottom w:val="0"/>
                  <w:divBdr>
                    <w:top w:val="none" w:sz="0" w:space="0" w:color="auto"/>
                    <w:left w:val="none" w:sz="0" w:space="0" w:color="auto"/>
                    <w:bottom w:val="none" w:sz="0" w:space="0" w:color="auto"/>
                    <w:right w:val="none" w:sz="0" w:space="0" w:color="auto"/>
                  </w:divBdr>
                  <w:divsChild>
                    <w:div w:id="1021468769">
                      <w:marLeft w:val="0"/>
                      <w:marRight w:val="0"/>
                      <w:marTop w:val="0"/>
                      <w:marBottom w:val="0"/>
                      <w:divBdr>
                        <w:top w:val="none" w:sz="0" w:space="0" w:color="auto"/>
                        <w:left w:val="none" w:sz="0" w:space="0" w:color="auto"/>
                        <w:bottom w:val="none" w:sz="0" w:space="0" w:color="auto"/>
                        <w:right w:val="none" w:sz="0" w:space="0" w:color="auto"/>
                      </w:divBdr>
                      <w:divsChild>
                        <w:div w:id="17945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345999">
          <w:marLeft w:val="0"/>
          <w:marRight w:val="0"/>
          <w:marTop w:val="0"/>
          <w:marBottom w:val="0"/>
          <w:divBdr>
            <w:top w:val="none" w:sz="0" w:space="0" w:color="auto"/>
            <w:left w:val="none" w:sz="0" w:space="0" w:color="auto"/>
            <w:bottom w:val="none" w:sz="0" w:space="0" w:color="auto"/>
            <w:right w:val="none" w:sz="0" w:space="0" w:color="auto"/>
          </w:divBdr>
          <w:divsChild>
            <w:div w:id="469135955">
              <w:marLeft w:val="0"/>
              <w:marRight w:val="0"/>
              <w:marTop w:val="0"/>
              <w:marBottom w:val="0"/>
              <w:divBdr>
                <w:top w:val="none" w:sz="0" w:space="0" w:color="auto"/>
                <w:left w:val="none" w:sz="0" w:space="0" w:color="auto"/>
                <w:bottom w:val="none" w:sz="0" w:space="0" w:color="auto"/>
                <w:right w:val="none" w:sz="0" w:space="0" w:color="auto"/>
              </w:divBdr>
            </w:div>
            <w:div w:id="237902789">
              <w:marLeft w:val="0"/>
              <w:marRight w:val="0"/>
              <w:marTop w:val="0"/>
              <w:marBottom w:val="0"/>
              <w:divBdr>
                <w:top w:val="none" w:sz="0" w:space="0" w:color="auto"/>
                <w:left w:val="none" w:sz="0" w:space="0" w:color="auto"/>
                <w:bottom w:val="none" w:sz="0" w:space="0" w:color="auto"/>
                <w:right w:val="none" w:sz="0" w:space="0" w:color="auto"/>
              </w:divBdr>
            </w:div>
            <w:div w:id="184269222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39/ssrn.4748151" TargetMode="External"/><Relationship Id="rId13" Type="http://schemas.openxmlformats.org/officeDocument/2006/relationships/hyperlink" Target="https://doi.org/10.1016/j.physa.2023.129044"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doi.org/10.1080/00036846.2022.2097191" TargetMode="Externa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905/jpm.2016.42.4.059"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doi.org/10.1017/s0022109023001175"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doi.org/10.2139/ssrn.4709317"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i.org/10.1016/j.frl.2022.103358" TargetMode="External"/><Relationship Id="rId14" Type="http://schemas.openxmlformats.org/officeDocument/2006/relationships/hyperlink" Target="https://doi.org/10.3905/jfds.2021.1.081"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24</Pages>
  <Words>5336</Words>
  <Characters>30577</Characters>
  <Application>Microsoft Office Word</Application>
  <DocSecurity>0</DocSecurity>
  <Lines>679</Lines>
  <Paragraphs>338</Paragraphs>
  <ScaleCrop>false</ScaleCrop>
  <Company/>
  <LinksUpToDate>false</LinksUpToDate>
  <CharactersWithSpaces>35575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Cao</dc:creator>
  <cp:keywords/>
  <dc:description/>
  <cp:lastModifiedBy>Haoyu Cao</cp:lastModifiedBy>
  <cp:revision>30</cp:revision>
  <dcterms:created xsi:type="dcterms:W3CDTF">2026-08-03T13:01:00Z</dcterms:created>
  <dcterms:modified xsi:type="dcterms:W3CDTF">2026-08-14T09:56:00Z</dcterms:modified>
</cp:coreProperties>
</file>