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ABAFC">
      <w:pPr>
        <w:spacing w:line="245" w:lineRule="auto"/>
      </w:pPr>
      <w:bookmarkStart w:id="0" w:name="_GoBack"/>
      <w:bookmarkEnd w:id="0"/>
    </w:p>
    <w:p w14:paraId="14F78F40">
      <w:pPr>
        <w:pStyle w:val="2"/>
        <w:spacing w:before="155" w:line="217" w:lineRule="auto"/>
        <w:ind w:left="3703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31F20"/>
          <w:spacing w:val="-3"/>
          <w:sz w:val="24"/>
          <w:szCs w:val="24"/>
        </w:rPr>
        <w:t>课    时    计</w:t>
      </w:r>
      <w:r>
        <w:rPr>
          <w:rFonts w:hint="eastAsia" w:ascii="宋体" w:hAnsi="宋体" w:eastAsia="宋体" w:cs="宋体"/>
          <w:color w:val="231F20"/>
          <w:spacing w:val="31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231F20"/>
          <w:spacing w:val="-3"/>
          <w:sz w:val="24"/>
          <w:szCs w:val="24"/>
        </w:rPr>
        <w:t>划</w:t>
      </w:r>
    </w:p>
    <w:p w14:paraId="4C7971A4">
      <w:pPr>
        <w:tabs>
          <w:tab w:val="left" w:pos="12428"/>
        </w:tabs>
        <w:spacing w:before="37" w:line="190" w:lineRule="auto"/>
        <w:ind w:left="249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第       周</w:t>
      </w:r>
      <w:r>
        <w:rPr>
          <w:rFonts w:hint="eastAsia" w:ascii="宋体" w:hAnsi="宋体" w:eastAsia="宋体" w:cs="宋体"/>
          <w:color w:val="231F20"/>
          <w:spacing w:val="8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星期</w:t>
      </w:r>
      <w:r>
        <w:rPr>
          <w:rFonts w:hint="eastAsia" w:ascii="宋体" w:hAnsi="宋体" w:eastAsia="宋体" w:cs="宋体"/>
          <w:color w:val="231F20"/>
          <w:spacing w:val="4"/>
          <w:sz w:val="24"/>
          <w:szCs w:val="24"/>
        </w:rPr>
        <w:t xml:space="preserve">        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 xml:space="preserve">第   </w:t>
      </w:r>
      <w:r>
        <w:rPr>
          <w:rFonts w:hint="eastAsia" w:ascii="宋体" w:hAnsi="宋体" w:eastAsia="宋体" w:cs="宋体"/>
          <w:color w:val="231F20"/>
          <w:sz w:val="24"/>
          <w:szCs w:val="24"/>
        </w:rPr>
        <w:t xml:space="preserve">   节               年          月          日</w:t>
      </w:r>
    </w:p>
    <w:p w14:paraId="0EBC7790">
      <w:pPr>
        <w:spacing w:line="39" w:lineRule="exact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10080" w:type="dxa"/>
        <w:tblInd w:w="7" w:type="dxa"/>
        <w:tblBorders>
          <w:top w:val="single" w:color="221713" w:sz="4" w:space="0"/>
          <w:left w:val="single" w:color="221713" w:sz="4" w:space="0"/>
          <w:bottom w:val="single" w:color="221713" w:sz="4" w:space="0"/>
          <w:right w:val="single" w:color="221713" w:sz="4" w:space="0"/>
          <w:insideH w:val="single" w:color="221713" w:sz="4" w:space="0"/>
          <w:insideV w:val="single" w:color="221713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994"/>
        <w:gridCol w:w="4837"/>
        <w:gridCol w:w="1245"/>
        <w:gridCol w:w="1978"/>
      </w:tblGrid>
      <w:tr w14:paraId="7CA466AB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020" w:type="dxa"/>
            <w:gridSpan w:val="2"/>
            <w:tcBorders>
              <w:top w:val="single" w:color="221713" w:sz="6" w:space="0"/>
              <w:left w:val="single" w:color="221713" w:sz="6" w:space="0"/>
            </w:tcBorders>
          </w:tcPr>
          <w:p w14:paraId="00DE32CE">
            <w:pPr>
              <w:spacing w:before="140" w:line="185" w:lineRule="auto"/>
              <w:ind w:left="7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课题</w:t>
            </w:r>
          </w:p>
        </w:tc>
        <w:tc>
          <w:tcPr>
            <w:tcW w:w="4837" w:type="dxa"/>
            <w:tcBorders>
              <w:top w:val="single" w:color="221713" w:sz="6" w:space="0"/>
            </w:tcBorders>
            <w:vAlign w:val="center"/>
          </w:tcPr>
          <w:p w14:paraId="09FA6641">
            <w:pPr>
              <w:pStyle w:val="7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第五章第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节慢性肾小球肾炎病人的护理</w:t>
            </w:r>
          </w:p>
        </w:tc>
        <w:tc>
          <w:tcPr>
            <w:tcW w:w="1245" w:type="dxa"/>
            <w:tcBorders>
              <w:top w:val="single" w:color="221713" w:sz="6" w:space="0"/>
            </w:tcBorders>
          </w:tcPr>
          <w:p w14:paraId="41F6C5E0">
            <w:pPr>
              <w:spacing w:before="139" w:line="185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课型</w:t>
            </w:r>
          </w:p>
        </w:tc>
        <w:tc>
          <w:tcPr>
            <w:tcW w:w="1978" w:type="dxa"/>
            <w:tcBorders>
              <w:top w:val="single" w:color="221713" w:sz="6" w:space="0"/>
              <w:right w:val="single" w:color="221713" w:sz="6" w:space="0"/>
            </w:tcBorders>
            <w:vAlign w:val="center"/>
          </w:tcPr>
          <w:p w14:paraId="19228B70">
            <w:pPr>
              <w:pStyle w:val="7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pict>
                <v:shape id="_x0000_s1083" o:spid="_x0000_s1083" o:spt="202" type="#_x0000_t202" style="position:absolute;left:0pt;margin-left:181.6pt;margin-top:-1.8pt;height:695.75pt;width:511.9pt;z-index:2516592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2B5624">
                        <w:pPr>
                          <w:spacing w:line="20" w:lineRule="exact"/>
                        </w:pPr>
                      </w:p>
                      <w:tbl>
                        <w:tblPr>
                          <w:tblStyle w:val="6"/>
                          <w:tblW w:w="10080" w:type="dxa"/>
                          <w:tblInd w:w="27" w:type="dxa"/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713"/>
                          <w:gridCol w:w="9367"/>
                        </w:tblGrid>
                        <w:tr w14:paraId="4A53DBE8">
                          <w:tblPrEx>
                            <w:tblBorders>
                              <w:top w:val="single" w:color="221713" w:sz="4" w:space="0"/>
                              <w:left w:val="single" w:color="221713" w:sz="4" w:space="0"/>
                              <w:bottom w:val="single" w:color="221713" w:sz="4" w:space="0"/>
                              <w:right w:val="single" w:color="221713" w:sz="4" w:space="0"/>
                              <w:insideH w:val="single" w:color="221713" w:sz="4" w:space="0"/>
                              <w:insideV w:val="single" w:color="221713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8737" w:hRule="atLeast"/>
                          </w:trPr>
                          <w:tc>
                            <w:tcPr>
                              <w:tcW w:w="713" w:type="dxa"/>
                              <w:tcBorders>
                                <w:top w:val="single" w:color="221713" w:sz="6" w:space="0"/>
                                <w:left w:val="single" w:color="221713" w:sz="6" w:space="0"/>
                              </w:tcBorders>
                              <w:textDirection w:val="tbRlV"/>
                            </w:tcPr>
                            <w:p w14:paraId="2E85B940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169" w:line="185" w:lineRule="auto"/>
                                <w:textAlignment w:val="baseline"/>
                                <w:rPr>
                                  <w:rFonts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</w:pPr>
                            </w:p>
                            <w:p w14:paraId="5684BADB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169" w:line="185" w:lineRule="auto"/>
                                <w:ind w:left="2531"/>
                                <w:jc w:val="left"/>
                                <w:textAlignment w:val="baseline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教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学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过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3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程</w:t>
                              </w:r>
                            </w:p>
                          </w:tc>
                          <w:tc>
                            <w:tcPr>
                              <w:tcW w:w="9367" w:type="dxa"/>
                              <w:tcBorders>
                                <w:top w:val="single" w:color="221713" w:sz="6" w:space="0"/>
                                <w:right w:val="single" w:color="221713" w:sz="6" w:space="0"/>
                              </w:tcBorders>
                            </w:tcPr>
                            <w:p w14:paraId="63767D8C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6.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护理措施</w:t>
                              </w:r>
                            </w:p>
                            <w:p w14:paraId="72D9A0CA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①一般护理：休息与活动：保证休息和睡眠     </w:t>
                              </w:r>
                            </w:p>
                            <w:p w14:paraId="17A49536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highlight w:val="yellow"/>
                                  <w:lang w:eastAsia="zh-CN"/>
                                </w:rPr>
                                <w:t>肾功能不全者给优质低蛋白、低磷饮食。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（选择题）</w:t>
                              </w:r>
                            </w:p>
                            <w:p w14:paraId="6E2C7831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②病情观察: 观察病人血压的变化、尿量、体重和腹围，水肿、胸腔积液</w:t>
                              </w:r>
                            </w:p>
                            <w:p w14:paraId="7F9B0BA5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③用药护理：利尿剂、降压药、ACEI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（使用药物时，观察用药不良反应）</w:t>
                              </w:r>
                            </w:p>
                            <w:p w14:paraId="6F2D36D5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④心理护理：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观察病人心理活动，及时发现病人不良情绪。</w:t>
                              </w:r>
                            </w:p>
                            <w:p w14:paraId="24D18A4F">
                              <w:pPr>
                                <w:pStyle w:val="7"/>
                                <w:ind w:firstLine="1440" w:firstLineChars="600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帮助病人调整心态，积极配合治疗及护理</w:t>
                              </w:r>
                            </w:p>
                            <w:p w14:paraId="7C97A6CD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⑤健康指导：</w:t>
                              </w:r>
                            </w:p>
                            <w:p w14:paraId="3C89F203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讲解影响病情进展的因素，指导病人根据病情选择合适的食物和量。</w:t>
                              </w:r>
                            </w:p>
                            <w:p w14:paraId="0CACD16E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定期随访肾功能、血压、水肿等变化。</w:t>
                              </w:r>
                            </w:p>
                            <w:p w14:paraId="0EF364C7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val="en-US" w:eastAsia="zh-CN"/>
                                </w:rPr>
                                <w:t>四、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练习巩固（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min）</w:t>
                              </w:r>
                            </w:p>
                            <w:p w14:paraId="13EFB84A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1、慢性肾小球肾炎的主要临床表现不包括（  ）、</w:t>
                              </w:r>
                            </w:p>
                            <w:p w14:paraId="2462EEE4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A. 蛋白尿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B. 血尿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C. 水肿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D. 脓尿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E. 高血压</w:t>
                              </w:r>
                            </w:p>
                            <w:p w14:paraId="2E8848D5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2、慢性肾小球肾炎患者饮食应注意的是（  ）</w:t>
                              </w:r>
                            </w:p>
                            <w:p w14:paraId="03887FE3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A. 高蛋白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B. 优质低蛋白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C. 低脂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D. 高碳水化合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E. 低糖</w:t>
                              </w:r>
                            </w:p>
                            <w:p w14:paraId="0DF8D7BA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3、慢性肾小球肾炎患者最常见的并发症是（  ）</w:t>
                              </w:r>
                            </w:p>
                            <w:p w14:paraId="214186D3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A. 感染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B. 血栓及栓塞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C. 急性肾衰竭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D. 心力衰竭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E. 高血压脑病</w:t>
                              </w:r>
                            </w:p>
                            <w:p w14:paraId="2E0D23D7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五、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课堂小结（5min）</w:t>
                              </w:r>
                            </w:p>
                            <w:p w14:paraId="4F6FAC48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本次课程我们全面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val="en-US" w:eastAsia="zh-CN"/>
                                </w:rPr>
                                <w:t>复习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了慢性肾小球肾炎病人的护理。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该病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以蛋白尿、血尿、水肿、高血压为主要表现，诊断时，依靠尿常规、肾功能检查及肾活检等手段，能精准判断病情。治疗上，控制血压、减少尿蛋白、避免肾损伤，同时要依据患者具体情况合理选用药物。护理过程中，要为患者营造舒适环境，指导他们合理饮食，严格控制蛋白、磷和盐的摄入。密切监测病情变化，及时察觉异常并处理。还要注重心理疏导，给予患者足够的支持与鼓励。</w:t>
                              </w:r>
                            </w:p>
                            <w:p w14:paraId="194E65F2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六、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作业布置（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min）</w:t>
                              </w:r>
                            </w:p>
                            <w:p w14:paraId="6566219D">
                              <w:pPr>
                                <w:pStyle w:val="7"/>
                                <w:rPr>
                                  <w:rFonts w:hint="default" w:ascii="宋体" w:hAnsi="宋体" w:eastAsia="宋体" w:cs="宋体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val="en-US" w:eastAsia="zh-CN"/>
                                </w:rPr>
                                <w:t>整理本章节重难点</w:t>
                              </w:r>
                            </w:p>
                            <w:p w14:paraId="5DD12503">
                              <w:pPr>
                                <w:pStyle w:val="7"/>
                                <w:rPr>
                                  <w:rFonts w:hint="default" w:ascii="宋体" w:hAnsi="宋体" w:eastAsia="宋体" w:cs="宋体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c>
                        </w:tr>
                        <w:tr w14:paraId="277A0679">
                          <w:tblPrEx>
                            <w:tblBorders>
                              <w:top w:val="single" w:color="221713" w:sz="4" w:space="0"/>
                              <w:left w:val="single" w:color="221713" w:sz="4" w:space="0"/>
                              <w:bottom w:val="single" w:color="221713" w:sz="4" w:space="0"/>
                              <w:right w:val="single" w:color="221713" w:sz="4" w:space="0"/>
                              <w:insideH w:val="single" w:color="221713" w:sz="4" w:space="0"/>
                              <w:insideV w:val="single" w:color="221713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317" w:hRule="atLeast"/>
                          </w:trPr>
                          <w:tc>
                            <w:tcPr>
                              <w:tcW w:w="713" w:type="dxa"/>
                              <w:tcBorders>
                                <w:left w:val="single" w:color="221713" w:sz="6" w:space="0"/>
                              </w:tcBorders>
                              <w:textDirection w:val="tbRlV"/>
                            </w:tcPr>
                            <w:p w14:paraId="056B3947">
                              <w:pPr>
                                <w:spacing w:before="168" w:line="186" w:lineRule="auto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板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5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书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设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5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5"/>
                                  <w:sz w:val="24"/>
                                  <w:szCs w:val="24"/>
                                  <w:lang w:eastAsia="zh-CN"/>
                                </w:rPr>
                                <w:t>计</w:t>
                              </w:r>
                            </w:p>
                          </w:tc>
                          <w:tc>
                            <w:tcPr>
                              <w:tcW w:w="9367" w:type="dxa"/>
                              <w:tcBorders>
                                <w:right w:val="single" w:color="221713" w:sz="6" w:space="0"/>
                              </w:tcBorders>
                            </w:tcPr>
                            <w:p w14:paraId="72B1D0C4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疾病概述</w:t>
                              </w:r>
                            </w:p>
                            <w:p w14:paraId="74654FED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身体状况：蛋白尿、血尿、水肿、高血压</w:t>
                              </w:r>
                            </w:p>
                            <w:p w14:paraId="06BE040F">
                              <w:pPr>
                                <w:pStyle w:val="7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3、辅助检查</w:t>
                              </w:r>
                            </w:p>
                            <w:p w14:paraId="0BB980E1">
                              <w:pPr>
                                <w:pStyle w:val="7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4、治疗要点</w:t>
                              </w:r>
                            </w:p>
                            <w:p w14:paraId="701E3A83">
                              <w:pPr>
                                <w:pStyle w:val="7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5、常见护理诊断：①体液过多 ②营养失调：低于机体需要量  ③焦虑  ④潜在并发症：慢性肾衰竭</w:t>
                              </w:r>
                            </w:p>
                            <w:p w14:paraId="18D59C1B">
                              <w:pPr>
                                <w:pStyle w:val="7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  <w:lang w:eastAsia="zh-CN"/>
                                </w:rPr>
                                <w:t>6、护理措施：一般护理、病情观察、用药护理、对症护理、心理护理</w:t>
                              </w:r>
                            </w:p>
                          </w:tc>
                        </w:tr>
                        <w:tr w14:paraId="283D4685">
                          <w:tblPrEx>
                            <w:tblBorders>
                              <w:top w:val="single" w:color="221713" w:sz="4" w:space="0"/>
                              <w:left w:val="single" w:color="221713" w:sz="4" w:space="0"/>
                              <w:bottom w:val="single" w:color="221713" w:sz="4" w:space="0"/>
                              <w:right w:val="single" w:color="221713" w:sz="4" w:space="0"/>
                              <w:insideH w:val="single" w:color="221713" w:sz="4" w:space="0"/>
                              <w:insideV w:val="single" w:color="221713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598" w:hRule="atLeast"/>
                          </w:trPr>
                          <w:tc>
                            <w:tcPr>
                              <w:tcW w:w="713" w:type="dxa"/>
                              <w:tcBorders>
                                <w:left w:val="single" w:color="221713" w:sz="6" w:space="0"/>
                              </w:tcBorders>
                              <w:textDirection w:val="tbRlV"/>
                            </w:tcPr>
                            <w:p w14:paraId="1C5397CB">
                              <w:pPr>
                                <w:spacing w:before="179" w:line="187" w:lineRule="auto"/>
                                <w:ind w:left="253"/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教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3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学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后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17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</w:rPr>
                                <w:t>记</w:t>
                              </w:r>
                            </w:p>
                          </w:tc>
                          <w:tc>
                            <w:tcPr>
                              <w:tcW w:w="9367" w:type="dxa"/>
                              <w:tcBorders>
                                <w:right w:val="single" w:color="221713" w:sz="6" w:space="0"/>
                              </w:tcBorders>
                            </w:tcPr>
                            <w:p w14:paraId="0BE0EA5E">
                              <w:pPr>
                                <w:pStyle w:val="7"/>
                                <w:rPr>
                                  <w:rFonts w:eastAsia="宋体"/>
                                  <w:lang w:eastAsia="zh-CN"/>
                                </w:rPr>
                              </w:pPr>
                            </w:p>
                          </w:tc>
                        </w:tr>
                        <w:tr w14:paraId="1A3F7365">
                          <w:tblPrEx>
                            <w:tblBorders>
                              <w:top w:val="single" w:color="221713" w:sz="4" w:space="0"/>
                              <w:left w:val="single" w:color="221713" w:sz="4" w:space="0"/>
                              <w:bottom w:val="single" w:color="221713" w:sz="4" w:space="0"/>
                              <w:right w:val="single" w:color="221713" w:sz="4" w:space="0"/>
                              <w:insideH w:val="single" w:color="221713" w:sz="4" w:space="0"/>
                              <w:insideV w:val="single" w:color="221713" w:sz="4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217" w:hRule="atLeast"/>
                          </w:trPr>
                          <w:tc>
                            <w:tcPr>
                              <w:tcW w:w="713" w:type="dxa"/>
                              <w:tcBorders>
                                <w:left w:val="single" w:color="221713" w:sz="6" w:space="0"/>
                                <w:bottom w:val="single" w:color="221713" w:sz="6" w:space="0"/>
                              </w:tcBorders>
                              <w:textDirection w:val="tbRlV"/>
                            </w:tcPr>
                            <w:p w14:paraId="6CB5CF8A">
                              <w:pPr>
                                <w:spacing w:before="179" w:line="187" w:lineRule="auto"/>
                                <w:ind w:left="253"/>
                                <w:rPr>
                                  <w:rFonts w:ascii="宋体" w:hAnsi="宋体" w:eastAsia="宋体" w:cs="宋体"/>
                                  <w:color w:val="231F20"/>
                                  <w:spacing w:val="-8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9367" w:type="dxa"/>
                              <w:tcBorders>
                                <w:bottom w:val="single" w:color="221713" w:sz="6" w:space="0"/>
                                <w:right w:val="single" w:color="221713" w:sz="6" w:space="0"/>
                              </w:tcBorders>
                            </w:tcPr>
                            <w:p w14:paraId="1AF437C6">
                              <w:pPr>
                                <w:pStyle w:val="7"/>
                                <w:rPr>
                                  <w:lang w:eastAsia="zh-CN"/>
                                </w:rPr>
                              </w:pPr>
                            </w:p>
                          </w:tc>
                        </w:tr>
                      </w:tbl>
                      <w:p w14:paraId="6AD390E7">
                        <w:pPr>
                          <w:rPr>
                            <w:lang w:eastAsia="zh-CN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复习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课时）</w:t>
            </w:r>
          </w:p>
        </w:tc>
      </w:tr>
      <w:tr w14:paraId="59584051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9" w:hRule="atLeast"/>
        </w:trPr>
        <w:tc>
          <w:tcPr>
            <w:tcW w:w="2020" w:type="dxa"/>
            <w:gridSpan w:val="2"/>
            <w:tcBorders>
              <w:left w:val="single" w:color="221713" w:sz="6" w:space="0"/>
            </w:tcBorders>
          </w:tcPr>
          <w:p w14:paraId="7087052F">
            <w:pPr>
              <w:pStyle w:val="7"/>
              <w:spacing w:line="369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397057FA">
            <w:pPr>
              <w:spacing w:before="119" w:line="190" w:lineRule="auto"/>
              <w:ind w:left="6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pacing w:val="32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学</w:t>
            </w:r>
          </w:p>
          <w:p w14:paraId="5D12527B">
            <w:pPr>
              <w:pStyle w:val="7"/>
              <w:spacing w:line="42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B51A460">
            <w:pPr>
              <w:spacing w:before="118" w:line="186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目</w:t>
            </w:r>
            <w:r>
              <w:rPr>
                <w:rFonts w:hint="eastAsia" w:ascii="宋体" w:hAnsi="宋体" w:eastAsia="宋体" w:cs="宋体"/>
                <w:color w:val="231F20"/>
                <w:spacing w:val="3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标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1E1AED95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掌握慢性肾小球肾炎病人的护理措施</w:t>
            </w:r>
          </w:p>
          <w:p w14:paraId="0558B4D7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熟悉慢性肾小球肾炎病人的辅助检查和常见护理诊断</w:t>
            </w:r>
          </w:p>
          <w:p w14:paraId="124C6655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了解慢性肾小球肾炎病人的护理评价</w:t>
            </w:r>
          </w:p>
        </w:tc>
      </w:tr>
      <w:tr w14:paraId="5AC7074A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026" w:type="dxa"/>
            <w:vMerge w:val="restart"/>
            <w:tcBorders>
              <w:left w:val="single" w:color="221713" w:sz="6" w:space="0"/>
              <w:bottom w:val="nil"/>
            </w:tcBorders>
            <w:textDirection w:val="tbRlV"/>
          </w:tcPr>
          <w:p w14:paraId="48953EFD">
            <w:pPr>
              <w:spacing w:before="352" w:line="186" w:lineRule="auto"/>
              <w:ind w:left="3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6"/>
                <w:sz w:val="24"/>
                <w:szCs w:val="24"/>
              </w:rPr>
              <w:t>教材分析</w:t>
            </w:r>
          </w:p>
        </w:tc>
        <w:tc>
          <w:tcPr>
            <w:tcW w:w="994" w:type="dxa"/>
          </w:tcPr>
          <w:p w14:paraId="1D3F4177">
            <w:pPr>
              <w:spacing w:before="184" w:line="187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重点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517F33CA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慢性肾小球肾炎病人护理措施</w:t>
            </w:r>
          </w:p>
        </w:tc>
      </w:tr>
      <w:tr w14:paraId="19C8BBB4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026" w:type="dxa"/>
            <w:vMerge w:val="continue"/>
            <w:tcBorders>
              <w:top w:val="nil"/>
              <w:left w:val="single" w:color="221713" w:sz="6" w:space="0"/>
              <w:bottom w:val="nil"/>
            </w:tcBorders>
            <w:textDirection w:val="tbRlV"/>
          </w:tcPr>
          <w:p w14:paraId="4F7CACF1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94" w:type="dxa"/>
          </w:tcPr>
          <w:p w14:paraId="15ECA3C3">
            <w:pPr>
              <w:spacing w:before="140" w:line="188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难点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1D63DE61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慢性肾小球肾炎病人常见护理诊断</w:t>
            </w:r>
          </w:p>
        </w:tc>
      </w:tr>
      <w:tr w14:paraId="1B4B58F3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026" w:type="dxa"/>
            <w:vMerge w:val="continue"/>
            <w:tcBorders>
              <w:top w:val="nil"/>
              <w:left w:val="single" w:color="221713" w:sz="6" w:space="0"/>
            </w:tcBorders>
            <w:textDirection w:val="tbRlV"/>
          </w:tcPr>
          <w:p w14:paraId="777CB3EA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94" w:type="dxa"/>
          </w:tcPr>
          <w:p w14:paraId="695B9C41">
            <w:pPr>
              <w:spacing w:before="141" w:line="186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教具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50A508E8">
            <w:pPr>
              <w:pStyle w:val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教案＋PPT</w:t>
            </w:r>
          </w:p>
        </w:tc>
      </w:tr>
      <w:tr w14:paraId="776D0AEA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5" w:hRule="atLeast"/>
        </w:trPr>
        <w:tc>
          <w:tcPr>
            <w:tcW w:w="1026" w:type="dxa"/>
            <w:tcBorders>
              <w:left w:val="single" w:color="221713" w:sz="6" w:space="0"/>
              <w:bottom w:val="single" w:color="221713" w:sz="6" w:space="0"/>
            </w:tcBorders>
            <w:textDirection w:val="tbRlV"/>
          </w:tcPr>
          <w:p w14:paraId="5CE4961F">
            <w:pPr>
              <w:spacing w:before="351" w:line="187" w:lineRule="auto"/>
              <w:ind w:left="25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学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过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程</w:t>
            </w:r>
          </w:p>
        </w:tc>
        <w:tc>
          <w:tcPr>
            <w:tcW w:w="9054" w:type="dxa"/>
            <w:gridSpan w:val="4"/>
            <w:tcBorders>
              <w:bottom w:val="single" w:color="221713" w:sz="6" w:space="0"/>
              <w:right w:val="single" w:color="221713" w:sz="6" w:space="0"/>
            </w:tcBorders>
          </w:tcPr>
          <w:p w14:paraId="7BFFC893">
            <w:pPr>
              <w:pStyle w:val="7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一、</w:t>
            </w:r>
            <w:r>
              <w:rPr>
                <w:rFonts w:hint="eastAsia" w:eastAsia="宋体"/>
                <w:b/>
                <w:bCs/>
                <w:lang w:eastAsia="zh-CN"/>
              </w:rPr>
              <w:t>安全教育：上下楼梯靠右走</w:t>
            </w:r>
          </w:p>
          <w:p w14:paraId="7E483247">
            <w:pPr>
              <w:pStyle w:val="7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二、复习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导入(5min)</w:t>
            </w:r>
          </w:p>
          <w:p w14:paraId="05AFC17D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重点掌握：1. 肾小球肾炎的病理变化【病理】</w:t>
            </w:r>
          </w:p>
          <w:p w14:paraId="53B32E82">
            <w:pPr>
              <w:pStyle w:val="7"/>
              <w:numPr>
                <w:ilvl w:val="0"/>
                <w:numId w:val="2"/>
              </w:numPr>
              <w:ind w:left="120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肾病综合征的临床表现【病理】</w:t>
            </w:r>
          </w:p>
          <w:p w14:paraId="1605663D">
            <w:pPr>
              <w:pStyle w:val="7"/>
              <w:numPr>
                <w:ilvl w:val="0"/>
                <w:numId w:val="2"/>
              </w:numPr>
              <w:ind w:left="120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慢性肾小球肾炎的临床表现</w:t>
            </w:r>
          </w:p>
          <w:p w14:paraId="53A19199">
            <w:pPr>
              <w:pStyle w:val="7"/>
              <w:numPr>
                <w:ilvl w:val="0"/>
                <w:numId w:val="2"/>
              </w:numPr>
              <w:ind w:left="120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慢性肾小球肾炎的饮食护理</w:t>
            </w:r>
          </w:p>
          <w:p w14:paraId="19E25412">
            <w:pPr>
              <w:pStyle w:val="7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课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堂呈现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min）</w:t>
            </w:r>
          </w:p>
          <w:p w14:paraId="1A61FACB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1、概述：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一组以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  <w:lang w:eastAsia="zh-CN"/>
              </w:rPr>
              <w:t>蛋白尿、血尿、水肿、高血压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（选择题）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为基本临床表现的肾小球疾病。</w:t>
            </w:r>
          </w:p>
          <w:p w14:paraId="54C67DF0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2、身体状况</w:t>
            </w:r>
          </w:p>
          <w:p w14:paraId="5355A604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①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水肿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多为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  <w:lang w:eastAsia="zh-CN"/>
              </w:rPr>
              <w:t>眼睑、颜面部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（选择题）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和/或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  <w:lang w:eastAsia="zh-CN"/>
              </w:rPr>
              <w:t>下肢轻、中度水肿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25A59C5B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②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血压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 xml:space="preserve">正常或轻度升高，部分以高血压为突出表现。     </w:t>
            </w:r>
          </w:p>
          <w:p w14:paraId="1B38216C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③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肾功能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随病情迁延进展，肾功能逐渐恶化，最后进展至慢性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肾衰竭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28F208CA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3、辅助检查</w:t>
            </w:r>
          </w:p>
          <w:p w14:paraId="473E724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4、治疗要点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-CN"/>
              </w:rPr>
              <w:t>（以简答题的形式背过）</w:t>
            </w:r>
          </w:p>
          <w:p w14:paraId="6D4031D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①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控制高血压和减少尿蛋白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首选血管紧张素转化酶抑制剂和血管紧张素Ⅱ受体阻滞剂。</w:t>
            </w:r>
          </w:p>
          <w:p w14:paraId="32828EB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rPr>
                <w:rFonts w:ascii="宋体" w:hAnsi="宋体" w:eastAsia="宋体" w:cs="宋体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②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限制蛋白质和磷的摄入量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肾功能不全病人采用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  <w:lang w:eastAsia="zh-CN"/>
              </w:rPr>
              <w:t>优质低蛋白、低磷饮食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eastAsia="zh-CN"/>
              </w:rPr>
              <w:t>（选择题）</w:t>
            </w:r>
          </w:p>
          <w:p w14:paraId="7AA840D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③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免疫抑制治疗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一般不主张积极应用。</w:t>
            </w:r>
          </w:p>
          <w:p w14:paraId="11A95F8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④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.避免加重肾脏损伤的因素   如感染、劳累、妊娠及肾毒性药物。</w:t>
            </w:r>
          </w:p>
          <w:p w14:paraId="65B5C14D">
            <w:pPr>
              <w:pStyle w:val="7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5、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yellow"/>
                <w:lang w:eastAsia="zh-CN"/>
              </w:rPr>
              <w:t>常见护理诊断（重点＋简答题考点）</w:t>
            </w:r>
          </w:p>
          <w:p w14:paraId="2F725AFF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①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 xml:space="preserve">体液过多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②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 xml:space="preserve">营养失调：低于机体需要量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③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 xml:space="preserve">焦虑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④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潜在并发症：慢性肾衰竭。</w:t>
            </w:r>
          </w:p>
          <w:p w14:paraId="2D454775">
            <w:pPr>
              <w:pStyle w:val="7"/>
              <w:ind w:left="210" w:leftChars="100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7244AB04"/>
    <w:sectPr>
      <w:headerReference r:id="rId3" w:type="default"/>
      <w:pgSz w:w="23982" w:h="16158"/>
      <w:pgMar w:top="400" w:right="1198" w:bottom="0" w:left="91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611D1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831C5"/>
    <w:multiLevelType w:val="singleLevel"/>
    <w:tmpl w:val="95A831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DF1984A"/>
    <w:multiLevelType w:val="singleLevel"/>
    <w:tmpl w:val="DDF1984A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20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4B4E9B"/>
    <w:rsid w:val="001440D6"/>
    <w:rsid w:val="00401D14"/>
    <w:rsid w:val="004B4E9B"/>
    <w:rsid w:val="0CD7229F"/>
    <w:rsid w:val="0EB2798B"/>
    <w:rsid w:val="1816671D"/>
    <w:rsid w:val="1D8C10F4"/>
    <w:rsid w:val="22A00258"/>
    <w:rsid w:val="2A474F68"/>
    <w:rsid w:val="2B95211A"/>
    <w:rsid w:val="2F4A10C8"/>
    <w:rsid w:val="484F6C6E"/>
    <w:rsid w:val="4A9A1B2E"/>
    <w:rsid w:val="4B3829D0"/>
    <w:rsid w:val="4F2E22BE"/>
    <w:rsid w:val="50212524"/>
    <w:rsid w:val="52A872C9"/>
    <w:rsid w:val="540A4C8C"/>
    <w:rsid w:val="54263EB9"/>
    <w:rsid w:val="55F27611"/>
    <w:rsid w:val="58672FCD"/>
    <w:rsid w:val="5CF42548"/>
    <w:rsid w:val="5F260B4C"/>
    <w:rsid w:val="611B29E2"/>
    <w:rsid w:val="634A79B2"/>
    <w:rsid w:val="68150768"/>
    <w:rsid w:val="691C1682"/>
    <w:rsid w:val="6CA41811"/>
    <w:rsid w:val="7463285B"/>
    <w:rsid w:val="759F0D3A"/>
    <w:rsid w:val="776B73E5"/>
    <w:rsid w:val="7A9A50F9"/>
    <w:rsid w:val="7AA8721A"/>
    <w:rsid w:val="7C094713"/>
    <w:rsid w:val="7D7A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9"/>
      <w:szCs w:val="29"/>
    </w:rPr>
  </w:style>
  <w:style w:type="paragraph" w:styleId="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</w:style>
  <w:style w:type="paragraph" w:customStyle="1" w:styleId="8">
    <w:name w:val="列表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578</Characters>
  <Lines>6</Lines>
  <Paragraphs>1</Paragraphs>
  <TotalTime>6</TotalTime>
  <ScaleCrop>false</ScaleCrop>
  <LinksUpToDate>false</LinksUpToDate>
  <CharactersWithSpaces>687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2024-08-21T01:34:00Z</dcterms:created>
  <dc:creator>Data</dc:creator>
  <cp:lastModifiedBy>coisíní#</cp:lastModifiedBy>
  <dcterms:modified xsi:type="dcterms:W3CDTF">2026-01-06T05:37:35Z</dcterms:modified>
  <dc:title>备课本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2025-02-18T17:13:52Z</vt:filetime>
  </property>
  <property fmtid="{D5CDD505-2E9C-101B-9397-08002B2CF9AE}" pid="4" name="KSOProductBuildVer">
    <vt:lpwstr>2052-12.1.0.24034</vt:lpwstr>
  </property>
  <property fmtid="{D5CDD505-2E9C-101B-9397-08002B2CF9AE}" pid="5" name="ICV">
    <vt:lpwstr>20C77074BB774943BFDE0377C201108B_13</vt:lpwstr>
  </property>
  <property fmtid="{D5CDD505-2E9C-101B-9397-08002B2CF9AE}" pid="6" name="KSOTemplateDocerSaveRecord">
    <vt:lpwstr>eyJoZGlkIjoiNmVkMTQ1YzA2MmMyNzM4YjJmYTM0MDQxZDI4MjMzMjIiLCJ1c2VySWQiOiI2Nzg3OTE5MTMifQ==</vt:lpwstr>
  </property>
</Properties>
</file>