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C994C">
      <w:pPr>
        <w:pStyle w:val="2"/>
        <w:spacing w:before="155" w:line="217" w:lineRule="auto"/>
        <w:ind w:firstLine="240" w:firstLineChars="100"/>
        <w:outlineLvl w:val="0"/>
        <w:rPr>
          <w:rFonts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7483475</wp:posOffset>
                </wp:positionH>
                <wp:positionV relativeFrom="paragraph">
                  <wp:posOffset>214630</wp:posOffset>
                </wp:positionV>
                <wp:extent cx="6436360" cy="9852660"/>
                <wp:effectExtent l="0" t="1905" r="0" b="381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6360" cy="9852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34364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11"/>
                              <w:tblW w:w="10080" w:type="dxa"/>
                              <w:tblInd w:w="27" w:type="dxa"/>
                              <w:tblBorders>
                                <w:top w:val="single" w:color="221713" w:sz="4" w:space="0"/>
                                <w:left w:val="single" w:color="221713" w:sz="4" w:space="0"/>
                                <w:bottom w:val="single" w:color="221713" w:sz="4" w:space="0"/>
                                <w:right w:val="single" w:color="221713" w:sz="4" w:space="0"/>
                                <w:insideH w:val="single" w:color="221713" w:sz="4" w:space="0"/>
                                <w:insideV w:val="single" w:color="221713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726"/>
                              <w:gridCol w:w="9354"/>
                            </w:tblGrid>
                            <w:tr w14:paraId="55EC72C0">
                              <w:tblPrEx>
                                <w:tblBorders>
                                  <w:top w:val="single" w:color="221713" w:sz="4" w:space="0"/>
                                  <w:left w:val="single" w:color="221713" w:sz="4" w:space="0"/>
                                  <w:bottom w:val="single" w:color="221713" w:sz="4" w:space="0"/>
                                  <w:right w:val="single" w:color="221713" w:sz="4" w:space="0"/>
                                  <w:insideH w:val="single" w:color="221713" w:sz="4" w:space="0"/>
                                  <w:insideV w:val="single" w:color="221713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885" w:hRule="atLeast"/>
                              </w:trPr>
                              <w:tc>
                                <w:tcPr>
                                  <w:tcW w:w="726" w:type="dxa"/>
                                  <w:tcBorders>
                                    <w:top w:val="single" w:color="221713" w:sz="6" w:space="0"/>
                                    <w:left w:val="single" w:color="221713" w:sz="6" w:space="0"/>
                                  </w:tcBorders>
                                  <w:textDirection w:val="tbRlV"/>
                                </w:tcPr>
                                <w:p w14:paraId="1839AA39">
                                  <w:pPr>
                                    <w:spacing w:before="169" w:line="187" w:lineRule="auto"/>
                                    <w:ind w:left="2531"/>
                                    <w:rPr>
                                      <w:rFonts w:ascii="宋体" w:hAnsi="宋体" w:eastAsia="宋体" w:cs="宋体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教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z w:val="24"/>
                                      <w:szCs w:val="24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学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1"/>
                                      <w:sz w:val="24"/>
                                      <w:szCs w:val="24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过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3"/>
                                      <w:sz w:val="24"/>
                                      <w:szCs w:val="24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程</w:t>
                                  </w:r>
                                </w:p>
                              </w:tc>
                              <w:tc>
                                <w:tcPr>
                                  <w:tcW w:w="9354" w:type="dxa"/>
                                  <w:tcBorders>
                                    <w:top w:val="single" w:color="221713" w:sz="6" w:space="0"/>
                                    <w:right w:val="single" w:color="221713" w:sz="6" w:space="0"/>
                                  </w:tcBorders>
                                </w:tcPr>
                                <w:p w14:paraId="782E7D41">
                                  <w:pPr>
                                    <w:rPr>
                                      <w:rFonts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cs="Times New Roman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、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止血：在补充血容量的同时，对有活动性出血的病人，应迅速控制出血。可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24"/>
                                      <w:lang w:eastAsia="zh-CN"/>
                                    </w:rPr>
                                    <w:t>先采用非手术止血方法，如止血带，三腔双囊管压迫，纤维内镜止血等。若出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血迅速、量大，难以用非手术方法止血，应积极作手术准备，及早实施手术止血。</w:t>
                                  </w:r>
                                </w:p>
                                <w:p w14:paraId="5A7856EE">
                                  <w:pPr>
                                    <w:pStyle w:val="18"/>
                                    <w:spacing w:line="240" w:lineRule="auto"/>
                                    <w:rPr>
                                      <w:rFonts w:asciiTheme="minorEastAsia" w:hAnsiTheme="minorEastAsia" w:eastAsiaTheme="minor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 w:asciiTheme="minorEastAsia" w:hAnsiTheme="minorEastAsia" w:eastAsiaTheme="minorEastAsia"/>
                                      <w:color w:val="000000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color w:val="000000"/>
                                      <w:sz w:val="24"/>
                                      <w:szCs w:val="24"/>
                                    </w:rPr>
                                    <w:t>、补液是纠正失血性休克的重要保证。补液的种类和速度是纠正休克的关键。应迅速建立两条以上的静脉通路，快速补充平衡盐溶液，改善组织灌注。</w:t>
                                  </w:r>
                                </w:p>
                                <w:p w14:paraId="1EAC46E6">
                                  <w:pPr>
                                    <w:pStyle w:val="12"/>
                                    <w:rPr>
                                      <w:rFonts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>第二课时（30min</w:t>
                                  </w:r>
                                  <w:r>
                                    <w:rPr>
                                      <w:rFonts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>）</w:t>
                                  </w:r>
                                </w:p>
                                <w:p w14:paraId="240D465E">
                                  <w:pPr>
                                    <w:jc w:val="center"/>
                                    <w:rPr>
                                      <w:rFonts w:asciiTheme="minorEastAsia" w:hAnsiTheme="minorEastAsia" w:eastAsiaTheme="minorEastAsia"/>
                                      <w:b/>
                                      <w:bCs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b/>
                                      <w:bCs/>
                                      <w:sz w:val="24"/>
                                      <w:szCs w:val="24"/>
                                      <w:lang w:eastAsia="zh-CN"/>
                                    </w:rPr>
                                    <w:t>第三节感染性休克病人的护理</w:t>
                                  </w:r>
                                </w:p>
                                <w:p w14:paraId="636CEADB">
                                  <w:pPr>
                                    <w:rPr>
                                      <w:rFonts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一、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color w:val="FF0000"/>
                                      <w:sz w:val="24"/>
                                      <w:szCs w:val="24"/>
                                      <w:lang w:eastAsia="zh-CN"/>
                                    </w:rPr>
                                    <w:t>感染性休克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：病原微生物及其毒素在人体内引起的一种微循环障碍，导致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br w:type="textWrapping"/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组织缺氧、代谢紊乱和细胞损害（外科常见）；</w:t>
                                  </w:r>
                                </w:p>
                                <w:p w14:paraId="7F1FA30A">
                                  <w:pPr>
                                    <w:rPr>
                                      <w:rFonts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二、病因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胆道化脓性感染、急性化脓性腹膜炎、泌尿系统感染等；（重要）</w:t>
                                  </w:r>
                                </w:p>
                                <w:p w14:paraId="461A1686">
                                  <w:pPr>
                                    <w:rPr>
                                      <w:rFonts w:hint="eastAsia" w:cs="宋体" w:asciiTheme="minorEastAsia" w:hAnsiTheme="minorEastAsia" w:eastAsiaTheme="minorEastAsia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三、处理原则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纠正休克与控制感染并重（抗休克首位）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highlight w:val="yellow"/>
                                      <w:lang w:eastAsia="zh-CN"/>
                                    </w:rPr>
                                    <w:t>(重点！！！！)</w:t>
                                  </w:r>
                                </w:p>
                                <w:p w14:paraId="12270C55">
                                  <w:pPr>
                                    <w:rPr>
                                      <w:rFonts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.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补充血容量</w:t>
                                  </w:r>
                                </w:p>
                                <w:p w14:paraId="286189FA">
                                  <w:pPr>
                                    <w:rPr>
                                      <w:rFonts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.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控制感染</w:t>
                                  </w:r>
                                </w:p>
                                <w:p w14:paraId="721282F3">
                                  <w:pPr>
                                    <w:rPr>
                                      <w:rFonts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cs="Times New Roman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 w:cs="Times New Roman" w:asciiTheme="minorEastAsia" w:hAnsiTheme="minor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.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纠正酸碱平衡失调</w:t>
                                  </w:r>
                                </w:p>
                                <w:p w14:paraId="2B397628">
                                  <w:pPr>
                                    <w:rPr>
                                      <w:rFonts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cs="Times New Roman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eastAsia" w:cs="Times New Roman" w:asciiTheme="minorEastAsia" w:hAnsiTheme="minor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.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应用血管活性药</w:t>
                                  </w:r>
                                </w:p>
                                <w:p w14:paraId="6F7F854B">
                                  <w:pPr>
                                    <w:rPr>
                                      <w:rFonts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5.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应用糖皮质类固醇</w:t>
                                  </w:r>
                                </w:p>
                                <w:p w14:paraId="52748C84">
                                  <w:pPr>
                                    <w:rPr>
                                      <w:rFonts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6.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其他</w:t>
                                  </w:r>
                                </w:p>
                                <w:p w14:paraId="72E9DCB8">
                                  <w:pPr>
                                    <w:pStyle w:val="12"/>
                                    <w:rPr>
                                      <w:rFonts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>三、巩固练习（</w:t>
                                  </w:r>
                                  <w:r>
                                    <w:rPr>
                                      <w:rFonts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>5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>min</w:t>
                                  </w:r>
                                  <w:r>
                                    <w:rPr>
                                      <w:rFonts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>）</w:t>
                                  </w:r>
                                </w:p>
                                <w:p w14:paraId="05DB3CBB">
                                  <w:pPr>
                                    <w:pStyle w:val="12"/>
                                    <w:rPr>
                                      <w:rFonts w:asciiTheme="minorEastAsia" w:hAnsiTheme="minorEastAsia" w:eastAsiaTheme="minorEastAsia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Style w:val="9"/>
                                      <w:rFonts w:hint="eastAsia" w:asciiTheme="minorEastAsia" w:hAnsiTheme="minorEastAsia" w:eastAsiaTheme="minorEastAsia"/>
                                      <w:b w:val="0"/>
                                      <w:bCs w:val="0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  <w:lang w:eastAsia="zh-CN"/>
                                    </w:rPr>
                                    <w:t>1</w:t>
                                  </w:r>
                                  <w:r>
                                    <w:rPr>
                                      <w:rStyle w:val="9"/>
                                      <w:rFonts w:asciiTheme="minorEastAsia" w:hAnsiTheme="minorEastAsia" w:eastAsiaTheme="minorEastAsia"/>
                                      <w:b w:val="0"/>
                                      <w:bCs w:val="0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  <w:lang w:eastAsia="zh-CN"/>
                                    </w:rPr>
                                    <w:t>.</w:t>
                                  </w:r>
                                  <w:r>
                                    <w:rPr>
                                      <w:rStyle w:val="9"/>
                                      <w:rFonts w:hint="eastAsia" w:asciiTheme="minorEastAsia" w:hAnsiTheme="minorEastAsia" w:eastAsiaTheme="minorEastAsia"/>
                                      <w:b w:val="0"/>
                                      <w:bCs w:val="0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  <w:lang w:eastAsia="zh-CN"/>
                                    </w:rPr>
                                    <w:t>休克患者应采取的正确体位是？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br w:type="textWrapping"/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  <w:lang w:eastAsia="zh-CN"/>
                                    </w:rPr>
                                    <w:t>A.平卧位B. 半坐卧位C.头和躯干抬高20°～30°，下肢抬高15°～20°D.头低足高位</w:t>
                                  </w:r>
                                </w:p>
                                <w:p w14:paraId="182B8606">
                                  <w:pPr>
                                    <w:pStyle w:val="12"/>
                                    <w:rPr>
                                      <w:rFonts w:asciiTheme="minorEastAsia" w:hAnsiTheme="minorEastAsia" w:eastAsiaTheme="minorEastAsia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Style w:val="9"/>
                                      <w:rFonts w:hint="eastAsia" w:asciiTheme="minorEastAsia" w:hAnsiTheme="minorEastAsia" w:eastAsiaTheme="minorEastAsia"/>
                                      <w:b w:val="0"/>
                                      <w:bCs w:val="0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  <w:lang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Style w:val="9"/>
                                      <w:rFonts w:asciiTheme="minorEastAsia" w:hAnsiTheme="minorEastAsia" w:eastAsiaTheme="minorEastAsia"/>
                                      <w:b w:val="0"/>
                                      <w:bCs w:val="0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  <w:lang w:eastAsia="zh-CN"/>
                                    </w:rPr>
                                    <w:t>.</w:t>
                                  </w:r>
                                  <w:r>
                                    <w:rPr>
                                      <w:rStyle w:val="9"/>
                                      <w:rFonts w:hint="eastAsia" w:asciiTheme="minorEastAsia" w:hAnsiTheme="minorEastAsia" w:eastAsiaTheme="minorEastAsia"/>
                                      <w:b w:val="0"/>
                                      <w:bCs w:val="0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  <w:lang w:eastAsia="zh-CN"/>
                                    </w:rPr>
                                    <w:t>休克患者的补液原则是？</w:t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br w:type="textWrapping"/>
                                  </w: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  <w:lang w:eastAsia="zh-CN"/>
                                    </w:rPr>
                                    <w:t>A.先盐后糖B.先晶后胶C.先快后慢D.先胶后晶</w:t>
                                  </w:r>
                                </w:p>
                                <w:p w14:paraId="06B2D031">
                                  <w:pPr>
                                    <w:pStyle w:val="12"/>
                                    <w:rPr>
                                      <w:rFonts w:hint="eastAsia" w:cs="Arial" w:asciiTheme="minorEastAsia" w:hAnsiTheme="minorEastAsia" w:eastAsiaTheme="minorEastAsia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cs="Arial" w:asciiTheme="minorEastAsia" w:hAnsiTheme="minorEastAsia" w:eastAsiaTheme="minorEastAsia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  <w:lang w:eastAsia="zh-CN"/>
                                    </w:rPr>
                                    <w:t>3.反映休克患者组织灌注最有效的指标是？</w:t>
                                  </w:r>
                                  <w:r>
                                    <w:rPr>
                                      <w:rFonts w:hint="eastAsia" w:cs="Arial" w:asciiTheme="minorEastAsia" w:hAnsiTheme="minorEastAsia" w:eastAsiaTheme="minorEastAsia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  <w:lang w:eastAsia="zh-CN"/>
                                    </w:rPr>
                                    <w:br w:type="textWrapping"/>
                                  </w:r>
                                  <w:r>
                                    <w:rPr>
                                      <w:rFonts w:hint="eastAsia" w:cs="Arial" w:asciiTheme="minorEastAsia" w:hAnsiTheme="minorEastAsia" w:eastAsiaTheme="minorEastAsia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  <w:lang w:eastAsia="zh-CN"/>
                                    </w:rPr>
                                    <w:t>A. 血压B. 脉搏C. 尿量D. 神志</w:t>
                                  </w:r>
                                </w:p>
                                <w:p w14:paraId="29F423F8">
                                  <w:pPr>
                                    <w:pStyle w:val="12"/>
                                    <w:rPr>
                                      <w:rFonts w:cs="宋体"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>四、课堂小结（</w:t>
                                  </w:r>
                                  <w:r>
                                    <w:rPr>
                                      <w:rFonts w:cs="宋体"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>min</w:t>
                                  </w:r>
                                  <w:r>
                                    <w:rPr>
                                      <w:rFonts w:cs="宋体"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>）</w:t>
                                  </w:r>
                                </w:p>
                                <w:p w14:paraId="56AC7B20">
                                  <w:pPr>
                                    <w:pStyle w:val="12"/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 w:val="0"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 w:val="0"/>
                                    <w:snapToGrid w:val="0"/>
                                    <w:ind w:firstLine="480" w:firstLineChars="200"/>
                                    <w:textAlignment w:val="baseline"/>
                                    <w:rPr>
                                      <w:rFonts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  <w:t>按照休克的发病过程，将休克分为休克代偿期、休克抑制期，又称休克早期或休克期；主要表现在神志、生命体征、皮肤黏膜、尿量等方面的改变；晚期病人可出现皮肤瘀斑、呕血、便血等广泛出血及多器官功能障碍综合征（MODS）等表现。</w:t>
                                  </w:r>
                                </w:p>
                                <w:p w14:paraId="744D4136">
                                  <w:pPr>
                                    <w:pStyle w:val="12"/>
                                    <w:rPr>
                                      <w:rFonts w:cs="宋体"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Theme="minorEastAsia"/>
                                      <w:b/>
                                      <w:bCs/>
                                      <w:sz w:val="20"/>
                                      <w:lang w:eastAsia="zh-CN"/>
                                    </w:rPr>
                                    <w:t>五、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>课后作业(</w:t>
                                  </w:r>
                                  <w:r>
                                    <w:rPr>
                                      <w:rFonts w:cs="宋体"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>2min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>)</w:t>
                                  </w:r>
                                </w:p>
                                <w:p w14:paraId="351D5F29">
                                  <w:pPr>
                                    <w:pStyle w:val="12"/>
                                    <w:rPr>
                                      <w:rFonts w:eastAsiaTheme="minorEastAsia"/>
                                      <w:bCs/>
                                      <w:sz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bCs/>
                                      <w:sz w:val="24"/>
                                      <w:szCs w:val="24"/>
                                      <w:lang w:eastAsia="zh-CN"/>
                                    </w:rPr>
                                    <w:t>整理课堂笔记，完成课后练习题</w:t>
                                  </w:r>
                                </w:p>
                              </w:tc>
                            </w:tr>
                            <w:tr w14:paraId="6F236EBB">
                              <w:tblPrEx>
                                <w:tblBorders>
                                  <w:top w:val="single" w:color="221713" w:sz="4" w:space="0"/>
                                  <w:left w:val="single" w:color="221713" w:sz="4" w:space="0"/>
                                  <w:bottom w:val="single" w:color="221713" w:sz="4" w:space="0"/>
                                  <w:right w:val="single" w:color="221713" w:sz="4" w:space="0"/>
                                  <w:insideH w:val="single" w:color="221713" w:sz="4" w:space="0"/>
                                  <w:insideV w:val="single" w:color="221713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69" w:hRule="atLeast"/>
                              </w:trPr>
                              <w:tc>
                                <w:tcPr>
                                  <w:tcW w:w="726" w:type="dxa"/>
                                  <w:tcBorders>
                                    <w:left w:val="single" w:color="221713" w:sz="6" w:space="0"/>
                                  </w:tcBorders>
                                  <w:textDirection w:val="tbRlV"/>
                                </w:tcPr>
                                <w:p w14:paraId="274FC195">
                                  <w:pPr>
                                    <w:spacing w:before="168" w:line="186" w:lineRule="auto"/>
                                    <w:ind w:left="571"/>
                                    <w:rPr>
                                      <w:rFonts w:ascii="宋体" w:hAnsi="宋体" w:eastAsia="宋体" w:cs="宋体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板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15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书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19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设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15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计</w:t>
                                  </w:r>
                                </w:p>
                              </w:tc>
                              <w:tc>
                                <w:tcPr>
                                  <w:tcW w:w="9354" w:type="dxa"/>
                                  <w:tcBorders>
                                    <w:right w:val="single" w:color="221713" w:sz="6" w:space="0"/>
                                  </w:tcBorders>
                                </w:tcPr>
                                <w:p w14:paraId="310DE17E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kinsoku/>
                                    <w:autoSpaceDE/>
                                    <w:autoSpaceDN/>
                                    <w:adjustRightInd/>
                                    <w:snapToGrid/>
                                    <w:spacing w:after="75" w:line="360" w:lineRule="atLeast"/>
                                    <w:ind w:left="0"/>
                                    <w:textAlignment w:val="auto"/>
                                    <w:rPr>
                                      <w:rFonts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1</w:t>
                                  </w:r>
                                  <w:r>
                                    <w:rPr>
                                      <w:rFonts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.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定义：有效循环血量锐减→组织灌注不足→细胞代谢紊乱→器官功能障碍</w:t>
                                  </w:r>
                                </w:p>
                                <w:p w14:paraId="4DBE2BD7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kinsoku/>
                                    <w:autoSpaceDE/>
                                    <w:autoSpaceDN/>
                                    <w:adjustRightInd/>
                                    <w:snapToGrid/>
                                    <w:spacing w:after="75" w:line="360" w:lineRule="atLeast"/>
                                    <w:ind w:left="0"/>
                                    <w:textAlignment w:val="auto"/>
                                    <w:rPr>
                                      <w:rFonts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2.分类：低血容量性（失血、创伤）休克、感染性休克</w:t>
                                  </w:r>
                                </w:p>
                                <w:p w14:paraId="65C47710">
                                  <w:pPr>
                                    <w:numPr>
                                      <w:ilvl w:val="1"/>
                                      <w:numId w:val="1"/>
                                    </w:numPr>
                                    <w:kinsoku/>
                                    <w:autoSpaceDE/>
                                    <w:autoSpaceDN/>
                                    <w:adjustRightInd/>
                                    <w:snapToGrid/>
                                    <w:spacing w:after="75" w:line="360" w:lineRule="atLeast"/>
                                    <w:ind w:left="0"/>
                                    <w:textAlignment w:val="auto"/>
                                    <w:rPr>
                                      <w:rFonts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.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病情监测：生命体征（BP、HR、尿量）、血乳酸（＞4mmol/L需警惕）</w:t>
                                  </w:r>
                                </w:p>
                                <w:p w14:paraId="339A4B7E">
                                  <w:pPr>
                                    <w:numPr>
                                      <w:ilvl w:val="1"/>
                                      <w:numId w:val="1"/>
                                    </w:numPr>
                                    <w:kinsoku/>
                                    <w:autoSpaceDE/>
                                    <w:autoSpaceDN/>
                                    <w:adjustRightInd/>
                                    <w:snapToGrid/>
                                    <w:spacing w:after="75" w:line="360" w:lineRule="atLeast"/>
                                    <w:ind w:left="0"/>
                                    <w:textAlignment w:val="auto"/>
                                    <w:rPr>
                                      <w:rFonts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4.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急救：ABC原则（气道通畅→高流量吸氧→补液扩容）</w:t>
                                  </w:r>
                                </w:p>
                                <w:p w14:paraId="26A03D59">
                                  <w:pPr>
                                    <w:numPr>
                                      <w:ilvl w:val="1"/>
                                      <w:numId w:val="1"/>
                                    </w:numPr>
                                    <w:kinsoku/>
                                    <w:autoSpaceDE/>
                                    <w:autoSpaceDN/>
                                    <w:adjustRightInd/>
                                    <w:snapToGrid/>
                                    <w:spacing w:after="75" w:line="360" w:lineRule="atLeast"/>
                                    <w:ind w:left="0"/>
                                    <w:textAlignment w:val="auto"/>
                                    <w:rPr>
                                      <w:rFonts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5</w:t>
                                  </w:r>
                                  <w:r>
                                    <w:rPr>
                                      <w:rFonts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.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治疗配合：晶体液快速输注、血管活性药物（多巴胺）、抗感染</w:t>
                                  </w:r>
                                </w:p>
                                <w:p w14:paraId="6B4501B0">
                                  <w:pPr>
                                    <w:numPr>
                                      <w:ilvl w:val="1"/>
                                      <w:numId w:val="1"/>
                                    </w:numPr>
                                    <w:kinsoku/>
                                    <w:autoSpaceDE/>
                                    <w:autoSpaceDN/>
                                    <w:adjustRightInd/>
                                    <w:snapToGrid/>
                                    <w:spacing w:line="360" w:lineRule="atLeast"/>
                                    <w:ind w:left="0"/>
                                    <w:textAlignment w:val="auto"/>
                                    <w:rPr>
                                      <w:rFonts w:ascii="微软雅黑" w:hAnsi="微软雅黑" w:eastAsia="微软雅黑" w:cs="宋体"/>
                                      <w:snapToGrid/>
                                      <w:color w:val="1F1F1F"/>
                                      <w:sz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6</w:t>
                                  </w:r>
                                  <w:r>
                                    <w:rPr>
                                      <w:rFonts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.</w:t>
                                  </w: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snapToGrid/>
                                      <w:color w:val="1F1F1F"/>
                                      <w:sz w:val="24"/>
                                      <w:szCs w:val="24"/>
                                      <w:lang w:eastAsia="zh-CN"/>
                                    </w:rPr>
                                    <w:t>基础护理：休克体位、保暖（禁用热水袋）、防并发症（MODS、肾损伤）</w:t>
                                  </w:r>
                                </w:p>
                              </w:tc>
                            </w:tr>
                            <w:tr w14:paraId="25369D2A">
                              <w:tblPrEx>
                                <w:tblBorders>
                                  <w:top w:val="single" w:color="221713" w:sz="4" w:space="0"/>
                                  <w:left w:val="single" w:color="221713" w:sz="4" w:space="0"/>
                                  <w:bottom w:val="single" w:color="221713" w:sz="4" w:space="0"/>
                                  <w:right w:val="single" w:color="221713" w:sz="4" w:space="0"/>
                                  <w:insideH w:val="single" w:color="221713" w:sz="4" w:space="0"/>
                                  <w:insideV w:val="single" w:color="221713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680" w:hRule="atLeast"/>
                              </w:trPr>
                              <w:tc>
                                <w:tcPr>
                                  <w:tcW w:w="726" w:type="dxa"/>
                                  <w:tcBorders>
                                    <w:left w:val="single" w:color="221713" w:sz="6" w:space="0"/>
                                    <w:bottom w:val="single" w:color="221713" w:sz="6" w:space="0"/>
                                  </w:tcBorders>
                                  <w:textDirection w:val="tbRlV"/>
                                </w:tcPr>
                                <w:p w14:paraId="70F39C78">
                                  <w:pPr>
                                    <w:spacing w:before="179" w:line="187" w:lineRule="auto"/>
                                    <w:ind w:left="253"/>
                                    <w:rPr>
                                      <w:rFonts w:ascii="宋体" w:hAnsi="宋体" w:eastAsia="宋体" w:cs="宋体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教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1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学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1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后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17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记</w:t>
                                  </w:r>
                                </w:p>
                              </w:tc>
                              <w:tc>
                                <w:tcPr>
                                  <w:tcW w:w="9354" w:type="dxa"/>
                                  <w:tcBorders>
                                    <w:bottom w:val="single" w:color="221713" w:sz="6" w:space="0"/>
                                    <w:right w:val="single" w:color="221713" w:sz="6" w:space="0"/>
                                  </w:tcBorders>
                                </w:tcPr>
                                <w:p w14:paraId="731A16BD">
                                  <w:pPr>
                                    <w:pStyle w:val="12"/>
                                    <w:rPr>
                                      <w:rFonts w:hint="default" w:cs="宋体" w:asciiTheme="minorEastAsia" w:hAnsiTheme="minorEastAsia" w:eastAsiaTheme="minorEastAsia"/>
                                      <w:b/>
                                      <w:bCs/>
                                      <w:snapToGrid/>
                                      <w:color w:val="1F1F1F"/>
                                      <w:kern w:val="0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eastAsia" w:cs="宋体" w:asciiTheme="minorEastAsia" w:hAnsiTheme="minorEastAsia" w:eastAsiaTheme="minorEastAsia"/>
                                      <w:b/>
                                      <w:bCs/>
                                      <w:snapToGrid/>
                                      <w:color w:val="1F1F1F"/>
                                      <w:kern w:val="0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w:t>安全教育：上下楼梯不追逐打闹，过马路行人靠右行走</w:t>
                                  </w:r>
                                </w:p>
                                <w:p w14:paraId="5FA6DFAA">
                                  <w:pPr>
                                    <w:pStyle w:val="12"/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</w:p>
                                <w:p w14:paraId="4B7BEFBC">
                                  <w:pPr>
                                    <w:pStyle w:val="12"/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</w:p>
                                <w:p w14:paraId="08B86E97">
                                  <w:pPr>
                                    <w:pStyle w:val="12"/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</w:p>
                                <w:p w14:paraId="71CBFF92">
                                  <w:pPr>
                                    <w:pStyle w:val="12"/>
                                    <w:rPr>
                                      <w:rFonts w:hint="eastAsia"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</w:p>
                                <w:p w14:paraId="75A4921F">
                                  <w:pPr>
                                    <w:pStyle w:val="12"/>
                                    <w:rPr>
                                      <w:rFonts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1265793F"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589.25pt;margin-top:16.9pt;height:775.8pt;width:506.8pt;z-index:251659264;mso-width-relative:page;mso-height-relative:page;" filled="f" stroked="f" coordsize="21600,21600" o:gfxdata="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rqWhnbAAAADQEAAA8AAAAAAAAAAQAgAAAAIgAAAGRycy9kb3du&#10;cmV2LnhtbFBLAQIUABQAAAAIAIdO4kB1MzqM/AEAAAUEAAAOAAAAAAAAAAEAIAAAACo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E334364">
                      <w:pPr>
                        <w:spacing w:line="20" w:lineRule="exact"/>
                      </w:pPr>
                    </w:p>
                    <w:tbl>
                      <w:tblPr>
                        <w:tblStyle w:val="11"/>
                        <w:tblW w:w="10080" w:type="dxa"/>
                        <w:tblInd w:w="27" w:type="dxa"/>
                        <w:tblBorders>
                          <w:top w:val="single" w:color="221713" w:sz="4" w:space="0"/>
                          <w:left w:val="single" w:color="221713" w:sz="4" w:space="0"/>
                          <w:bottom w:val="single" w:color="221713" w:sz="4" w:space="0"/>
                          <w:right w:val="single" w:color="221713" w:sz="4" w:space="0"/>
                          <w:insideH w:val="single" w:color="221713" w:sz="4" w:space="0"/>
                          <w:insideV w:val="single" w:color="221713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726"/>
                        <w:gridCol w:w="9354"/>
                      </w:tblGrid>
                      <w:tr w14:paraId="55EC72C0">
                        <w:tblPrEx>
                          <w:tblBorders>
                            <w:top w:val="single" w:color="221713" w:sz="4" w:space="0"/>
                            <w:left w:val="single" w:color="221713" w:sz="4" w:space="0"/>
                            <w:bottom w:val="single" w:color="221713" w:sz="4" w:space="0"/>
                            <w:right w:val="single" w:color="221713" w:sz="4" w:space="0"/>
                            <w:insideH w:val="single" w:color="221713" w:sz="4" w:space="0"/>
                            <w:insideV w:val="single" w:color="221713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885" w:hRule="atLeast"/>
                        </w:trPr>
                        <w:tc>
                          <w:tcPr>
                            <w:tcW w:w="726" w:type="dxa"/>
                            <w:tcBorders>
                              <w:top w:val="single" w:color="221713" w:sz="6" w:space="0"/>
                              <w:left w:val="single" w:color="221713" w:sz="6" w:space="0"/>
                            </w:tcBorders>
                            <w:textDirection w:val="tbRlV"/>
                          </w:tcPr>
                          <w:p w14:paraId="1839AA39">
                            <w:pPr>
                              <w:spacing w:before="169" w:line="187" w:lineRule="auto"/>
                              <w:ind w:left="2531"/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教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学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1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过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3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程</w:t>
                            </w:r>
                          </w:p>
                        </w:tc>
                        <w:tc>
                          <w:tcPr>
                            <w:tcW w:w="9354" w:type="dxa"/>
                            <w:tcBorders>
                              <w:top w:val="single" w:color="221713" w:sz="6" w:space="0"/>
                              <w:right w:val="single" w:color="221713" w:sz="6" w:space="0"/>
                            </w:tcBorders>
                          </w:tcPr>
                          <w:p w14:paraId="782E7D41">
                            <w:pPr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cs="Times New Roman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止血：在补充血容量的同时，对有活动性出血的病人，应迅速控制出血。可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eastAsia="zh-CN"/>
                              </w:rPr>
                              <w:t>先采用非手术止血方法，如止血带，三腔双囊管压迫，纤维内镜止血等。若出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血迅速、量大，难以用非手术方法止血，应积极作手术准备，及早实施手术止血。</w:t>
                            </w:r>
                          </w:p>
                          <w:p w14:paraId="5A7856EE">
                            <w:pPr>
                              <w:pStyle w:val="18"/>
                              <w:spacing w:line="240" w:lineRule="auto"/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Theme="minorEastAsia" w:hAnsiTheme="minorEastAsia" w:eastAsiaTheme="minorEastAsia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000000"/>
                                <w:sz w:val="24"/>
                                <w:szCs w:val="24"/>
                              </w:rPr>
                              <w:t>、补液是纠正失血性休克的重要保证。补液的种类和速度是纠正休克的关键。应迅速建立两条以上的静脉通路，快速补充平衡盐溶液，改善组织灌注。</w:t>
                            </w:r>
                          </w:p>
                          <w:p w14:paraId="1EAC46E6">
                            <w:pPr>
                              <w:pStyle w:val="12"/>
                              <w:rPr>
                                <w:rFonts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>第二课时（30min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</w:p>
                          <w:p w14:paraId="240D465E">
                            <w:pPr>
                              <w:jc w:val="center"/>
                              <w:rPr>
                                <w:rFonts w:asciiTheme="minorEastAsia" w:hAnsiTheme="minorEastAsia" w:eastAsiaTheme="minorEastAsia"/>
                                <w:b/>
                                <w:bCs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cs="宋体" w:asciiTheme="minorEastAsia" w:hAnsiTheme="minorEastAsia" w:eastAsiaTheme="minorEastAsia"/>
                                <w:b/>
                                <w:bCs/>
                                <w:sz w:val="24"/>
                                <w:szCs w:val="24"/>
                                <w:lang w:eastAsia="zh-CN"/>
                              </w:rPr>
                              <w:t>第三节感染性休克病人的护理</w:t>
                            </w:r>
                          </w:p>
                          <w:p w14:paraId="636CEADB">
                            <w:pPr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一、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感染性休克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：病原微生物及其毒素在人体内引起的一种微循环障碍，导致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组织缺氧、代谢紊乱和细胞损害（外科常见）；</w:t>
                            </w:r>
                          </w:p>
                          <w:p w14:paraId="7F1FA30A">
                            <w:pPr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二、病因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胆道化脓性感染、急性化脓性腹膜炎、泌尿系统感染等；（重要）</w:t>
                            </w:r>
                          </w:p>
                          <w:p w14:paraId="461A1686">
                            <w:pPr>
                              <w:rPr>
                                <w:rFonts w:hint="eastAsia" w:cs="宋体" w:asciiTheme="minorEastAsia" w:hAnsiTheme="minorEastAsia" w:eastAsiaTheme="minor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三、处理原则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纠正休克与控制感染并重（抗休克首位）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highlight w:val="yellow"/>
                                <w:lang w:eastAsia="zh-CN"/>
                              </w:rPr>
                              <w:t>(重点！！！！)</w:t>
                            </w:r>
                          </w:p>
                          <w:p w14:paraId="12270C55">
                            <w:pPr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补充血容量</w:t>
                            </w:r>
                          </w:p>
                          <w:p w14:paraId="286189FA">
                            <w:pPr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控制感染</w:t>
                            </w:r>
                          </w:p>
                          <w:p w14:paraId="721282F3">
                            <w:pPr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cs="Times New Roman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hint="eastAsia" w:cs="Times New Roman" w:asciiTheme="minorEastAsia" w:hAnsiTheme="minor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纠正酸碱平衡失调</w:t>
                            </w:r>
                          </w:p>
                          <w:p w14:paraId="2B397628">
                            <w:pPr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cs="Times New Roman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rFonts w:hint="eastAsia" w:cs="Times New Roman" w:asciiTheme="minorEastAsia" w:hAnsiTheme="minor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应用血管活性药</w:t>
                            </w:r>
                          </w:p>
                          <w:p w14:paraId="6F7F854B">
                            <w:pPr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5.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应用糖皮质类固醇</w:t>
                            </w:r>
                          </w:p>
                          <w:p w14:paraId="52748C84">
                            <w:pPr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6.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其他</w:t>
                            </w:r>
                          </w:p>
                          <w:p w14:paraId="72E9DCB8">
                            <w:pPr>
                              <w:pStyle w:val="12"/>
                              <w:rPr>
                                <w:rFonts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>三、巩固练习（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>5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>min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</w:p>
                          <w:p w14:paraId="05DB3CBB">
                            <w:pPr>
                              <w:pStyle w:val="12"/>
                              <w:rPr>
                                <w:rFonts w:asciiTheme="minorEastAsia" w:hAnsiTheme="minorEastAsia" w:eastAsiaTheme="minorEastAsia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</w:pPr>
                            <w:r>
                              <w:rPr>
                                <w:rStyle w:val="9"/>
                                <w:rFonts w:hint="eastAsia" w:asciiTheme="minorEastAsia" w:hAnsiTheme="minorEastAsia" w:eastAsiaTheme="minorEastAsia"/>
                                <w:b w:val="0"/>
                                <w:bCs w:val="0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Style w:val="9"/>
                                <w:rFonts w:asciiTheme="minorEastAsia" w:hAnsiTheme="minorEastAsia" w:eastAsiaTheme="minorEastAsia"/>
                                <w:b w:val="0"/>
                                <w:bCs w:val="0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rStyle w:val="9"/>
                                <w:rFonts w:hint="eastAsia" w:asciiTheme="minorEastAsia" w:hAnsiTheme="minorEastAsia" w:eastAsiaTheme="minorEastAsia"/>
                                <w:b w:val="0"/>
                                <w:bCs w:val="0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  <w:t>休克患者应采取的正确体位是？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  <w:t>A.平卧位B. 半坐卧位C.头和躯干抬高20°～30°，下肢抬高15°～20°D.头低足高位</w:t>
                            </w:r>
                          </w:p>
                          <w:p w14:paraId="182B8606">
                            <w:pPr>
                              <w:pStyle w:val="12"/>
                              <w:rPr>
                                <w:rFonts w:asciiTheme="minorEastAsia" w:hAnsiTheme="minorEastAsia" w:eastAsiaTheme="minorEastAsia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</w:pPr>
                            <w:r>
                              <w:rPr>
                                <w:rStyle w:val="9"/>
                                <w:rFonts w:hint="eastAsia" w:asciiTheme="minorEastAsia" w:hAnsiTheme="minorEastAsia" w:eastAsiaTheme="minorEastAsia"/>
                                <w:b w:val="0"/>
                                <w:bCs w:val="0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Style w:val="9"/>
                                <w:rFonts w:asciiTheme="minorEastAsia" w:hAnsiTheme="minorEastAsia" w:eastAsiaTheme="minorEastAsia"/>
                                <w:b w:val="0"/>
                                <w:bCs w:val="0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rStyle w:val="9"/>
                                <w:rFonts w:hint="eastAsia" w:asciiTheme="minorEastAsia" w:hAnsiTheme="minorEastAsia" w:eastAsiaTheme="minorEastAsia"/>
                                <w:b w:val="0"/>
                                <w:bCs w:val="0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  <w:t>休克患者的补液原则是？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  <w:t>A.先盐后糖B.先晶后胶C.先快后慢D.先胶后晶</w:t>
                            </w:r>
                          </w:p>
                          <w:p w14:paraId="06B2D031">
                            <w:pPr>
                              <w:pStyle w:val="12"/>
                              <w:rPr>
                                <w:rFonts w:hint="eastAsia" w:cs="Arial" w:asciiTheme="minorEastAsia" w:hAnsiTheme="minorEastAsia" w:eastAsiaTheme="minorEastAsia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cs="Arial" w:asciiTheme="minorEastAsia" w:hAnsiTheme="minorEastAsia" w:eastAsiaTheme="minorEastAsia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  <w:t>3.反映休克患者组织灌注最有效的指标是？</w:t>
                            </w:r>
                            <w:r>
                              <w:rPr>
                                <w:rFonts w:hint="eastAsia" w:cs="Arial" w:asciiTheme="minorEastAsia" w:hAnsiTheme="minorEastAsia" w:eastAsiaTheme="minorEastAsia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 w:cs="Arial" w:asciiTheme="minorEastAsia" w:hAnsiTheme="minorEastAsia" w:eastAsiaTheme="minorEastAsia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</w:rPr>
                              <w:t>A. 血压B. 脉搏C. 尿量D. 神志</w:t>
                            </w:r>
                          </w:p>
                          <w:p w14:paraId="29F423F8">
                            <w:pPr>
                              <w:pStyle w:val="12"/>
                              <w:rPr>
                                <w:rFonts w:cs="宋体"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cs="宋体"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>四、课堂小结（</w:t>
                            </w:r>
                            <w:r>
                              <w:rPr>
                                <w:rFonts w:cs="宋体"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>min</w:t>
                            </w:r>
                            <w:r>
                              <w:rPr>
                                <w:rFonts w:cs="宋体"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</w:p>
                          <w:p w14:paraId="56AC7B20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480" w:firstLineChars="200"/>
                              <w:textAlignment w:val="baseline"/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sz w:val="24"/>
                                <w:szCs w:val="24"/>
                                <w:lang w:eastAsia="zh-CN"/>
                              </w:rPr>
                              <w:t>按照休克的发病过程，将休克分为休克代偿期、休克抑制期，又称休克早期或休克期；主要表现在神志、生命体征、皮肤黏膜、尿量等方面的改变；晚期病人可出现皮肤瘀斑、呕血、便血等广泛出血及多器官功能障碍综合征（MODS）等表现。</w:t>
                            </w:r>
                          </w:p>
                          <w:p w14:paraId="744D4136">
                            <w:pPr>
                              <w:pStyle w:val="12"/>
                              <w:rPr>
                                <w:rFonts w:cs="宋体"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b/>
                                <w:bCs/>
                                <w:sz w:val="20"/>
                                <w:lang w:eastAsia="zh-CN"/>
                              </w:rPr>
                              <w:t>五、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>课后作业(</w:t>
                            </w:r>
                            <w:r>
                              <w:rPr>
                                <w:rFonts w:cs="宋体"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>2min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>)</w:t>
                            </w:r>
                          </w:p>
                          <w:p w14:paraId="351D5F29">
                            <w:pPr>
                              <w:pStyle w:val="12"/>
                              <w:rPr>
                                <w:rFonts w:eastAsiaTheme="minorEastAsia"/>
                                <w:bCs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cs="宋体" w:asciiTheme="minorEastAsia" w:hAnsiTheme="minorEastAsia" w:eastAsiaTheme="minorEastAsia"/>
                                <w:bCs/>
                                <w:sz w:val="24"/>
                                <w:szCs w:val="24"/>
                                <w:lang w:eastAsia="zh-CN"/>
                              </w:rPr>
                              <w:t>整理课堂笔记，完成课后练习题</w:t>
                            </w:r>
                          </w:p>
                        </w:tc>
                      </w:tr>
                      <w:tr w14:paraId="6F236EBB">
                        <w:tblPrEx>
                          <w:tblBorders>
                            <w:top w:val="single" w:color="221713" w:sz="4" w:space="0"/>
                            <w:left w:val="single" w:color="221713" w:sz="4" w:space="0"/>
                            <w:bottom w:val="single" w:color="221713" w:sz="4" w:space="0"/>
                            <w:right w:val="single" w:color="221713" w:sz="4" w:space="0"/>
                            <w:insideH w:val="single" w:color="221713" w:sz="4" w:space="0"/>
                            <w:insideV w:val="single" w:color="221713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69" w:hRule="atLeast"/>
                        </w:trPr>
                        <w:tc>
                          <w:tcPr>
                            <w:tcW w:w="726" w:type="dxa"/>
                            <w:tcBorders>
                              <w:left w:val="single" w:color="221713" w:sz="6" w:space="0"/>
                            </w:tcBorders>
                            <w:textDirection w:val="tbRlV"/>
                          </w:tcPr>
                          <w:p w14:paraId="274FC195">
                            <w:pPr>
                              <w:spacing w:before="168" w:line="186" w:lineRule="auto"/>
                              <w:ind w:left="571"/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板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15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书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19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设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15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计</w:t>
                            </w:r>
                          </w:p>
                        </w:tc>
                        <w:tc>
                          <w:tcPr>
                            <w:tcW w:w="9354" w:type="dxa"/>
                            <w:tcBorders>
                              <w:right w:val="single" w:color="221713" w:sz="6" w:space="0"/>
                            </w:tcBorders>
                          </w:tcPr>
                          <w:p w14:paraId="310DE17E">
                            <w:pPr>
                              <w:numPr>
                                <w:ilvl w:val="0"/>
                                <w:numId w:val="1"/>
                              </w:numPr>
                              <w:kinsoku/>
                              <w:autoSpaceDE/>
                              <w:autoSpaceDN/>
                              <w:adjustRightInd/>
                              <w:snapToGrid/>
                              <w:spacing w:after="75" w:line="360" w:lineRule="atLeast"/>
                              <w:ind w:left="0"/>
                              <w:textAlignment w:val="auto"/>
                              <w:rPr>
                                <w:rFonts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定义：有效循环血量锐减→组织灌注不足→细胞代谢紊乱→器官功能障碍</w:t>
                            </w:r>
                          </w:p>
                          <w:p w14:paraId="4DBE2BD7">
                            <w:pPr>
                              <w:numPr>
                                <w:ilvl w:val="0"/>
                                <w:numId w:val="1"/>
                              </w:numPr>
                              <w:kinsoku/>
                              <w:autoSpaceDE/>
                              <w:autoSpaceDN/>
                              <w:adjustRightInd/>
                              <w:snapToGrid/>
                              <w:spacing w:after="75" w:line="360" w:lineRule="atLeast"/>
                              <w:ind w:left="0"/>
                              <w:textAlignment w:val="auto"/>
                              <w:rPr>
                                <w:rFonts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2.分类：低血容量性（失血、创伤）休克、感染性休克</w:t>
                            </w:r>
                          </w:p>
                          <w:p w14:paraId="65C47710">
                            <w:pPr>
                              <w:numPr>
                                <w:ilvl w:val="1"/>
                                <w:numId w:val="1"/>
                              </w:numPr>
                              <w:kinsoku/>
                              <w:autoSpaceDE/>
                              <w:autoSpaceDN/>
                              <w:adjustRightInd/>
                              <w:snapToGrid/>
                              <w:spacing w:after="75" w:line="360" w:lineRule="atLeast"/>
                              <w:ind w:left="0"/>
                              <w:textAlignment w:val="auto"/>
                              <w:rPr>
                                <w:rFonts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病情监测：生命体征（BP、HR、尿量）、血乳酸（＞4mmol/L需警惕）</w:t>
                            </w:r>
                          </w:p>
                          <w:p w14:paraId="339A4B7E">
                            <w:pPr>
                              <w:numPr>
                                <w:ilvl w:val="1"/>
                                <w:numId w:val="1"/>
                              </w:numPr>
                              <w:kinsoku/>
                              <w:autoSpaceDE/>
                              <w:autoSpaceDN/>
                              <w:adjustRightInd/>
                              <w:snapToGrid/>
                              <w:spacing w:after="75" w:line="360" w:lineRule="atLeast"/>
                              <w:ind w:left="0"/>
                              <w:textAlignment w:val="auto"/>
                              <w:rPr>
                                <w:rFonts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4.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急救：ABC原则（气道通畅→高流量吸氧→补液扩容）</w:t>
                            </w:r>
                          </w:p>
                          <w:p w14:paraId="26A03D59">
                            <w:pPr>
                              <w:numPr>
                                <w:ilvl w:val="1"/>
                                <w:numId w:val="1"/>
                              </w:numPr>
                              <w:kinsoku/>
                              <w:autoSpaceDE/>
                              <w:autoSpaceDN/>
                              <w:adjustRightInd/>
                              <w:snapToGrid/>
                              <w:spacing w:after="75" w:line="360" w:lineRule="atLeast"/>
                              <w:ind w:left="0"/>
                              <w:textAlignment w:val="auto"/>
                              <w:rPr>
                                <w:rFonts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5</w:t>
                            </w:r>
                            <w:r>
                              <w:rPr>
                                <w:rFonts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治疗配合：晶体液快速输注、血管活性药物（多巴胺）、抗感染</w:t>
                            </w:r>
                          </w:p>
                          <w:p w14:paraId="6B4501B0">
                            <w:pPr>
                              <w:numPr>
                                <w:ilvl w:val="1"/>
                                <w:numId w:val="1"/>
                              </w:numPr>
                              <w:kinsoku/>
                              <w:autoSpaceDE/>
                              <w:autoSpaceDN/>
                              <w:adjustRightInd/>
                              <w:snapToGrid/>
                              <w:spacing w:line="360" w:lineRule="atLeast"/>
                              <w:ind w:left="0"/>
                              <w:textAlignment w:val="auto"/>
                              <w:rPr>
                                <w:rFonts w:ascii="微软雅黑" w:hAnsi="微软雅黑" w:eastAsia="微软雅黑" w:cs="宋体"/>
                                <w:snapToGrid/>
                                <w:color w:val="1F1F1F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6</w:t>
                            </w:r>
                            <w:r>
                              <w:rPr>
                                <w:rFonts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rFonts w:hint="eastAsia" w:cs="宋体" w:asciiTheme="minorEastAsia" w:hAnsiTheme="minorEastAsia" w:eastAsiaTheme="minorEastAsia"/>
                                <w:snapToGrid/>
                                <w:color w:val="1F1F1F"/>
                                <w:sz w:val="24"/>
                                <w:szCs w:val="24"/>
                                <w:lang w:eastAsia="zh-CN"/>
                              </w:rPr>
                              <w:t>基础护理：休克体位、保暖（禁用热水袋）、防并发症（MODS、肾损伤）</w:t>
                            </w:r>
                          </w:p>
                        </w:tc>
                      </w:tr>
                      <w:tr w14:paraId="25369D2A">
                        <w:tblPrEx>
                          <w:tblBorders>
                            <w:top w:val="single" w:color="221713" w:sz="4" w:space="0"/>
                            <w:left w:val="single" w:color="221713" w:sz="4" w:space="0"/>
                            <w:bottom w:val="single" w:color="221713" w:sz="4" w:space="0"/>
                            <w:right w:val="single" w:color="221713" w:sz="4" w:space="0"/>
                            <w:insideH w:val="single" w:color="221713" w:sz="4" w:space="0"/>
                            <w:insideV w:val="single" w:color="221713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680" w:hRule="atLeast"/>
                        </w:trPr>
                        <w:tc>
                          <w:tcPr>
                            <w:tcW w:w="726" w:type="dxa"/>
                            <w:tcBorders>
                              <w:left w:val="single" w:color="221713" w:sz="6" w:space="0"/>
                              <w:bottom w:val="single" w:color="221713" w:sz="6" w:space="0"/>
                            </w:tcBorders>
                            <w:textDirection w:val="tbRlV"/>
                          </w:tcPr>
                          <w:p w14:paraId="70F39C78">
                            <w:pPr>
                              <w:spacing w:before="179" w:line="187" w:lineRule="auto"/>
                              <w:ind w:left="253"/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教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1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学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1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后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17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记</w:t>
                            </w:r>
                          </w:p>
                        </w:tc>
                        <w:tc>
                          <w:tcPr>
                            <w:tcW w:w="9354" w:type="dxa"/>
                            <w:tcBorders>
                              <w:bottom w:val="single" w:color="221713" w:sz="6" w:space="0"/>
                              <w:right w:val="single" w:color="221713" w:sz="6" w:space="0"/>
                            </w:tcBorders>
                          </w:tcPr>
                          <w:p w14:paraId="731A16BD">
                            <w:pPr>
                              <w:pStyle w:val="12"/>
                              <w:rPr>
                                <w:rFonts w:hint="default" w:cs="宋体" w:asciiTheme="minorEastAsia" w:hAnsiTheme="minorEastAsia" w:eastAsiaTheme="minorEastAsia"/>
                                <w:b/>
                                <w:bCs/>
                                <w:snapToGrid/>
                                <w:color w:val="1F1F1F"/>
                                <w:kern w:val="0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cs="宋体" w:asciiTheme="minorEastAsia" w:hAnsiTheme="minorEastAsia" w:eastAsiaTheme="minorEastAsia"/>
                                <w:b/>
                                <w:bCs/>
                                <w:snapToGrid/>
                                <w:color w:val="1F1F1F"/>
                                <w:kern w:val="0"/>
                                <w:sz w:val="24"/>
                                <w:szCs w:val="24"/>
                                <w:lang w:val="en-US" w:eastAsia="zh-CN" w:bidi="ar-SA"/>
                              </w:rPr>
                              <w:t>安全教育：上下楼梯不追逐打闹，过马路行人靠右行走</w:t>
                            </w:r>
                          </w:p>
                          <w:p w14:paraId="5FA6DFAA">
                            <w:pPr>
                              <w:pStyle w:val="12"/>
                              <w:rPr>
                                <w:rFonts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 w14:paraId="4B7BEFBC">
                            <w:pPr>
                              <w:pStyle w:val="12"/>
                              <w:rPr>
                                <w:rFonts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 w14:paraId="08B86E97">
                            <w:pPr>
                              <w:pStyle w:val="12"/>
                              <w:rPr>
                                <w:rFonts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 w14:paraId="71CBFF92">
                            <w:pPr>
                              <w:pStyle w:val="12"/>
                              <w:rPr>
                                <w:rFonts w:hint="eastAsia"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 w14:paraId="75A4921F">
                            <w:pPr>
                              <w:pStyle w:val="12"/>
                              <w:rPr>
                                <w:rFonts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1265793F">
                      <w:pPr>
                        <w:rPr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color w:val="231F20"/>
          <w:spacing w:val="1"/>
          <w:sz w:val="24"/>
          <w:szCs w:val="24"/>
        </w:rPr>
        <w:t xml:space="preserve">第 </w:t>
      </w:r>
      <w:r>
        <w:rPr>
          <w:rFonts w:hint="eastAsia" w:ascii="宋体" w:hAnsi="宋体" w:eastAsia="宋体" w:cs="宋体"/>
          <w:color w:val="231F20"/>
          <w:spacing w:val="1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231F20"/>
          <w:spacing w:val="1"/>
          <w:sz w:val="24"/>
          <w:szCs w:val="24"/>
        </w:rPr>
        <w:t>周</w:t>
      </w:r>
      <w:r>
        <w:rPr>
          <w:rFonts w:hint="eastAsia" w:ascii="宋体" w:hAnsi="宋体" w:eastAsia="宋体" w:cs="宋体"/>
          <w:color w:val="231F20"/>
          <w:spacing w:val="8"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color w:val="231F20"/>
          <w:spacing w:val="1"/>
          <w:sz w:val="24"/>
          <w:szCs w:val="24"/>
        </w:rPr>
        <w:t>星期</w:t>
      </w:r>
      <w:r>
        <w:rPr>
          <w:rFonts w:hint="eastAsia" w:ascii="宋体" w:hAnsi="宋体" w:eastAsia="宋体" w:cs="宋体"/>
          <w:color w:val="231F20"/>
          <w:spacing w:val="4"/>
          <w:sz w:val="24"/>
          <w:szCs w:val="24"/>
        </w:rPr>
        <w:t xml:space="preserve">           </w:t>
      </w:r>
      <w:r>
        <w:rPr>
          <w:rFonts w:hint="eastAsia" w:ascii="宋体" w:hAnsi="宋体" w:eastAsia="宋体" w:cs="宋体"/>
          <w:color w:val="231F20"/>
          <w:spacing w:val="1"/>
          <w:sz w:val="24"/>
          <w:szCs w:val="24"/>
        </w:rPr>
        <w:t xml:space="preserve">第   </w:t>
      </w:r>
      <w:r>
        <w:rPr>
          <w:rFonts w:hint="eastAsia" w:ascii="宋体" w:hAnsi="宋体" w:eastAsia="宋体" w:cs="宋体"/>
          <w:color w:val="231F20"/>
          <w:sz w:val="24"/>
          <w:szCs w:val="24"/>
        </w:rPr>
        <w:t xml:space="preserve">   节               年          月          日</w:t>
      </w:r>
    </w:p>
    <w:p w14:paraId="6A2F8C64">
      <w:pPr>
        <w:spacing w:line="39" w:lineRule="exact"/>
        <w:rPr>
          <w:rFonts w:ascii="宋体" w:hAnsi="宋体" w:eastAsia="宋体" w:cs="宋体"/>
          <w:sz w:val="24"/>
          <w:szCs w:val="24"/>
        </w:rPr>
      </w:pPr>
    </w:p>
    <w:tbl>
      <w:tblPr>
        <w:tblStyle w:val="11"/>
        <w:tblW w:w="10080" w:type="dxa"/>
        <w:tblInd w:w="7" w:type="dxa"/>
        <w:tblBorders>
          <w:top w:val="single" w:color="221713" w:sz="4" w:space="0"/>
          <w:left w:val="single" w:color="221713" w:sz="4" w:space="0"/>
          <w:bottom w:val="single" w:color="221713" w:sz="4" w:space="0"/>
          <w:right w:val="single" w:color="221713" w:sz="4" w:space="0"/>
          <w:insideH w:val="single" w:color="221713" w:sz="4" w:space="0"/>
          <w:insideV w:val="single" w:color="221713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1026"/>
        <w:gridCol w:w="4837"/>
        <w:gridCol w:w="1245"/>
        <w:gridCol w:w="1978"/>
      </w:tblGrid>
      <w:tr w14:paraId="2421B9BE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020" w:type="dxa"/>
            <w:gridSpan w:val="2"/>
            <w:tcBorders>
              <w:top w:val="single" w:color="221713" w:sz="6" w:space="0"/>
              <w:left w:val="single" w:color="221713" w:sz="6" w:space="0"/>
            </w:tcBorders>
          </w:tcPr>
          <w:p w14:paraId="0113DE59">
            <w:pPr>
              <w:spacing w:before="140" w:line="185" w:lineRule="auto"/>
              <w:ind w:left="7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课题</w:t>
            </w:r>
          </w:p>
        </w:tc>
        <w:tc>
          <w:tcPr>
            <w:tcW w:w="4837" w:type="dxa"/>
            <w:tcBorders>
              <w:top w:val="single" w:color="221713" w:sz="6" w:space="0"/>
            </w:tcBorders>
            <w:vAlign w:val="center"/>
          </w:tcPr>
          <w:p w14:paraId="41A098E1">
            <w:pPr>
              <w:pStyle w:val="12"/>
              <w:jc w:val="center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第四章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外科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休克病人的护理</w:t>
            </w:r>
          </w:p>
        </w:tc>
        <w:tc>
          <w:tcPr>
            <w:tcW w:w="1245" w:type="dxa"/>
            <w:tcBorders>
              <w:top w:val="single" w:color="221713" w:sz="6" w:space="0"/>
            </w:tcBorders>
          </w:tcPr>
          <w:p w14:paraId="5FBC000E">
            <w:pPr>
              <w:spacing w:before="139" w:line="185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课型</w:t>
            </w:r>
          </w:p>
        </w:tc>
        <w:tc>
          <w:tcPr>
            <w:tcW w:w="1978" w:type="dxa"/>
            <w:tcBorders>
              <w:top w:val="single" w:color="221713" w:sz="6" w:space="0"/>
              <w:right w:val="single" w:color="221713" w:sz="6" w:space="0"/>
            </w:tcBorders>
            <w:vAlign w:val="center"/>
          </w:tcPr>
          <w:p w14:paraId="245B5C57">
            <w:pPr>
              <w:pStyle w:val="12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新授课（2课时）</w:t>
            </w:r>
          </w:p>
        </w:tc>
      </w:tr>
      <w:tr w14:paraId="1700E145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2" w:hRule="atLeast"/>
        </w:trPr>
        <w:tc>
          <w:tcPr>
            <w:tcW w:w="2020" w:type="dxa"/>
            <w:gridSpan w:val="2"/>
            <w:tcBorders>
              <w:left w:val="single" w:color="221713" w:sz="6" w:space="0"/>
            </w:tcBorders>
          </w:tcPr>
          <w:p w14:paraId="741B2AF5">
            <w:pPr>
              <w:pStyle w:val="12"/>
              <w:spacing w:line="369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79E388ED">
            <w:pPr>
              <w:spacing w:before="119" w:line="190" w:lineRule="auto"/>
              <w:ind w:left="6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-2"/>
                <w:sz w:val="24"/>
                <w:szCs w:val="24"/>
              </w:rPr>
              <w:t>教</w:t>
            </w:r>
            <w:r>
              <w:rPr>
                <w:rFonts w:hint="eastAsia" w:ascii="宋体" w:hAnsi="宋体" w:eastAsia="宋体" w:cs="宋体"/>
                <w:color w:val="231F20"/>
                <w:spacing w:val="32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231F20"/>
                <w:spacing w:val="-2"/>
                <w:sz w:val="24"/>
                <w:szCs w:val="24"/>
              </w:rPr>
              <w:t>学</w:t>
            </w:r>
          </w:p>
          <w:p w14:paraId="58C4C180">
            <w:pPr>
              <w:pStyle w:val="12"/>
              <w:spacing w:line="42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2041C2AD">
            <w:pPr>
              <w:spacing w:before="118" w:line="186" w:lineRule="auto"/>
              <w:ind w:left="6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-20"/>
                <w:sz w:val="24"/>
                <w:szCs w:val="24"/>
              </w:rPr>
              <w:t>目</w:t>
            </w:r>
            <w:r>
              <w:rPr>
                <w:rFonts w:hint="eastAsia" w:ascii="宋体" w:hAnsi="宋体" w:eastAsia="宋体" w:cs="宋体"/>
                <w:color w:val="231F20"/>
                <w:spacing w:val="31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231F20"/>
                <w:spacing w:val="-20"/>
                <w:sz w:val="24"/>
                <w:szCs w:val="24"/>
              </w:rPr>
              <w:t>标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  <w:vAlign w:val="center"/>
          </w:tcPr>
          <w:p w14:paraId="3C2D15E8">
            <w:pPr>
              <w:pStyle w:val="15"/>
              <w:numPr>
                <w:ilvl w:val="0"/>
                <w:numId w:val="0"/>
              </w:numPr>
              <w:kinsoku/>
              <w:autoSpaceDE/>
              <w:autoSpaceDN/>
              <w:adjustRightInd/>
              <w:snapToGrid/>
              <w:ind w:left="360" w:leftChars="0" w:hanging="360" w:firstLineChars="0"/>
              <w:jc w:val="left"/>
              <w:textAlignment w:val="auto"/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cs="Arial" w:asciiTheme="minorEastAsia" w:hAnsiTheme="minorEastAsia" w:eastAsiaTheme="minorEastAsia"/>
                <w:b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  <w:t>知识目标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掌握休克的定义；掌握休克的护理评估</w:t>
            </w:r>
          </w:p>
          <w:p w14:paraId="63B51548">
            <w:pPr>
              <w:pStyle w:val="15"/>
              <w:numPr>
                <w:ilvl w:val="0"/>
                <w:numId w:val="0"/>
              </w:numPr>
              <w:ind w:left="360" w:leftChars="0" w:hanging="360" w:firstLineChars="0"/>
              <w:jc w:val="left"/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cs="Arial" w:asciiTheme="minorEastAsia" w:hAnsiTheme="minorEastAsia" w:eastAsiaTheme="minorEastAsia"/>
                <w:b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  <w:t>能力目标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熟悉休克的病理生理机制；掌握休克的临床表现；掌握休克的</w:t>
            </w:r>
          </w:p>
          <w:p w14:paraId="167016A3">
            <w:pPr>
              <w:pStyle w:val="15"/>
              <w:numPr>
                <w:ilvl w:val="0"/>
                <w:numId w:val="0"/>
              </w:numPr>
              <w:ind w:leftChars="0"/>
              <w:jc w:val="left"/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护理措施及急救原则。</w:t>
            </w:r>
          </w:p>
          <w:p w14:paraId="6BF57B9C">
            <w:pPr>
              <w:numPr>
                <w:ilvl w:val="0"/>
                <w:numId w:val="0"/>
              </w:numPr>
              <w:kinsoku/>
              <w:autoSpaceDE/>
              <w:autoSpaceDN/>
              <w:adjustRightInd/>
              <w:snapToGrid/>
              <w:ind w:left="240" w:leftChars="0" w:hanging="240" w:hangingChars="100"/>
              <w:jc w:val="left"/>
              <w:textAlignment w:val="auto"/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cs="Arial" w:asciiTheme="minorEastAsia" w:hAnsiTheme="minorEastAsia" w:eastAsiaTheme="minorEastAsia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3.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  <w:t>情感目标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能够对休克病人及时采取相应的急救措施和护理措施，缓解或</w:t>
            </w:r>
          </w:p>
          <w:p w14:paraId="2ED030F2">
            <w:pPr>
              <w:numPr>
                <w:ilvl w:val="0"/>
                <w:numId w:val="0"/>
              </w:numPr>
              <w:kinsoku/>
              <w:autoSpaceDE/>
              <w:autoSpaceDN/>
              <w:adjustRightInd/>
              <w:snapToGrid/>
              <w:ind w:leftChars="-100"/>
              <w:jc w:val="left"/>
              <w:textAlignment w:val="auto"/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者减少并发症的发生。</w:t>
            </w:r>
          </w:p>
        </w:tc>
      </w:tr>
      <w:tr w14:paraId="160A5F85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994" w:type="dxa"/>
            <w:vMerge w:val="restart"/>
            <w:tcBorders>
              <w:left w:val="single" w:color="221713" w:sz="6" w:space="0"/>
              <w:bottom w:val="nil"/>
            </w:tcBorders>
            <w:textDirection w:val="tbRlV"/>
          </w:tcPr>
          <w:p w14:paraId="161DC597">
            <w:pPr>
              <w:spacing w:before="352" w:line="186" w:lineRule="auto"/>
              <w:ind w:left="3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6"/>
                <w:sz w:val="24"/>
                <w:szCs w:val="24"/>
              </w:rPr>
              <w:t>教材分析</w:t>
            </w:r>
          </w:p>
        </w:tc>
        <w:tc>
          <w:tcPr>
            <w:tcW w:w="1026" w:type="dxa"/>
          </w:tcPr>
          <w:p w14:paraId="419F2143">
            <w:pPr>
              <w:spacing w:before="184" w:line="187" w:lineRule="auto"/>
              <w:ind w:left="2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重点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  <w:vAlign w:val="center"/>
          </w:tcPr>
          <w:p w14:paraId="4C97FC5D">
            <w:pPr>
              <w:pStyle w:val="18"/>
              <w:tabs>
                <w:tab w:val="left" w:pos="1025"/>
              </w:tabs>
              <w:spacing w:after="18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休克的概念；</w:t>
            </w:r>
            <w:r>
              <w:rPr>
                <w:rFonts w:hint="eastAsia"/>
                <w:sz w:val="24"/>
                <w:szCs w:val="24"/>
              </w:rPr>
              <w:t>休克的护理评估、护理措施及急救原则</w:t>
            </w:r>
          </w:p>
        </w:tc>
      </w:tr>
      <w:tr w14:paraId="190AAC43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994" w:type="dxa"/>
            <w:vMerge w:val="continue"/>
            <w:tcBorders>
              <w:top w:val="nil"/>
              <w:left w:val="single" w:color="221713" w:sz="6" w:space="0"/>
              <w:bottom w:val="nil"/>
            </w:tcBorders>
            <w:textDirection w:val="tbRlV"/>
          </w:tcPr>
          <w:p w14:paraId="69D9CBB4">
            <w:pPr>
              <w:pStyle w:val="12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26" w:type="dxa"/>
          </w:tcPr>
          <w:p w14:paraId="173A032F">
            <w:pPr>
              <w:spacing w:before="140" w:line="188" w:lineRule="auto"/>
              <w:ind w:left="2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难点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  <w:vAlign w:val="center"/>
          </w:tcPr>
          <w:p w14:paraId="77C5C440">
            <w:pPr>
              <w:pStyle w:val="12"/>
              <w:jc w:val="center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休克的病理生理改变、不同休克时期患者身体状况评估好人护理措施</w:t>
            </w:r>
          </w:p>
        </w:tc>
      </w:tr>
      <w:tr w14:paraId="2F4E8414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994" w:type="dxa"/>
            <w:vMerge w:val="continue"/>
            <w:tcBorders>
              <w:top w:val="nil"/>
              <w:left w:val="single" w:color="221713" w:sz="6" w:space="0"/>
            </w:tcBorders>
            <w:textDirection w:val="tbRlV"/>
          </w:tcPr>
          <w:p w14:paraId="72AC86A3">
            <w:pPr>
              <w:pStyle w:val="12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26" w:type="dxa"/>
          </w:tcPr>
          <w:p w14:paraId="67E90CB0">
            <w:pPr>
              <w:spacing w:before="141" w:line="186" w:lineRule="auto"/>
              <w:ind w:left="2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教具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  <w:vAlign w:val="center"/>
          </w:tcPr>
          <w:p w14:paraId="0EA24A26">
            <w:pPr>
              <w:pStyle w:val="12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教材 教案 PPT</w:t>
            </w:r>
          </w:p>
        </w:tc>
      </w:tr>
      <w:tr w14:paraId="25B1FFBE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0" w:hRule="atLeast"/>
        </w:trPr>
        <w:tc>
          <w:tcPr>
            <w:tcW w:w="994" w:type="dxa"/>
            <w:tcBorders>
              <w:left w:val="single" w:color="221713" w:sz="6" w:space="0"/>
              <w:bottom w:val="single" w:color="221713" w:sz="6" w:space="0"/>
            </w:tcBorders>
            <w:textDirection w:val="tbRlV"/>
          </w:tcPr>
          <w:p w14:paraId="33D4606E">
            <w:pPr>
              <w:spacing w:before="351" w:line="187" w:lineRule="auto"/>
              <w:ind w:left="25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教</w:t>
            </w:r>
            <w:r>
              <w:rPr>
                <w:rFonts w:hint="eastAsia" w:ascii="宋体" w:hAnsi="宋体" w:eastAsia="宋体" w:cs="宋体"/>
                <w:color w:val="231F20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学</w:t>
            </w:r>
            <w:r>
              <w:rPr>
                <w:rFonts w:hint="eastAsia" w:ascii="宋体" w:hAnsi="宋体" w:eastAsia="宋体" w:cs="宋体"/>
                <w:color w:val="231F20"/>
                <w:spacing w:val="1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过</w:t>
            </w:r>
            <w:r>
              <w:rPr>
                <w:rFonts w:hint="eastAsia" w:ascii="宋体" w:hAnsi="宋体" w:eastAsia="宋体" w:cs="宋体"/>
                <w:color w:val="231F20"/>
                <w:spacing w:val="3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程</w:t>
            </w:r>
          </w:p>
        </w:tc>
        <w:tc>
          <w:tcPr>
            <w:tcW w:w="9086" w:type="dxa"/>
            <w:gridSpan w:val="4"/>
            <w:tcBorders>
              <w:bottom w:val="single" w:color="221713" w:sz="6" w:space="0"/>
              <w:right w:val="single" w:color="221713" w:sz="6" w:space="0"/>
            </w:tcBorders>
          </w:tcPr>
          <w:p w14:paraId="72D4A7A9">
            <w:pPr>
              <w:spacing w:line="240" w:lineRule="auto"/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  <w:t>一、导入（</w:t>
            </w:r>
            <w:r>
              <w:rPr>
                <w:rFonts w:asciiTheme="minorEastAsia" w:hAnsiTheme="minorEastAsia" w:eastAsiaTheme="minorEastAsia"/>
                <w:b/>
                <w:sz w:val="24"/>
                <w:szCs w:val="24"/>
                <w:lang w:eastAsia="zh-CN"/>
              </w:rPr>
              <w:t>5</w:t>
            </w: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  <w:t>min</w:t>
            </w:r>
            <w:r>
              <w:rPr>
                <w:rFonts w:asciiTheme="minorEastAsia" w:hAnsiTheme="minorEastAsia" w:eastAsiaTheme="minorEastAsia"/>
                <w:b/>
                <w:sz w:val="24"/>
                <w:szCs w:val="24"/>
                <w:lang w:eastAsia="zh-CN"/>
              </w:rPr>
              <w:t>）</w:t>
            </w:r>
          </w:p>
          <w:p w14:paraId="0D343FE0">
            <w:pPr>
              <w:pStyle w:val="6"/>
              <w:spacing w:before="0" w:beforeAutospacing="0" w:after="180" w:afterAutospacing="0" w:line="240" w:lineRule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  <w:t>患者李某，男，45岁，建筑工人，因“高处坠落致腹部撞击伤2小时”急诊入院。入院时意识模糊，面色苍白，四肢湿冷，呼吸急促（28次/分），血压85/50mmHg，心率120次/分，尿量仅15ml/h。查体发现腹部膨隆，移动性浊音阳性，B超提示腹腔大量积液，诊断为“脾破裂合并失血性休克”。小组讨论：</w:t>
            </w:r>
          </w:p>
          <w:p w14:paraId="376857DE">
            <w:pPr>
              <w:pStyle w:val="6"/>
              <w:spacing w:before="0" w:beforeAutospacing="0" w:after="180" w:afterAutospacing="0" w:line="240" w:lineRule="auto"/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1F1F1F"/>
                <w:sz w:val="24"/>
                <w:szCs w:val="24"/>
              </w:rPr>
              <w:t>1.该病人可能出现了什么问题？</w:t>
            </w:r>
          </w:p>
          <w:p w14:paraId="7BAB9FEB">
            <w:pPr>
              <w:pStyle w:val="6"/>
              <w:spacing w:before="0" w:beforeAutospacing="0" w:after="0" w:afterAutospacing="0" w:line="240" w:lineRule="auto"/>
              <w:rPr>
                <w:rFonts w:ascii="微软雅黑" w:hAnsi="微软雅黑" w:eastAsia="微软雅黑"/>
                <w:b/>
                <w:bCs/>
                <w:color w:val="1F1F1F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color w:val="1F1F1F"/>
                <w:sz w:val="24"/>
                <w:szCs w:val="24"/>
              </w:rPr>
              <w:t>2.如何快速判断患者处于休克状态</w:t>
            </w:r>
            <w:r>
              <w:rPr>
                <w:rStyle w:val="9"/>
                <w:rFonts w:hint="eastAsia" w:ascii="微软雅黑" w:hAnsi="微软雅黑" w:eastAsia="微软雅黑"/>
                <w:b w:val="0"/>
                <w:bCs w:val="0"/>
                <w:color w:val="1F1F1F"/>
                <w:sz w:val="21"/>
                <w:szCs w:val="21"/>
              </w:rPr>
              <w:t>？</w:t>
            </w:r>
          </w:p>
          <w:p w14:paraId="6E91BC5A">
            <w:pPr>
              <w:spacing w:line="360" w:lineRule="auto"/>
              <w:rPr>
                <w:rFonts w:asciiTheme="minorEastAsia" w:hAnsiTheme="minorEastAsia" w:eastAsiaTheme="minorEastAsia"/>
                <w:b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  <w:t>二、课程呈现</w:t>
            </w:r>
          </w:p>
          <w:p w14:paraId="158FDE5A">
            <w:pPr>
              <w:spacing w:line="360" w:lineRule="auto"/>
              <w:rPr>
                <w:rFonts w:asciiTheme="minorEastAsia" w:hAnsiTheme="minorEastAsia" w:eastAsiaTheme="minorEastAsia"/>
                <w:b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  <w:t>第一课时（30min</w:t>
            </w:r>
            <w:r>
              <w:rPr>
                <w:rFonts w:asciiTheme="minorEastAsia" w:hAnsiTheme="minorEastAsia" w:eastAsiaTheme="minorEastAsia"/>
                <w:b/>
                <w:sz w:val="24"/>
                <w:szCs w:val="24"/>
                <w:lang w:eastAsia="zh-CN"/>
              </w:rPr>
              <w:t>）</w:t>
            </w:r>
          </w:p>
          <w:p w14:paraId="1C1F23AB"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napToGrid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4"/>
                <w:szCs w:val="24"/>
                <w:lang w:eastAsia="zh-CN"/>
              </w:rPr>
              <w:t>第二节失血性休克</w:t>
            </w:r>
          </w:p>
          <w:p w14:paraId="4252FA1A">
            <w:pP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一、</w:t>
            </w:r>
            <w:r>
              <w:rPr>
                <w:rFonts w:hint="eastAsia" w:cs="宋体" w:asciiTheme="minorEastAsia" w:hAnsiTheme="minorEastAsia" w:eastAsiaTheme="minorEastAsia"/>
                <w:color w:val="FF0000"/>
                <w:sz w:val="24"/>
                <w:szCs w:val="24"/>
                <w:lang w:eastAsia="zh-CN"/>
              </w:rPr>
              <w:t>失血性休克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：由于急性大量出血所引起的休克称为失血性休克；通常在迅速失血超过全身总血量的</w:t>
            </w:r>
            <w:r>
              <w:rPr>
                <w:rFonts w:cs="Times New Roman" w:asciiTheme="minorEastAsia" w:hAnsiTheme="minorEastAsia" w:eastAsiaTheme="minorEastAsia"/>
                <w:sz w:val="24"/>
                <w:szCs w:val="24"/>
                <w:lang w:eastAsia="zh-CN"/>
              </w:rPr>
              <w:t>15%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〜</w:t>
            </w:r>
            <w:r>
              <w:rPr>
                <w:rFonts w:cs="Times New Roman" w:asciiTheme="minorEastAsia" w:hAnsiTheme="minorEastAsia" w:eastAsiaTheme="minorEastAsia"/>
                <w:sz w:val="24"/>
                <w:szCs w:val="24"/>
                <w:lang w:eastAsia="zh-CN"/>
              </w:rPr>
              <w:t>20%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时，即出现休克。失血性休克在外科休克中很常见。</w:t>
            </w:r>
          </w:p>
          <w:p w14:paraId="614CFDCF">
            <w:pPr>
              <w:rPr>
                <w:rFonts w:asciiTheme="minorEastAsia" w:hAnsiTheme="minorEastAsia" w:eastAsiaTheme="minorEastAsia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二、身体状况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color w:val="FF0000"/>
                <w:sz w:val="24"/>
                <w:szCs w:val="24"/>
                <w:highlight w:val="yellow"/>
                <w:lang w:eastAsia="zh-CN"/>
              </w:rPr>
              <w:t>(重点！！！！</w:t>
            </w:r>
            <w:r>
              <w:rPr>
                <w:rFonts w:cs="宋体" w:asciiTheme="minorEastAsia" w:hAnsiTheme="minorEastAsia" w:eastAsiaTheme="minorEastAsia"/>
                <w:b/>
                <w:bCs/>
                <w:color w:val="FF0000"/>
                <w:sz w:val="24"/>
                <w:szCs w:val="24"/>
                <w:highlight w:val="yellow"/>
                <w:lang w:eastAsia="zh-CN"/>
              </w:rPr>
              <w:t>)</w:t>
            </w:r>
          </w:p>
          <w:p w14:paraId="32571615">
            <w:pP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（一）意识：休克早期病人呈兴奋状态，烦躁不安；休克加重时表情淡漠、意识模糊。</w:t>
            </w:r>
          </w:p>
          <w:p w14:paraId="368C0968">
            <w:pP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（二）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ab/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皮肤色泽及温度：休克晚期可出现发批，皮肤呈花斑状征象。补充血容量后，若四肢转暖，皮肤干燥，说明末梢循环恢复，休克好转。</w:t>
            </w:r>
          </w:p>
          <w:p w14:paraId="19C62C91">
            <w:pP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（三）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ab/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脉搏：临床常用脉率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/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收缩压（</w:t>
            </w:r>
            <w:r>
              <w:rPr>
                <w:rFonts w:cs="Times New Roman" w:asciiTheme="minorEastAsia" w:hAnsiTheme="minorEastAsia" w:eastAsiaTheme="minorEastAsia"/>
                <w:sz w:val="24"/>
                <w:szCs w:val="24"/>
                <w:lang w:eastAsia="zh-CN"/>
              </w:rPr>
              <w:t>nunHg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）计算休克指数，指数为</w:t>
            </w:r>
            <w:r>
              <w:rPr>
                <w:rFonts w:cs="Times New Roman" w:asciiTheme="minorEastAsia" w:hAnsiTheme="minorEastAsia" w:eastAsiaTheme="minorEastAsia"/>
                <w:color w:val="FF0000"/>
                <w:sz w:val="24"/>
                <w:szCs w:val="24"/>
                <w:lang w:eastAsia="zh-CN"/>
              </w:rPr>
              <w:t>0.5</w:t>
            </w:r>
            <w:r>
              <w:rPr>
                <w:rFonts w:hint="eastAsia" w:cs="宋体" w:asciiTheme="minorEastAsia" w:hAnsiTheme="minorEastAsia" w:eastAsiaTheme="minorEastAsia"/>
                <w:color w:val="FF0000"/>
                <w:sz w:val="24"/>
                <w:szCs w:val="24"/>
                <w:lang w:eastAsia="zh-CN"/>
              </w:rPr>
              <w:t>表示无休克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；</w:t>
            </w:r>
            <w:r>
              <w:rPr>
                <w:rFonts w:cs="Times New Roman" w:asciiTheme="minorEastAsia" w:hAnsiTheme="minorEastAsia" w:eastAsiaTheme="minorEastAsia"/>
                <w:sz w:val="24"/>
                <w:szCs w:val="24"/>
                <w:lang w:eastAsia="zh-CN"/>
              </w:rPr>
              <w:t>1.0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〜</w:t>
            </w:r>
            <w:r>
              <w:rPr>
                <w:rFonts w:cs="Times New Roman" w:asciiTheme="minorEastAsia" w:hAnsiTheme="minorEastAsia" w:eastAsiaTheme="minorEastAsia"/>
                <w:sz w:val="24"/>
                <w:szCs w:val="24"/>
                <w:lang w:eastAsia="zh-CN"/>
              </w:rPr>
              <w:t>1.5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表示有休克；＞</w:t>
            </w:r>
            <w:r>
              <w:rPr>
                <w:rFonts w:cs="Times New Roman" w:asciiTheme="minorEastAsia" w:hAnsiTheme="minorEastAsia" w:eastAsiaTheme="minorEastAsia"/>
                <w:sz w:val="24"/>
                <w:szCs w:val="24"/>
                <w:lang w:eastAsia="zh-CN"/>
              </w:rPr>
              <w:t>2.0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为严重休克</w:t>
            </w:r>
          </w:p>
          <w:p w14:paraId="7EE55A50">
            <w:pP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（四）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ab/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体温：大多偏低，但感染性休克病人有高热，若体温突升至</w:t>
            </w:r>
            <w:r>
              <w:rPr>
                <w:rFonts w:cs="Times New Roman" w:asciiTheme="minorEastAsia" w:hAnsiTheme="minorEastAsia" w:eastAsiaTheme="minorEastAsia"/>
                <w:sz w:val="24"/>
                <w:szCs w:val="24"/>
                <w:lang w:eastAsia="zh-CN"/>
              </w:rPr>
              <w:t>40C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以上或骤降至</w:t>
            </w:r>
            <w:r>
              <w:rPr>
                <w:rFonts w:cs="Times New Roman" w:asciiTheme="minorEastAsia" w:hAnsiTheme="minorEastAsia" w:eastAsiaTheme="minorEastAsia"/>
                <w:sz w:val="24"/>
                <w:szCs w:val="24"/>
                <w:lang w:eastAsia="zh-CN"/>
              </w:rPr>
              <w:t>36C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以下，则病情危重。</w:t>
            </w:r>
          </w:p>
          <w:p w14:paraId="47B38203">
            <w:pP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（五）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ab/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尿量及尿比重：每小时尿量少于</w:t>
            </w:r>
            <w:r>
              <w:rPr>
                <w:rFonts w:cs="Times New Roman" w:asciiTheme="minorEastAsia" w:hAnsiTheme="minorEastAsia" w:eastAsiaTheme="minorEastAsia"/>
                <w:sz w:val="24"/>
                <w:szCs w:val="24"/>
                <w:lang w:eastAsia="zh-CN"/>
              </w:rPr>
              <w:t>25mh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尿比重增高，表明肾血管收缩或血容量不足；尿量大于</w:t>
            </w:r>
            <w:r>
              <w:rPr>
                <w:rFonts w:cs="Times New Roman" w:asciiTheme="minorEastAsia" w:hAnsiTheme="minorEastAsia" w:eastAsiaTheme="minorEastAsia"/>
                <w:color w:val="FF0000"/>
                <w:sz w:val="24"/>
                <w:szCs w:val="24"/>
                <w:lang w:eastAsia="zh-CN"/>
              </w:rPr>
              <w:t>30ml / h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时，表明休克有改善。</w:t>
            </w:r>
          </w:p>
          <w:p w14:paraId="6C07400A">
            <w:pPr>
              <w:rPr>
                <w:rFonts w:hint="eastAsia" w:asciiTheme="minorEastAsia" w:hAnsiTheme="minorEastAsia" w:eastAsiaTheme="minorEastAsia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三、处理原则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color w:val="FF0000"/>
                <w:sz w:val="24"/>
                <w:szCs w:val="24"/>
                <w:highlight w:val="yellow"/>
                <w:lang w:eastAsia="zh-CN"/>
              </w:rPr>
              <w:t>(重点！！！！)</w:t>
            </w:r>
          </w:p>
          <w:p w14:paraId="1AB838B5">
            <w:pP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cs="Times New Roman" w:asciiTheme="minorEastAsia" w:hAnsiTheme="minorEastAsia" w:eastAsiaTheme="minorEastAsia"/>
                <w:sz w:val="24"/>
                <w:szCs w:val="24"/>
                <w:lang w:eastAsia="zh-CN"/>
              </w:rPr>
              <w:t>1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ab/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补充血容量：先经静脉快速滴注等渗盐水或平衡盐溶液</w:t>
            </w:r>
            <w:r>
              <w:rPr>
                <w:rFonts w:cs="Times New Roman" w:asciiTheme="minorEastAsia" w:hAnsiTheme="minorEastAsia" w:eastAsiaTheme="minorEastAsia"/>
                <w:sz w:val="24"/>
                <w:szCs w:val="24"/>
                <w:lang w:eastAsia="zh-CN"/>
              </w:rPr>
              <w:t>1000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〜</w:t>
            </w:r>
            <w:r>
              <w:rPr>
                <w:rFonts w:cs="Times New Roman" w:asciiTheme="minorEastAsia" w:hAnsiTheme="minorEastAsia" w:eastAsiaTheme="minorEastAsia"/>
                <w:sz w:val="24"/>
                <w:szCs w:val="24"/>
                <w:lang w:eastAsia="zh-CN"/>
              </w:rPr>
              <w:t>2000n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）</w:t>
            </w:r>
            <w:r>
              <w:rPr>
                <w:rFonts w:cs="Times New Roman" w:asciiTheme="minorEastAsia" w:hAnsiTheme="minorEastAsia" w:eastAsiaTheme="minorEastAsia"/>
                <w:sz w:val="24"/>
                <w:szCs w:val="24"/>
                <w:lang w:eastAsia="zh-CN"/>
              </w:rPr>
              <w:t>l,</w:t>
            </w: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观察血压回升情况。再根据血压、脉率、中心静脉压及血细胞比容等监测指标情况，决定是否补充新鲜血或浓缩红细胞。</w:t>
            </w:r>
          </w:p>
        </w:tc>
      </w:tr>
    </w:tbl>
    <w:p w14:paraId="3490E086">
      <w:pPr>
        <w:rPr>
          <w:lang w:eastAsia="zh-CN"/>
        </w:rPr>
      </w:pPr>
    </w:p>
    <w:p w14:paraId="286E3985">
      <w:pPr>
        <w:rPr>
          <w:lang w:eastAsia="zh-CN"/>
        </w:rPr>
      </w:pPr>
    </w:p>
    <w:sectPr>
      <w:pgSz w:w="23982" w:h="16158"/>
      <w:pgMar w:top="400" w:right="1198" w:bottom="0" w:left="913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2974A5"/>
    <w:multiLevelType w:val="multilevel"/>
    <w:tmpl w:val="1D2974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D91"/>
    <w:rsid w:val="00021E9D"/>
    <w:rsid w:val="00041FCF"/>
    <w:rsid w:val="000442F4"/>
    <w:rsid w:val="00065298"/>
    <w:rsid w:val="0007567D"/>
    <w:rsid w:val="00082FB0"/>
    <w:rsid w:val="00091F38"/>
    <w:rsid w:val="000D327D"/>
    <w:rsid w:val="000D7E5B"/>
    <w:rsid w:val="00113D91"/>
    <w:rsid w:val="00136F86"/>
    <w:rsid w:val="001456BE"/>
    <w:rsid w:val="00162FE5"/>
    <w:rsid w:val="00174A3E"/>
    <w:rsid w:val="00196CFB"/>
    <w:rsid w:val="001D459A"/>
    <w:rsid w:val="001E2795"/>
    <w:rsid w:val="001E5B4C"/>
    <w:rsid w:val="00204AAE"/>
    <w:rsid w:val="002533E7"/>
    <w:rsid w:val="00253470"/>
    <w:rsid w:val="0025731A"/>
    <w:rsid w:val="0025742E"/>
    <w:rsid w:val="00293FBB"/>
    <w:rsid w:val="002C4375"/>
    <w:rsid w:val="002C7931"/>
    <w:rsid w:val="00324785"/>
    <w:rsid w:val="00343609"/>
    <w:rsid w:val="0035618B"/>
    <w:rsid w:val="003723C6"/>
    <w:rsid w:val="0037544D"/>
    <w:rsid w:val="003A45D3"/>
    <w:rsid w:val="003A48E6"/>
    <w:rsid w:val="003D6DEB"/>
    <w:rsid w:val="00431C33"/>
    <w:rsid w:val="0045546B"/>
    <w:rsid w:val="004A10F6"/>
    <w:rsid w:val="004A56D2"/>
    <w:rsid w:val="004B4F52"/>
    <w:rsid w:val="004C225A"/>
    <w:rsid w:val="004D10A1"/>
    <w:rsid w:val="00500808"/>
    <w:rsid w:val="0052016E"/>
    <w:rsid w:val="00552F2E"/>
    <w:rsid w:val="00560E98"/>
    <w:rsid w:val="0056272B"/>
    <w:rsid w:val="00563598"/>
    <w:rsid w:val="005909FC"/>
    <w:rsid w:val="005B0AEE"/>
    <w:rsid w:val="005D3B8A"/>
    <w:rsid w:val="005F393C"/>
    <w:rsid w:val="0060418B"/>
    <w:rsid w:val="00612E51"/>
    <w:rsid w:val="00615B83"/>
    <w:rsid w:val="00626C13"/>
    <w:rsid w:val="006430C0"/>
    <w:rsid w:val="00644DDA"/>
    <w:rsid w:val="00674D7C"/>
    <w:rsid w:val="007577A0"/>
    <w:rsid w:val="00780BD3"/>
    <w:rsid w:val="00795D9F"/>
    <w:rsid w:val="007C0F3D"/>
    <w:rsid w:val="007C30AB"/>
    <w:rsid w:val="007C34C7"/>
    <w:rsid w:val="007F61A5"/>
    <w:rsid w:val="00840197"/>
    <w:rsid w:val="00843EC4"/>
    <w:rsid w:val="00847CA4"/>
    <w:rsid w:val="00857CAC"/>
    <w:rsid w:val="00860BB6"/>
    <w:rsid w:val="00870BB5"/>
    <w:rsid w:val="00874781"/>
    <w:rsid w:val="00894D08"/>
    <w:rsid w:val="008A749A"/>
    <w:rsid w:val="008B2509"/>
    <w:rsid w:val="008E3702"/>
    <w:rsid w:val="00914297"/>
    <w:rsid w:val="00922D4C"/>
    <w:rsid w:val="00944FEC"/>
    <w:rsid w:val="00966F5A"/>
    <w:rsid w:val="00A032E6"/>
    <w:rsid w:val="00A12163"/>
    <w:rsid w:val="00A1590A"/>
    <w:rsid w:val="00A31F0D"/>
    <w:rsid w:val="00A3572D"/>
    <w:rsid w:val="00A77466"/>
    <w:rsid w:val="00A83D59"/>
    <w:rsid w:val="00A9454F"/>
    <w:rsid w:val="00A9640E"/>
    <w:rsid w:val="00AE5CDA"/>
    <w:rsid w:val="00AE6377"/>
    <w:rsid w:val="00B46209"/>
    <w:rsid w:val="00B76D89"/>
    <w:rsid w:val="00BF3964"/>
    <w:rsid w:val="00C22D73"/>
    <w:rsid w:val="00C472CE"/>
    <w:rsid w:val="00C843FA"/>
    <w:rsid w:val="00C96B47"/>
    <w:rsid w:val="00CB4A57"/>
    <w:rsid w:val="00CF4B8F"/>
    <w:rsid w:val="00D36541"/>
    <w:rsid w:val="00D42956"/>
    <w:rsid w:val="00D477E0"/>
    <w:rsid w:val="00D70DE6"/>
    <w:rsid w:val="00D75F59"/>
    <w:rsid w:val="00D9038E"/>
    <w:rsid w:val="00D905BE"/>
    <w:rsid w:val="00DC4A6F"/>
    <w:rsid w:val="00DF2AE5"/>
    <w:rsid w:val="00E014DC"/>
    <w:rsid w:val="00E12BC3"/>
    <w:rsid w:val="00E12D96"/>
    <w:rsid w:val="00E429BF"/>
    <w:rsid w:val="00E4419C"/>
    <w:rsid w:val="00E72DB2"/>
    <w:rsid w:val="00E93181"/>
    <w:rsid w:val="00EB05C4"/>
    <w:rsid w:val="00ED613B"/>
    <w:rsid w:val="00EE5BA9"/>
    <w:rsid w:val="00F233FB"/>
    <w:rsid w:val="00F309F5"/>
    <w:rsid w:val="00F41A0E"/>
    <w:rsid w:val="00F914EB"/>
    <w:rsid w:val="00F9306E"/>
    <w:rsid w:val="0D0B02FC"/>
    <w:rsid w:val="4400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semiHidden/>
    <w:qFormat/>
    <w:uiPriority w:val="0"/>
    <w:rPr>
      <w:rFonts w:ascii="PingFang SC" w:hAnsi="PingFang SC" w:eastAsia="PingFang SC" w:cs="PingFang SC"/>
      <w:sz w:val="29"/>
      <w:szCs w:val="29"/>
    </w:rPr>
  </w:style>
  <w:style w:type="paragraph" w:styleId="3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4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3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hAnsi="宋体" w:eastAsia="宋体" w:cs="宋体"/>
      <w:snapToGrid/>
      <w:color w:val="auto"/>
      <w:sz w:val="24"/>
      <w:szCs w:val="24"/>
      <w:lang w:eastAsia="zh-CN"/>
    </w:rPr>
  </w:style>
  <w:style w:type="character" w:styleId="9">
    <w:name w:val="Strong"/>
    <w:basedOn w:val="8"/>
    <w:qFormat/>
    <w:uiPriority w:val="22"/>
    <w:rPr>
      <w:b/>
      <w:bCs/>
    </w:rPr>
  </w:style>
  <w:style w:type="character" w:customStyle="1" w:styleId="10">
    <w:name w:val="正文文本 字符"/>
    <w:basedOn w:val="8"/>
    <w:link w:val="2"/>
    <w:semiHidden/>
    <w:qFormat/>
    <w:uiPriority w:val="0"/>
    <w:rPr>
      <w:rFonts w:ascii="PingFang SC" w:hAnsi="PingFang SC" w:eastAsia="PingFang SC" w:cs="PingFang SC"/>
      <w:snapToGrid w:val="0"/>
      <w:color w:val="000000"/>
      <w:kern w:val="0"/>
      <w:sz w:val="29"/>
      <w:szCs w:val="29"/>
      <w:lang w:eastAsia="en-US"/>
    </w:rPr>
  </w:style>
  <w:style w:type="table" w:customStyle="1" w:styleId="11">
    <w:name w:val="Table Normal"/>
    <w:semiHidden/>
    <w:unhideWhenUsed/>
    <w:qFormat/>
    <w:uiPriority w:val="0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Text"/>
    <w:basedOn w:val="1"/>
    <w:semiHidden/>
    <w:qFormat/>
    <w:uiPriority w:val="0"/>
  </w:style>
  <w:style w:type="character" w:customStyle="1" w:styleId="13">
    <w:name w:val="页眉 字符"/>
    <w:basedOn w:val="8"/>
    <w:link w:val="5"/>
    <w:semiHidden/>
    <w:qFormat/>
    <w:uiPriority w:val="99"/>
    <w:rPr>
      <w:rFonts w:ascii="Arial" w:hAnsi="Arial" w:eastAsia="Arial" w:cs="Arial"/>
      <w:snapToGrid w:val="0"/>
      <w:color w:val="000000"/>
      <w:kern w:val="0"/>
      <w:sz w:val="18"/>
      <w:szCs w:val="18"/>
      <w:lang w:eastAsia="en-US"/>
    </w:rPr>
  </w:style>
  <w:style w:type="character" w:customStyle="1" w:styleId="14">
    <w:name w:val="页脚 字符"/>
    <w:basedOn w:val="8"/>
    <w:link w:val="4"/>
    <w:semiHidden/>
    <w:qFormat/>
    <w:uiPriority w:val="99"/>
    <w:rPr>
      <w:rFonts w:ascii="Arial" w:hAnsi="Arial" w:eastAsia="Arial" w:cs="Arial"/>
      <w:snapToGrid w:val="0"/>
      <w:color w:val="000000"/>
      <w:kern w:val="0"/>
      <w:sz w:val="18"/>
      <w:szCs w:val="18"/>
      <w:lang w:eastAsia="en-US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6">
    <w:name w:val="批注框文本 字符"/>
    <w:basedOn w:val="8"/>
    <w:link w:val="3"/>
    <w:semiHidden/>
    <w:qFormat/>
    <w:uiPriority w:val="99"/>
    <w:rPr>
      <w:rFonts w:ascii="Arial" w:hAnsi="Arial" w:eastAsia="Arial" w:cs="Arial"/>
      <w:snapToGrid w:val="0"/>
      <w:color w:val="000000"/>
      <w:kern w:val="0"/>
      <w:sz w:val="18"/>
      <w:szCs w:val="18"/>
      <w:lang w:eastAsia="en-US"/>
    </w:rPr>
  </w:style>
  <w:style w:type="character" w:customStyle="1" w:styleId="17">
    <w:name w:val="其他_"/>
    <w:basedOn w:val="8"/>
    <w:link w:val="18"/>
    <w:qFormat/>
    <w:locked/>
    <w:uiPriority w:val="0"/>
    <w:rPr>
      <w:rFonts w:ascii="宋体" w:hAnsi="宋体" w:eastAsia="宋体" w:cs="宋体"/>
      <w:sz w:val="40"/>
      <w:szCs w:val="40"/>
    </w:rPr>
  </w:style>
  <w:style w:type="paragraph" w:customStyle="1" w:styleId="18">
    <w:name w:val="其他"/>
    <w:basedOn w:val="1"/>
    <w:link w:val="17"/>
    <w:uiPriority w:val="0"/>
    <w:pPr>
      <w:widowControl w:val="0"/>
      <w:kinsoku/>
      <w:autoSpaceDE/>
      <w:autoSpaceDN/>
      <w:adjustRightInd/>
      <w:snapToGrid/>
      <w:spacing w:line="635" w:lineRule="exact"/>
      <w:ind w:firstLine="20"/>
      <w:textAlignment w:val="auto"/>
    </w:pPr>
    <w:rPr>
      <w:rFonts w:ascii="宋体" w:hAnsi="宋体" w:eastAsia="宋体" w:cs="宋体"/>
      <w:snapToGrid/>
      <w:color w:val="auto"/>
      <w:kern w:val="2"/>
      <w:sz w:val="40"/>
      <w:szCs w:val="40"/>
      <w:lang w:eastAsia="zh-CN"/>
    </w:rPr>
  </w:style>
  <w:style w:type="character" w:customStyle="1" w:styleId="19">
    <w:name w:val="sup-text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6ACB52-DD32-4C4D-A919-0914DD950D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839</Words>
  <Characters>908</Characters>
  <Lines>7</Lines>
  <Paragraphs>2</Paragraphs>
  <TotalTime>6</TotalTime>
  <ScaleCrop>false</ScaleCrop>
  <LinksUpToDate>false</LinksUpToDate>
  <CharactersWithSpaces>998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2025-05-07T11:16:00Z</dcterms:created>
  <dc:creator>Administrator</dc:creator>
  <cp:lastModifiedBy>纯欲阿尔卑斯</cp:lastModifiedBy>
  <dcterms:modified xsi:type="dcterms:W3CDTF">2025-06-17T09:02:01Z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eyJoZGlkIjoiZjRlZThhZTZjNGQwMTZjZTU5MDA4ZTRhMmM2ODZlOTAiLCJ1c2VySWQiOiIzODgyNDkzNTcifQ==</vt:lpwstr>
  </property>
  <property fmtid="{D5CDD505-2E9C-101B-9397-08002B2CF9AE}" pid="3" name="KSOProductBuildVer">
    <vt:lpwstr>2052-12.1.0.21541</vt:lpwstr>
  </property>
  <property fmtid="{D5CDD505-2E9C-101B-9397-08002B2CF9AE}" pid="4" name="ICV">
    <vt:lpwstr>27D22EB09D6E4B919566EA3D72FB01DE_13</vt:lpwstr>
  </property>
</Properties>
</file>