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Cursor入门文档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星辰技术专项组 | 2026年2月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Cursor入门文档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随着大模型的能力逐步提升，使用ai编程不再是一个遥远的事情，本文档将聚焦于cursor的使用，将前期投入尽量减少，做到开箱即用。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下载安装Cursor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地址：</w:t>
      </w:r>
      <w:hyperlink r:id="rId4">
        <w:r>
          <w:rPr>
            <w:rFonts w:eastAsia="等线" w:ascii="Arial" w:cs="Arial" w:hAnsi="Arial"/>
            <w:color w:val="3370ff"/>
            <w:sz w:val="22"/>
          </w:rPr>
          <w:t>Cursor：官网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注册你的账号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使用邮箱（example: xyz@shiyue.com）进行注册。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Cursor为订阅制软件，本文简要介绍两种级别的订阅，其余可在官网查询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Free：故名思议，是免费的订阅账号，该账号可使用有限次的Tab补全，有限次的模型使用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Pro：最基础档位的付费订阅，无限次的Tab补全，模型开放更多，但高级模型有调用次数限制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相关网址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官方文档 </w:t>
      </w:r>
      <w:hyperlink r:id="rId6">
        <w:r>
          <w:rPr>
            <w:rFonts w:eastAsia="等线" w:ascii="Arial" w:cs="Arial" w:hAnsi="Arial"/>
            <w:color w:val="3370ff"/>
            <w:sz w:val="22"/>
          </w:rPr>
          <w:t>Cursor 文档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腾讯MCP Server </w:t>
      </w:r>
      <w:hyperlink r:id="rId7">
        <w:r>
          <w:rPr>
            <w:rFonts w:eastAsia="等线" w:ascii="Arial" w:cs="Arial" w:hAnsi="Arial"/>
            <w:color w:val="3370ff"/>
            <w:sz w:val="22"/>
          </w:rPr>
          <w:t>腾讯云开发者 MCP广场_开发者MCP服务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MCP Servers </w:t>
      </w:r>
      <w:hyperlink r:id="rId8">
        <w:r>
          <w:rPr>
            <w:rFonts w:eastAsia="等线" w:ascii="Arial" w:cs="Arial" w:hAnsi="Arial"/>
            <w:color w:val="3370ff"/>
            <w:sz w:val="22"/>
          </w:rPr>
          <w:t>MCP Servers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使用Cursor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color w:val="2ea121"/>
          <w:sz w:val="32"/>
        </w:rPr>
        <w:t>安装插件</w:t>
      </w:r>
      <w:bookmarkEnd w:id="5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790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781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color w:val="2ea121"/>
          <w:sz w:val="32"/>
        </w:rPr>
        <w:t xml:space="preserve">常用插件 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中文包</w:t>
      </w:r>
      <w:r>
        <w:rPr>
          <w:rFonts w:eastAsia="等线" w:ascii="Arial" w:cs="Arial" w:hAnsi="Arial"/>
          <w:color w:val="8f959e"/>
          <w:sz w:val="22"/>
        </w:rPr>
        <w:t>: Chinese (Simplified) (简体中文) Language Pack for Visual Studio Code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主题</w:t>
      </w:r>
      <w:r>
        <w:rPr>
          <w:rFonts w:eastAsia="等线" w:ascii="Arial" w:cs="Arial" w:hAnsi="Arial"/>
          <w:color w:val="8f959e"/>
          <w:sz w:val="22"/>
        </w:rPr>
        <w:t>:  GitHub Theme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文件图标</w:t>
      </w:r>
      <w:r>
        <w:rPr>
          <w:rFonts w:eastAsia="等线" w:ascii="Arial" w:cs="Arial" w:hAnsi="Arial"/>
          <w:color w:val="8f959e"/>
          <w:sz w:val="22"/>
        </w:rPr>
        <w:t>: vscode-icons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Vim</w:t>
      </w:r>
      <w:r>
        <w:rPr>
          <w:rFonts w:eastAsia="等线" w:ascii="Arial" w:cs="Arial" w:hAnsi="Arial"/>
          <w:color w:val="8f959e"/>
          <w:sz w:val="22"/>
        </w:rPr>
        <w:t>: Vim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Erlang</w:t>
      </w:r>
      <w:r>
        <w:rPr>
          <w:rFonts w:eastAsia="等线" w:ascii="Arial" w:cs="Arial" w:hAnsi="Arial"/>
          <w:color w:val="8f959e"/>
          <w:sz w:val="22"/>
        </w:rPr>
        <w:t>:Erlang LS</w:t>
      </w:r>
      <w:r>
        <w:rPr>
          <w:rFonts w:eastAsia="等线" w:ascii="Arial" w:cs="Arial" w:hAnsi="Arial"/>
          <w:color w:val="8f959e"/>
          <w:sz w:val="22"/>
        </w:rPr>
        <w:t xml:space="preserve">      没那么好用</w:t>
      </w:r>
      <w:r>
        <w:rPr>
          <w:rFonts w:eastAsia="等线" w:ascii="Arial" w:cs="Arial" w:hAnsi="Arial"/>
          <w:color w:val="8f959e"/>
          <w:sz w:val="22"/>
        </w:rPr>
        <w:t xml:space="preserve"> 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 xml:space="preserve">(内部版) </w:t>
      </w:r>
      <w:r>
        <w:rPr>
          <w:rFonts w:eastAsia="等线" w:ascii="Arial" w:cs="Arial" w:hAnsi="Arial"/>
          <w:color w:val="8f959e"/>
          <w:sz w:val="22"/>
        </w:rPr>
        <w:t>erlang-ls-xc-0.0.1.vsix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Erlang</w:t>
      </w:r>
      <w:r>
        <w:rPr>
          <w:rFonts w:eastAsia="等线" w:ascii="Arial" w:cs="Arial" w:hAnsi="Arial"/>
          <w:sz w:val="22"/>
        </w:rPr>
        <w:t>:</w:t>
      </w:r>
      <w:r>
        <w:rPr>
          <w:rFonts w:eastAsia="等线" w:ascii="Arial" w:cs="Arial" w:hAnsi="Arial"/>
          <w:color w:val="8f959e"/>
          <w:sz w:val="22"/>
        </w:rPr>
        <w:t>ELP        使用体验更佳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(内部版) </w:t>
      </w:r>
      <w:r>
        <w:rPr>
          <w:rFonts w:eastAsia="等线" w:ascii="Arial" w:cs="Arial" w:hAnsi="Arial"/>
          <w:sz w:val="22"/>
        </w:rPr>
        <w:t>erlang-language-platform-xc-0.0.1.vsix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将以下两个文件放置于项目打开路径的根路径下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.elp.toml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build_info.json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注释:</w:t>
      </w:r>
      <w:r>
        <w:rPr>
          <w:rFonts w:eastAsia="等线" w:ascii="Arial" w:cs="Arial" w:hAnsi="Arial"/>
          <w:color w:val="8f959e"/>
          <w:sz w:val="22"/>
        </w:rPr>
        <w:t xml:space="preserve"> Better Comments Next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Git:</w:t>
      </w:r>
      <w:r>
        <w:rPr>
          <w:rFonts w:eastAsia="等线" w:ascii="Arial" w:cs="Arial" w:hAnsi="Arial"/>
          <w:color w:val="8f959e"/>
          <w:sz w:val="22"/>
        </w:rPr>
        <w:t xml:space="preserve"> GitLens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颜色:</w:t>
      </w:r>
      <w:r>
        <w:rPr>
          <w:rFonts w:eastAsia="等线" w:ascii="Arial" w:cs="Arial" w:hAnsi="Arial"/>
          <w:color w:val="8f959e"/>
          <w:sz w:val="22"/>
        </w:rPr>
        <w:t xml:space="preserve"> Color Highlight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快捷打开:</w:t>
      </w:r>
      <w:r>
        <w:rPr>
          <w:rFonts w:eastAsia="等线" w:ascii="Arial" w:cs="Arial" w:hAnsi="Arial"/>
          <w:color w:val="8f959e"/>
          <w:sz w:val="22"/>
        </w:rPr>
        <w:t xml:space="preserve"> QuickOpen with selected </w:t>
      </w:r>
      <w:r>
        <w:rPr>
          <w:rFonts w:eastAsia="等线" w:ascii="Arial" w:cs="Arial" w:hAnsi="Arial"/>
          <w:color w:val="8f959e"/>
          <w:sz w:val="22"/>
        </w:rPr>
        <w:t>quickopen-with-selection-1.0.1.vsix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color w:val="2ea121"/>
          <w:sz w:val="32"/>
        </w:rPr>
        <w:t xml:space="preserve">导入配置文件  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配置文件是什么：</w:t>
      </w:r>
      <w:r>
        <w:rPr>
          <w:rFonts w:eastAsia="等线" w:ascii="Arial" w:cs="Arial" w:hAnsi="Arial"/>
          <w:color w:val="8f959e"/>
          <w:sz w:val="22"/>
        </w:rPr>
        <w:t>配置文件里面保存</w:t>
      </w:r>
      <w:r>
        <w:rPr>
          <w:rFonts w:eastAsia="等线" w:ascii="Arial" w:cs="Arial" w:hAnsi="Arial"/>
          <w:b w:val="true"/>
          <w:color w:val="8f959e"/>
          <w:sz w:val="22"/>
        </w:rPr>
        <w:t>布局、快捷键、插件</w:t>
      </w:r>
      <w:r>
        <w:rPr>
          <w:rFonts w:eastAsia="等线" w:ascii="Arial" w:cs="Arial" w:hAnsi="Arial"/>
          <w:color w:val="8f959e"/>
          <w:sz w:val="22"/>
        </w:rPr>
        <w:t>等很多设置，一个新的环境导入以前的配置文件即可恢复之前导出的编辑器环境，无需每次从0开始配置。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选择"文件" -&gt; "首选项"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276725" cy="3924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点击新建配置文件右边的"下拉箭头" -&gt; "导入配置文件"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657725" cy="1485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点击"选择文件"，选择想导入的配置文件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885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可以修改导入后保存方案的名字，以及具体每个内容用默认的还是用导入方案的，修改好后点击创建，则创建为自己的方案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572000" cy="55816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重载下编辑器或重开编辑器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 </w:t>
      </w:r>
      <w:r>
        <w:rPr>
          <w:rFonts w:eastAsia="等线" w:ascii="Arial" w:cs="Arial" w:hAnsi="Arial"/>
          <w:b w:val="true"/>
          <w:color w:val="8f959e"/>
          <w:sz w:val="22"/>
        </w:rPr>
        <w:t>Ctrl+Shift+p</w:t>
      </w:r>
      <w:r>
        <w:rPr>
          <w:rFonts w:eastAsia="等线" w:ascii="Arial" w:cs="Arial" w:hAnsi="Arial"/>
          <w:color w:val="8f959e"/>
          <w:sz w:val="22"/>
        </w:rPr>
        <w:t xml:space="preserve"> 呼出命令窗口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    - </w:t>
      </w:r>
      <w:r>
        <w:rPr>
          <w:rFonts w:eastAsia="等线" w:ascii="Arial" w:cs="Arial" w:hAnsi="Arial"/>
          <w:b w:val="true"/>
          <w:color w:val="8f959e"/>
          <w:sz w:val="22"/>
        </w:rPr>
        <w:t>Reload Windows</w:t>
      </w:r>
      <w:r>
        <w:rPr>
          <w:rFonts w:eastAsia="等线" w:ascii="Arial" w:cs="Arial" w:hAnsi="Arial"/>
          <w:color w:val="8f959e"/>
          <w:sz w:val="22"/>
        </w:rPr>
        <w:t xml:space="preserve"> 重新打开窗口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color w:val="2ea121"/>
          <w:sz w:val="32"/>
        </w:rPr>
        <w:t>相关配置</w:t>
      </w:r>
      <w:bookmarkEnd w:id="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配置文件(可选)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Idea布局配置 (基于idea习惯的配置方案)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仿idea模式.code-profile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Vim布局配置 (基于Vim习惯的配置方案)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cursor(1).code-profile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IDEA字体包</w:t>
      </w:r>
      <w:r>
        <w:rPr>
          <w:rFonts w:eastAsia="等线" w:ascii="Arial" w:cs="Arial" w:hAnsi="Arial"/>
          <w:color w:val="8f959e"/>
          <w:sz w:val="22"/>
        </w:rPr>
        <w:t>：</w:t>
      </w:r>
      <w:r>
        <w:rPr>
          <w:rFonts w:eastAsia="等线" w:ascii="Arial" w:cs="Arial" w:hAnsi="Arial"/>
          <w:color w:val="8f959e"/>
          <w:sz w:val="22"/>
        </w:rPr>
        <w:t>JetBrainsMono-2.304.zip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Erlang-LS配置参考用例</w:t>
      </w:r>
      <w:r>
        <w:rPr>
          <w:rFonts w:eastAsia="等线" w:ascii="Arial" w:cs="Arial" w:hAnsi="Arial"/>
          <w:color w:val="8f959e"/>
          <w:sz w:val="22"/>
        </w:rPr>
        <w:t>：</w:t>
      </w:r>
      <w:r>
        <w:rPr>
          <w:rFonts w:eastAsia="等线" w:ascii="Arial" w:cs="Arial" w:hAnsi="Arial"/>
          <w:color w:val="8f959e"/>
          <w:sz w:val="22"/>
        </w:rPr>
        <w:t>erlang_ls.config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color w:val="2ea121"/>
          <w:sz w:val="32"/>
        </w:rPr>
        <w:t>隐私设置</w:t>
      </w:r>
      <w:r>
        <w:rPr>
          <w:rFonts w:eastAsia="等线" w:ascii="Arial" w:cs="Arial" w:hAnsi="Arial"/>
          <w:b w:val="true"/>
          <w:color w:val="8f959e"/>
          <w:sz w:val="32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32"/>
        </w:rPr>
        <w:t>（重要）</w:t>
      </w:r>
      <w:bookmarkEnd w:id="9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打开公司内部项目，Cursor中的隐私设置模式</w:t>
      </w:r>
      <w:r>
        <w:rPr>
          <w:rFonts w:eastAsia="等线" w:ascii="Arial" w:cs="Arial" w:hAnsi="Arial"/>
          <w:b w:val="true"/>
          <w:color w:val="8f959e"/>
          <w:sz w:val="22"/>
        </w:rPr>
        <w:t>必须设置</w:t>
      </w:r>
      <w:r>
        <w:rPr>
          <w:rFonts w:eastAsia="等线" w:ascii="Arial" w:cs="Arial" w:hAnsi="Arial"/>
          <w:color w:val="8f959e"/>
          <w:sz w:val="22"/>
        </w:rPr>
        <w:t>为</w:t>
      </w:r>
      <w:r>
        <w:rPr>
          <w:rFonts w:eastAsia="等线" w:ascii="Arial" w:cs="Arial" w:hAnsi="Arial"/>
          <w:b w:val="true"/>
          <w:color w:val="8f959e"/>
          <w:sz w:val="22"/>
        </w:rPr>
        <w:t>PrivacyMode（Legacy）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选择齿轮设置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000375" cy="1047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选择PrivacyMode（Legacy）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0194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4.6 </w:t>
      </w:r>
      <w:r>
        <w:rPr>
          <w:rFonts w:eastAsia="等线" w:ascii="Arial" w:cs="Arial" w:hAnsi="Arial"/>
          <w:b w:val="true"/>
          <w:color w:val="2ea121"/>
          <w:sz w:val="32"/>
        </w:rPr>
        <w:t>优化Cursor内的文件索引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Cursor Settings -&gt; Indexing &amp; Docs -&gt; Ignore Files in .cursorignore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在其中填入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*.beam</w:t>
            </w:r>
            <w:r>
              <w:rPr>
                <w:rFonts w:eastAsia="Consolas" w:ascii="Consolas" w:cs="Consolas" w:hAnsi="Consolas"/>
                <w:sz w:val="22"/>
              </w:rPr>
              <w:br/>
              <w:t>*.meta</w:t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zone/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merge/dets/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回到刚才的设置页面，在Codebase Indexing中点击Sync重载，可忽略绝大多数的非必要文件，增加索引速度和质量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4.7 </w:t>
      </w:r>
      <w:r>
        <w:rPr>
          <w:rFonts w:eastAsia="等线" w:ascii="Arial" w:cs="Arial" w:hAnsi="Arial"/>
          <w:b w:val="true"/>
          <w:color w:val="2ea121"/>
          <w:sz w:val="32"/>
        </w:rPr>
        <w:t>Users Rules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一个良好的Role Rule能让ai的回答更符合目标，这里有一份通用的rule，你可以在：Cursor Settings -&gt; Rules &amp; Memories -&gt; User Rules 中进行添加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## 通用礼节 (General Etiquette)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优先保证代码简洁易懂。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别搞过度设计，简单实用就好。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写代码时，要注意圈复杂度，函数尽量小，尽量可以复用，尽量不写重复代码。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写代码时，注意模块设计，尽量使用设计模式。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给我解释代码的时候，说人话，别拽专业术语。最好有图（mermaid风格）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帮我实现的时候，需要给出原理，并给出执行步骤，最好有图（mermaid风格）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改动或者解释前，最好看看所有代码，不能偷懒。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改动前，要做最小化修改，尽量不修改到其他模块的代码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改动后，假定10条case 输入，并给出预期结果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给出的mermaid图，必须自检语法，可以被渲染，在暗黑主题上清晰可见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给出的mermaid图，必须要可以被暗黑主题渲染清晰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实验性规则 (Experimental Rule)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当你被要求修复一个 Bug 时，请遵循以下步骤：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1.  **理解问题 (Understand):** 仔细阅读 Bug 描述和相关代码，复述你对问题的理解。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2.  **分析原因 (Analyze):** 提出至少两种可能的根本原因。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3.  **制定计划 (Plan):** 描述你打算如何验证这些原因，并给出修复方案。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4.  **请求确认 (Confirm):** 在动手修改前，向我确认你的计划。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5.  **执行修复 (Execute):** 实施修复。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6.  **审查 (Review):** 查看自己的修改有没有问题。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7.  **解释说明 (Explain):** 解释你做了哪些修改以及为什么。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Always respond in Chinese-simplified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4.8 </w:t>
      </w:r>
      <w:r>
        <w:rPr>
          <w:rFonts w:eastAsia="等线" w:ascii="Arial" w:cs="Arial" w:hAnsi="Arial"/>
          <w:b w:val="true"/>
          <w:color w:val="2ea121"/>
          <w:sz w:val="32"/>
        </w:rPr>
        <w:t>模型用量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每个账号有使用量限制，可以在聊天框底部进度条实时查看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4287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2479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4.9 </w:t>
      </w:r>
      <w:r>
        <w:rPr>
          <w:rFonts w:eastAsia="等线" w:ascii="Arial" w:cs="Arial" w:hAnsi="Arial"/>
          <w:b w:val="true"/>
          <w:color w:val="2ea121"/>
          <w:sz w:val="32"/>
        </w:rPr>
        <w:t>布局选择</w:t>
      </w:r>
      <w:bookmarkEnd w:id="1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Cursor默认布局的工具栏是隐藏起来的，可以修改为VSCode布局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修改前                                                                             修改后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59067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85737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修改操作：左上角"文件" -&gt; "首选项" -&gt; "设置" -&gt; 搜索"</w:t>
      </w:r>
      <w:r>
        <w:rPr>
          <w:rFonts w:eastAsia="等线" w:ascii="Arial" w:cs="Arial" w:hAnsi="Arial"/>
          <w:b w:val="true"/>
          <w:color w:val="8f959e"/>
          <w:sz w:val="22"/>
        </w:rPr>
        <w:t>Activity Bar: Orientation</w:t>
      </w:r>
      <w:r>
        <w:rPr>
          <w:rFonts w:eastAsia="等线" w:ascii="Arial" w:cs="Arial" w:hAnsi="Arial"/>
          <w:color w:val="8f959e"/>
          <w:sz w:val="22"/>
        </w:rPr>
        <w:t>" -&gt; 修改为 "</w:t>
      </w:r>
      <w:r>
        <w:rPr>
          <w:rFonts w:eastAsia="等线" w:ascii="Arial" w:cs="Arial" w:hAnsi="Arial"/>
          <w:b w:val="true"/>
          <w:color w:val="8f959e"/>
          <w:sz w:val="22"/>
        </w:rPr>
        <w:t>vertical</w:t>
      </w:r>
      <w:r>
        <w:rPr>
          <w:rFonts w:eastAsia="等线" w:ascii="Arial" w:cs="Arial" w:hAnsi="Arial"/>
          <w:color w:val="8f959e"/>
          <w:sz w:val="22"/>
        </w:rPr>
        <w:t>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4.10 </w:t>
      </w:r>
      <w:r>
        <w:rPr>
          <w:rFonts w:eastAsia="等线" w:ascii="Arial" w:cs="Arial" w:hAnsi="Arial"/>
          <w:b w:val="true"/>
          <w:color w:val="2ea121"/>
          <w:sz w:val="32"/>
        </w:rPr>
        <w:t>模型选择</w:t>
      </w:r>
      <w:bookmarkEnd w:id="1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呼出对话界面 (Ctrl+ i)：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2956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Agent :</w:t>
            </w:r>
            <w:r>
              <w:rPr>
                <w:rFonts w:eastAsia="等线" w:ascii="Arial" w:cs="Arial" w:hAnsi="Arial"/>
                <w:color w:val="8f959e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智能代理模式，会主动分析并且修改代码（跨多文件），但需要自己accept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Plan: 先生成计划，再明确进行才会交给Agent执行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Ask: 交互问答模式，自己看回答，选择是否采纳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日常开发过程中实用案例汇总（持续更新...）</w:t>
      </w:r>
      <w:bookmarkEnd w:id="15"/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color w:val="8f959e"/>
          <w:sz w:val="32"/>
        </w:rPr>
        <w:t>ai代码审核：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prompt：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@season/ 请帮我扫描一遍这个文件夹内的代码，判断这其中的代码是否包含逻辑错误，以及代码实际逻辑和注释存在区别的地方，请严格检查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381500" cy="66770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color w:val="8f959e"/>
          <w:sz w:val="32"/>
        </w:rPr>
        <w:t>非惯用语言优化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prompt：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@clone.sh 我这里有一个克隆数据使用的脚本，主要作用是从远程机上拉取备份数据，然后解压后还原dets和mysql。但现在这个脚本执行起来实在是太慢了，请帮我优化它的效率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124200" cy="79248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color w:val="8f959e"/>
          <w:sz w:val="32"/>
        </w:rPr>
        <w:t>由图生成前端代码</w:t>
      </w:r>
      <w:bookmarkEnd w:id="1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可适当提示已有文件让其仿写，减少乱写的概率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3242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color w:val="8f959e"/>
          <w:sz w:val="32"/>
        </w:rPr>
        <w:t>分析函数调用链</w:t>
      </w:r>
      <w:bookmarkEnd w:id="1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查代码bug的时候，可以对话过程中提问式的分析函数调用点，查到问题并分析可能的原因，30分钟的问题查询时间，可能缩短到10分钟甚至5分钟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73342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5.5 </w:t>
      </w:r>
      <w:r>
        <w:rPr>
          <w:rFonts w:eastAsia="等线" w:ascii="Arial" w:cs="Arial" w:hAnsi="Arial"/>
          <w:b w:val="true"/>
          <w:color w:val="8f959e"/>
          <w:sz w:val="32"/>
        </w:rPr>
        <w:t>终端Shell指令补全</w:t>
      </w:r>
      <w:bookmarkEnd w:id="2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可以用cursor打开终端，忘记一些指令的时候可以快速询问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0287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5.6 </w:t>
      </w:r>
      <w:r>
        <w:rPr>
          <w:rFonts w:eastAsia="等线" w:ascii="Arial" w:cs="Arial" w:hAnsi="Arial"/>
          <w:b w:val="true"/>
          <w:color w:val="8f959e"/>
          <w:sz w:val="32"/>
        </w:rPr>
        <w:t>定位bug问题</w:t>
      </w:r>
      <w:bookmarkEnd w:id="21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2292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5.7 </w:t>
      </w:r>
      <w:r>
        <w:rPr>
          <w:rFonts w:eastAsia="等线" w:ascii="Arial" w:cs="Arial" w:hAnsi="Arial"/>
          <w:b w:val="true"/>
          <w:color w:val="8f959e"/>
          <w:sz w:val="32"/>
        </w:rPr>
        <w:t>代码解释</w:t>
      </w:r>
      <w:bookmarkEnd w:id="2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使用ctrl+k 解释勾选的代码块，加速代码理解和阅读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5052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5.8 </w:t>
      </w:r>
      <w:r>
        <w:rPr>
          <w:rFonts w:eastAsia="等线" w:ascii="Arial" w:cs="Arial" w:hAnsi="Arial"/>
          <w:b w:val="true"/>
          <w:color w:val="8f959e"/>
          <w:sz w:val="32"/>
        </w:rPr>
        <w:t>快速加打印</w:t>
      </w:r>
      <w:bookmarkEnd w:id="2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这里使用Tab和ctrl+k都可以，怎么方便怎么来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5242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5.9 </w:t>
      </w:r>
      <w:r>
        <w:rPr>
          <w:rFonts w:eastAsia="等线" w:ascii="Arial" w:cs="Arial" w:hAnsi="Arial"/>
          <w:b w:val="true"/>
          <w:color w:val="8f959e"/>
          <w:sz w:val="32"/>
        </w:rPr>
        <w:t>快速代码改写</w:t>
      </w:r>
      <w:bookmarkEnd w:id="2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按照你的提示语来改，或者让他直接参照项目已有代码范例来改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9053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4004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5.10 </w:t>
      </w:r>
      <w:r>
        <w:rPr>
          <w:rFonts w:eastAsia="等线" w:ascii="Arial" w:cs="Arial" w:hAnsi="Arial"/>
          <w:b w:val="true"/>
          <w:color w:val="8f959e"/>
          <w:sz w:val="32"/>
        </w:rPr>
        <w:t>快速搭建基础代码，减少重复框架代码的重复书写</w:t>
      </w:r>
      <w:bookmarkEnd w:id="2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prompt：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我现在要写一个针对部位的精炼功能，传入参数为精炼的部位对应的id和对应的道具id和数量，精炼前先判断当前流派对应的天赋树内是否已装备，再通过随机得出本次可以精炼多少条数据，再根据当前已装备物的主属性去判断当前哪些主属性词条可被增加。幅度由表决定，这里先空出来给我稍后填写，此处还要加一个限制，判断当前是否有属性已超出当前资质上限值，超出则不加这条资质，直到两条资质都达到当前上限时，才允许用下一个资质阶段的参数去精炼。将加成值写回结构内，并推送更新，编写日志记录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0956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5.11 </w:t>
      </w:r>
      <w:r>
        <w:rPr>
          <w:rFonts w:eastAsia="等线" w:ascii="Arial" w:cs="Arial" w:hAnsi="Arial"/>
          <w:b w:val="true"/>
          <w:color w:val="8f959e"/>
          <w:sz w:val="32"/>
        </w:rPr>
        <w:t>快速找到功能代码入口</w:t>
      </w:r>
      <w:bookmarkEnd w:id="2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prompt：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帮我找到战斗结束后保存录像文件的代码在哪里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981450" cy="91916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19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3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06621">
    <w:lvl>
      <w:numFmt w:val="bullet"/>
      <w:suff w:val="tab"/>
      <w:lvlText w:val="•"/>
      <w:rPr>
        <w:color w:val="3370ff"/>
      </w:rPr>
    </w:lvl>
  </w:abstractNum>
  <w:abstractNum w:abstractNumId="1106622">
    <w:lvl>
      <w:numFmt w:val="bullet"/>
      <w:suff w:val="tab"/>
      <w:lvlText w:val="•"/>
      <w:rPr>
        <w:color w:val="3370ff"/>
      </w:rPr>
    </w:lvl>
  </w:abstractNum>
  <w:abstractNum w:abstractNumId="1106623">
    <w:lvl>
      <w:numFmt w:val="bullet"/>
      <w:suff w:val="tab"/>
      <w:lvlText w:val="•"/>
      <w:rPr>
        <w:color w:val="3370ff"/>
      </w:rPr>
    </w:lvl>
  </w:abstractNum>
  <w:abstractNum w:abstractNumId="1106624">
    <w:lvl>
      <w:numFmt w:val="bullet"/>
      <w:suff w:val="tab"/>
      <w:lvlText w:val="•"/>
      <w:rPr>
        <w:color w:val="3370ff"/>
      </w:rPr>
    </w:lvl>
  </w:abstractNum>
  <w:abstractNum w:abstractNumId="1106625">
    <w:lvl>
      <w:numFmt w:val="bullet"/>
      <w:suff w:val="tab"/>
      <w:lvlText w:val="•"/>
      <w:rPr>
        <w:color w:val="3370ff"/>
      </w:rPr>
    </w:lvl>
  </w:abstractNum>
  <w:abstractNum w:abstractNumId="1106626">
    <w:lvl>
      <w:numFmt w:val="bullet"/>
      <w:suff w:val="tab"/>
      <w:lvlText w:val="•"/>
      <w:rPr>
        <w:color w:val="3370ff"/>
      </w:rPr>
    </w:lvl>
  </w:abstractNum>
  <w:abstractNum w:abstractNumId="1106627">
    <w:lvl>
      <w:numFmt w:val="bullet"/>
      <w:suff w:val="tab"/>
      <w:lvlText w:val="•"/>
      <w:rPr>
        <w:color w:val="3370ff"/>
      </w:rPr>
    </w:lvl>
  </w:abstractNum>
  <w:abstractNum w:abstractNumId="1106628">
    <w:lvl>
      <w:numFmt w:val="bullet"/>
      <w:suff w:val="tab"/>
      <w:lvlText w:val="•"/>
      <w:rPr>
        <w:color w:val="3370ff"/>
      </w:rPr>
    </w:lvl>
  </w:abstractNum>
  <w:abstractNum w:abstractNumId="1106629">
    <w:lvl>
      <w:numFmt w:val="bullet"/>
      <w:suff w:val="tab"/>
      <w:lvlText w:val="•"/>
      <w:rPr>
        <w:color w:val="3370ff"/>
      </w:rPr>
    </w:lvl>
  </w:abstractNum>
  <w:abstractNum w:abstractNumId="1106630">
    <w:lvl>
      <w:numFmt w:val="bullet"/>
      <w:suff w:val="tab"/>
      <w:lvlText w:val="•"/>
      <w:rPr>
        <w:color w:val="3370ff"/>
      </w:rPr>
    </w:lvl>
  </w:abstractNum>
  <w:abstractNum w:abstractNumId="1106631">
    <w:lvl>
      <w:numFmt w:val="bullet"/>
      <w:suff w:val="tab"/>
      <w:lvlText w:val="•"/>
      <w:rPr>
        <w:color w:val="3370ff"/>
      </w:rPr>
    </w:lvl>
  </w:abstractNum>
  <w:abstractNum w:abstractNumId="1106632">
    <w:lvl>
      <w:numFmt w:val="bullet"/>
      <w:suff w:val="tab"/>
      <w:lvlText w:val="•"/>
      <w:rPr>
        <w:color w:val="3370ff"/>
      </w:rPr>
    </w:lvl>
  </w:abstractNum>
  <w:abstractNum w:abstractNumId="1106633">
    <w:lvl>
      <w:numFmt w:val="bullet"/>
      <w:suff w:val="tab"/>
      <w:lvlText w:val="•"/>
      <w:rPr>
        <w:color w:val="3370ff"/>
      </w:rPr>
    </w:lvl>
  </w:abstractNum>
  <w:abstractNum w:abstractNumId="1106634">
    <w:lvl>
      <w:numFmt w:val="bullet"/>
      <w:suff w:val="tab"/>
      <w:lvlText w:val="•"/>
      <w:rPr>
        <w:color w:val="3370ff"/>
      </w:rPr>
    </w:lvl>
  </w:abstractNum>
  <w:abstractNum w:abstractNumId="1106635">
    <w:lvl>
      <w:numFmt w:val="bullet"/>
      <w:suff w:val="tab"/>
      <w:lvlText w:val="•"/>
      <w:rPr>
        <w:color w:val="3370ff"/>
      </w:rPr>
    </w:lvl>
  </w:abstractNum>
  <w:abstractNum w:abstractNumId="1106636">
    <w:lvl>
      <w:start w:val="1"/>
      <w:numFmt w:val="decimal"/>
      <w:suff w:val="tab"/>
      <w:lvlText w:val="%1."/>
      <w:rPr>
        <w:color w:val="3370ff"/>
      </w:rPr>
    </w:lvl>
  </w:abstractNum>
  <w:abstractNum w:abstractNumId="1106637">
    <w:lvl>
      <w:start w:val="2"/>
      <w:numFmt w:val="decimal"/>
      <w:suff w:val="tab"/>
      <w:lvlText w:val="%1."/>
      <w:rPr>
        <w:color w:val="3370ff"/>
      </w:rPr>
    </w:lvl>
  </w:abstractNum>
  <w:abstractNum w:abstractNumId="1106638">
    <w:lvl>
      <w:start w:val="3"/>
      <w:numFmt w:val="decimal"/>
      <w:suff w:val="tab"/>
      <w:lvlText w:val="%1."/>
      <w:rPr>
        <w:color w:val="3370ff"/>
      </w:rPr>
    </w:lvl>
  </w:abstractNum>
  <w:abstractNum w:abstractNumId="1106639">
    <w:lvl>
      <w:start w:val="4"/>
      <w:numFmt w:val="decimal"/>
      <w:suff w:val="tab"/>
      <w:lvlText w:val="%1."/>
      <w:rPr>
        <w:color w:val="3370ff"/>
      </w:rPr>
    </w:lvl>
  </w:abstractNum>
  <w:abstractNum w:abstractNumId="1106640">
    <w:lvl>
      <w:start w:val="5"/>
      <w:numFmt w:val="decimal"/>
      <w:suff w:val="tab"/>
      <w:lvlText w:val="%1."/>
      <w:rPr>
        <w:color w:val="3370ff"/>
      </w:rPr>
    </w:lvl>
  </w:abstractNum>
  <w:abstractNum w:abstractNumId="1106641">
    <w:lvl>
      <w:numFmt w:val="bullet"/>
      <w:suff w:val="tab"/>
      <w:lvlText w:val="•"/>
      <w:rPr>
        <w:color w:val="3370ff"/>
      </w:rPr>
    </w:lvl>
  </w:abstractNum>
  <w:abstractNum w:abstractNumId="1106642">
    <w:lvl>
      <w:numFmt w:val="bullet"/>
      <w:suff w:val="tab"/>
      <w:lvlText w:val="•"/>
      <w:rPr>
        <w:color w:val="3370ff"/>
      </w:rPr>
    </w:lvl>
  </w:abstractNum>
  <w:abstractNum w:abstractNumId="1106643">
    <w:lvl>
      <w:numFmt w:val="bullet"/>
      <w:suff w:val="tab"/>
      <w:lvlText w:val="•"/>
      <w:rPr>
        <w:color w:val="3370ff"/>
      </w:rPr>
    </w:lvl>
  </w:abstractNum>
  <w:abstractNum w:abstractNumId="1106644">
    <w:lvl>
      <w:numFmt w:val="bullet"/>
      <w:suff w:val="tab"/>
      <w:lvlText w:val="•"/>
      <w:rPr>
        <w:color w:val="3370ff"/>
      </w:rPr>
    </w:lvl>
  </w:abstractNum>
  <w:abstractNum w:abstractNumId="1106645">
    <w:lvl>
      <w:start w:val="1"/>
      <w:numFmt w:val="decimal"/>
      <w:suff w:val="tab"/>
      <w:lvlText w:val="%1."/>
      <w:rPr>
        <w:color w:val="3370ff"/>
      </w:rPr>
    </w:lvl>
  </w:abstractNum>
  <w:abstractNum w:abstractNumId="1106646">
    <w:lvl>
      <w:start w:val="2"/>
      <w:numFmt w:val="decimal"/>
      <w:suff w:val="tab"/>
      <w:lvlText w:val="%1."/>
      <w:rPr>
        <w:color w:val="3370ff"/>
      </w:rPr>
    </w:lvl>
  </w:abstractNum>
  <w:abstractNum w:abstractNumId="1106647">
    <w:lvl>
      <w:numFmt w:val="bullet"/>
      <w:suff w:val="tab"/>
      <w:lvlText w:val="•"/>
      <w:rPr>
        <w:color w:val="3370ff"/>
      </w:rPr>
    </w:lvl>
  </w:abstractNum>
  <w:abstractNum w:abstractNumId="1106648">
    <w:lvl>
      <w:numFmt w:val="bullet"/>
      <w:suff w:val="tab"/>
      <w:lvlText w:val="•"/>
      <w:rPr>
        <w:color w:val="3370ff"/>
      </w:rPr>
    </w:lvl>
  </w:abstractNum>
  <w:abstractNum w:abstractNumId="1106649">
    <w:lvl>
      <w:numFmt w:val="bullet"/>
      <w:suff w:val="tab"/>
      <w:lvlText w:val="•"/>
      <w:rPr>
        <w:color w:val="3370ff"/>
      </w:rPr>
    </w:lvl>
  </w:abstractNum>
  <w:abstractNum w:abstractNumId="1106650">
    <w:lvl>
      <w:numFmt w:val="bullet"/>
      <w:suff w:val="tab"/>
      <w:lvlText w:val="•"/>
      <w:rPr>
        <w:color w:val="3370ff"/>
      </w:rPr>
    </w:lvl>
  </w:abstractNum>
  <w:abstractNum w:abstractNumId="1106651">
    <w:lvl>
      <w:numFmt w:val="bullet"/>
      <w:suff w:val="tab"/>
      <w:lvlText w:val="•"/>
      <w:rPr>
        <w:color w:val="3370ff"/>
      </w:rPr>
    </w:lvl>
  </w:abstractNum>
  <w:abstractNum w:abstractNumId="1106652">
    <w:lvl>
      <w:numFmt w:val="bullet"/>
      <w:suff w:val="tab"/>
      <w:lvlText w:val="•"/>
      <w:rPr>
        <w:color w:val="3370ff"/>
      </w:rPr>
    </w:lvl>
  </w:abstractNum>
  <w:num w:numId="1">
    <w:abstractNumId w:val="1106621"/>
  </w:num>
  <w:num w:numId="2">
    <w:abstractNumId w:val="1106622"/>
  </w:num>
  <w:num w:numId="3">
    <w:abstractNumId w:val="1106623"/>
  </w:num>
  <w:num w:numId="4">
    <w:abstractNumId w:val="1106624"/>
  </w:num>
  <w:num w:numId="5">
    <w:abstractNumId w:val="1106625"/>
  </w:num>
  <w:num w:numId="6">
    <w:abstractNumId w:val="1106626"/>
  </w:num>
  <w:num w:numId="7">
    <w:abstractNumId w:val="1106627"/>
  </w:num>
  <w:num w:numId="8">
    <w:abstractNumId w:val="1106628"/>
  </w:num>
  <w:num w:numId="9">
    <w:abstractNumId w:val="1106629"/>
  </w:num>
  <w:num w:numId="10">
    <w:abstractNumId w:val="1106630"/>
  </w:num>
  <w:num w:numId="11">
    <w:abstractNumId w:val="1106631"/>
  </w:num>
  <w:num w:numId="12">
    <w:abstractNumId w:val="1106632"/>
  </w:num>
  <w:num w:numId="13">
    <w:abstractNumId w:val="1106633"/>
  </w:num>
  <w:num w:numId="14">
    <w:abstractNumId w:val="1106634"/>
  </w:num>
  <w:num w:numId="15">
    <w:abstractNumId w:val="1106635"/>
  </w:num>
  <w:num w:numId="16">
    <w:abstractNumId w:val="1106636"/>
  </w:num>
  <w:num w:numId="17">
    <w:abstractNumId w:val="1106637"/>
  </w:num>
  <w:num w:numId="18">
    <w:abstractNumId w:val="1106638"/>
  </w:num>
  <w:num w:numId="19">
    <w:abstractNumId w:val="1106639"/>
  </w:num>
  <w:num w:numId="20">
    <w:abstractNumId w:val="1106640"/>
  </w:num>
  <w:num w:numId="21">
    <w:abstractNumId w:val="1106641"/>
  </w:num>
  <w:num w:numId="22">
    <w:abstractNumId w:val="1106642"/>
  </w:num>
  <w:num w:numId="23">
    <w:abstractNumId w:val="1106643"/>
  </w:num>
  <w:num w:numId="24">
    <w:abstractNumId w:val="1106644"/>
  </w:num>
  <w:num w:numId="25">
    <w:abstractNumId w:val="1106645"/>
  </w:num>
  <w:num w:numId="26">
    <w:abstractNumId w:val="1106646"/>
  </w:num>
  <w:num w:numId="27">
    <w:abstractNumId w:val="1106647"/>
  </w:num>
  <w:num w:numId="28">
    <w:abstractNumId w:val="1106648"/>
  </w:num>
  <w:num w:numId="29">
    <w:abstractNumId w:val="1106649"/>
  </w:num>
  <w:num w:numId="30">
    <w:abstractNumId w:val="1106650"/>
  </w:num>
  <w:num w:numId="31">
    <w:abstractNumId w:val="1106651"/>
  </w:num>
  <w:num w:numId="32">
    <w:abstractNumId w:val="11066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tyles.xml" Type="http://schemas.openxmlformats.org/officeDocument/2006/relationships/style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footer1.xml" Type="http://schemas.openxmlformats.org/officeDocument/2006/relationships/footer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header1.xml" Type="http://schemas.openxmlformats.org/officeDocument/2006/relationships/header"/><Relationship Id="rId4" Target="https://cursor.com/cn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cursor.com/cn/docs" TargetMode="External" Type="http://schemas.openxmlformats.org/officeDocument/2006/relationships/hyperlink"/><Relationship Id="rId7" Target="https://cloud.tencent.com/developer/mcp" TargetMode="External" Type="http://schemas.openxmlformats.org/officeDocument/2006/relationships/hyperlink"/><Relationship Id="rId8" Target="https://mcp.so/" TargetMode="External" Type="http://schemas.openxmlformats.org/officeDocument/2006/relationships/hyperlink"/><Relationship Id="rId9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2026-04-20T01:05:53Z</dcterms:created>
  <dc:creator>Apache POI</dc:creator>
</cp:coreProperties>
</file>