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Anthropic Harness：从补到删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2026年4月 | 转载</w:t>
        <w:br/>
        <w:t>原文标题：Anthropic 的 Harness，已经进入新阶段：只用三招，开始从"补"转向"删"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原文链接：https://mp.weixin.qq.com/s/k8eoFVMRcCPXEQMSy9Dyqg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 xml:space="preserve">：这篇文章解读了 Anthropic 前后两篇 Harness 文章的内在变化——从"拼命补短板"到"开始删 dead weight"，核心论点是 </w:t>
      </w:r>
      <w:r>
        <w:rPr>
          <w:rFonts w:eastAsia="等线" w:ascii="Arial" w:cs="Arial" w:hAnsi="Arial"/>
          <w:b w:val="true"/>
          <w:sz w:val="22"/>
        </w:rPr>
        <w:t>Harness 正在进入第二阶段</w:t>
      </w:r>
      <w:r>
        <w:rPr>
          <w:rFonts w:eastAsia="等线" w:ascii="Arial" w:cs="Arial" w:hAnsi="Arial"/>
          <w:sz w:val="22"/>
        </w:rPr>
        <w:t>。最值得关注的洞察是：很多 Harness 组件的存在不是因为它们永远正确，而是因为它们曾经填上了某一代模型的能力缺口；</w:t>
      </w:r>
      <w:r>
        <w:rPr>
          <w:rFonts w:eastAsia="等线" w:ascii="Arial" w:cs="Arial" w:hAnsi="Arial"/>
          <w:b w:val="true"/>
          <w:sz w:val="22"/>
        </w:rPr>
        <w:t>一旦缺口消失，组件就该重新评估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一、Harness 的两阶段：先补后删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前篇（长任务文章）回答"该补什么"</w:t>
      </w:r>
      <w:r>
        <w:rPr>
          <w:rFonts w:eastAsia="等线" w:ascii="Arial" w:cs="Arial" w:hAnsi="Arial"/>
          <w:sz w:val="22"/>
        </w:rPr>
        <w:t>：planner/evaluator、context reset、sprint contract，全是在替模型兜底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新篇回答"该删什么"</w:t>
      </w:r>
      <w:r>
        <w:rPr>
          <w:rFonts w:eastAsia="等线" w:ascii="Arial" w:cs="Arial" w:hAnsi="Arial"/>
          <w:sz w:val="22"/>
        </w:rPr>
        <w:t>：编排、上下文管理、记忆选择，哪些可以慢慢还给模型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关键转折</w:t>
      </w:r>
      <w:r>
        <w:rPr>
          <w:rFonts w:eastAsia="等线" w:ascii="Arial" w:cs="Arial" w:hAnsi="Arial"/>
          <w:sz w:val="22"/>
        </w:rPr>
        <w:t>：Sonnet 4.5 的 context anxiety 到 Opus 4.5 消失了，原来补偿短板的 reset 机制从护栏变成 dead weight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二、模式一：先用模型已经会的东西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bash + text editor 是基座</w:t>
      </w:r>
      <w:r>
        <w:rPr>
          <w:rFonts w:eastAsia="等线" w:ascii="Arial" w:cs="Arial" w:hAnsi="Arial"/>
          <w:sz w:val="22"/>
        </w:rPr>
        <w:t>：Claude 3.5 Sonnet 仅靠这两个工具拿到 SWE-bench 49%，Opus 4.5 到 80.9%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Skills、memory、programmatic tool calling 都是从通用工具上长出来的组合模式，不是平行的"新发明"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核心判断</w:t>
      </w:r>
      <w:r>
        <w:rPr>
          <w:rFonts w:eastAsia="等线" w:ascii="Arial" w:cs="Arial" w:hAnsi="Arial"/>
          <w:sz w:val="22"/>
        </w:rPr>
        <w:t>：如果一个问题可以用通用工具解决，别急着固化成框架逻辑；过早专用化会卡住新模型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三、模式二：三类控制权还给模型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编排权</w:t>
      </w:r>
      <w:r>
        <w:rPr>
          <w:rFonts w:eastAsia="等线" w:ascii="Arial" w:cs="Arial" w:hAnsi="Arial"/>
          <w:sz w:val="22"/>
        </w:rPr>
        <w:t>：让 Claude 自己写代码串联工具调用，中间结果在代码里处理，只有真正需要的输出才回上下文；BrowseComp 准确率从 45.3% 提升到 61.6%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上下文管理权</w:t>
      </w:r>
      <w:r>
        <w:rPr>
          <w:rFonts w:eastAsia="等线" w:ascii="Arial" w:cs="Arial" w:hAnsi="Arial"/>
          <w:sz w:val="22"/>
        </w:rPr>
        <w:t>：用 Skills 实现 progressive disclosure——先给目录，需要时再展开；context editing 删过时信息，subagents 隔离子任务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记忆选择权</w:t>
      </w:r>
      <w:r>
        <w:rPr>
          <w:rFonts w:eastAsia="等线" w:ascii="Arial" w:cs="Arial" w:hAnsi="Arial"/>
          <w:sz w:val="22"/>
        </w:rPr>
        <w:t>：compaction 让模型自己总结过去上下文；memory folder 给模型一个可读写的持久化地方；Opus 4.6 的记忆质量远超 Sonnet 3.5，从流水账变成战术笔记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四、模式三：该放权但必须有边界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成本边界</w:t>
      </w:r>
      <w:r>
        <w:rPr>
          <w:rFonts w:eastAsia="等线" w:ascii="Arial" w:cs="Arial" w:hAnsi="Arial"/>
          <w:sz w:val="22"/>
        </w:rPr>
        <w:t>：缓存命中率是预算纪律，静态前置、动态后置、少切模型；缓存 token 成本仅为基础输入的 10%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安全边界</w:t>
      </w:r>
      <w:r>
        <w:rPr>
          <w:rFonts w:eastAsia="等线" w:ascii="Arial" w:cs="Arial" w:hAnsi="Arial"/>
          <w:sz w:val="22"/>
        </w:rPr>
        <w:t>：按可逆性判断——越难回滚的动作越值得做成声明式专用工具，而非藏在 bash 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UX 边界</w:t>
      </w:r>
      <w:r>
        <w:rPr>
          <w:rFonts w:eastAsia="等线" w:ascii="Arial" w:cs="Arial" w:hAnsi="Arial"/>
          <w:sz w:val="22"/>
        </w:rPr>
        <w:t>：需要产品化呈现的动作（弹窗、确认框）应独立成工具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可观测性边界</w:t>
      </w:r>
      <w:r>
        <w:rPr>
          <w:rFonts w:eastAsia="等线" w:ascii="Arial" w:cs="Arial" w:hAnsi="Arial"/>
          <w:sz w:val="22"/>
        </w:rPr>
        <w:t>：类型化工具让系统可审计、可追踪、可回放，这在生产环境中越来越重要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读后启发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Build to delete 是工程节奏</w:t>
      </w:r>
      <w:r>
        <w:rPr>
          <w:rFonts w:eastAsia="等线" w:ascii="Arial" w:cs="Arial" w:hAnsi="Arial"/>
          <w:sz w:val="22"/>
        </w:rPr>
        <w:t>：先搭、再验证、最后敢于拆掉，这比"只加不减"更接近真正的工程实践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每次模型升级后做 dead weight inventory</w:t>
      </w:r>
      <w:r>
        <w:rPr>
          <w:rFonts w:eastAsia="等线" w:ascii="Arial" w:cs="Arial" w:hAnsi="Arial"/>
          <w:sz w:val="22"/>
        </w:rPr>
        <w:t>：很多团队的问题不是 Harness 不够多，而是做出来以后再也没删过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 vs 专用不是非此即彼</w:t>
      </w:r>
      <w:r>
        <w:rPr>
          <w:rFonts w:eastAsia="等线" w:ascii="Arial" w:cs="Arial" w:hAnsi="Arial"/>
          <w:sz w:val="22"/>
        </w:rPr>
        <w:t>：开放探索用通用工具，高风险/需审计的场景用声明式专用工具，关键是时机和判断标准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 Harness 的可能性空间不会缩小，只是在移动**：旧边界消失的同时，新边界问题会冒出来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现在就能做的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做一次 Harness 体检</w:t>
      </w:r>
      <w:r>
        <w:rPr>
          <w:rFonts w:eastAsia="等线" w:ascii="Arial" w:cs="Arial" w:hAnsi="Arial"/>
          <w:sz w:val="22"/>
        </w:rPr>
        <w:t>：检查现有流程里哪些只是在补偿旧模型短板，哪些工具编排在替模型做它本可以自己做的决定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建立模型升级后的清理机制</w:t>
      </w:r>
      <w:r>
        <w:rPr>
          <w:rFonts w:eastAsia="等线" w:ascii="Arial" w:cs="Arial" w:hAnsi="Arial"/>
          <w:sz w:val="22"/>
        </w:rPr>
        <w:t>：每次模型升级后，系统性地重新评估哪些控制逻辑还在承重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按可逆性重新分类工具</w:t>
      </w:r>
      <w:r>
        <w:rPr>
          <w:rFonts w:eastAsia="等线" w:ascii="Arial" w:cs="Arial" w:hAnsi="Arial"/>
          <w:sz w:val="22"/>
        </w:rPr>
        <w:t>：把低风险动作留给 bash 等通用工具，高风险动作升级为声明式专用工具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0038">
    <w:lvl>
      <w:numFmt w:val="bullet"/>
      <w:suff w:val="tab"/>
      <w:lvlText w:val="•"/>
      <w:rPr>
        <w:color w:val="3370ff"/>
      </w:rPr>
    </w:lvl>
  </w:abstractNum>
  <w:abstractNum w:abstractNumId="1060039">
    <w:lvl>
      <w:numFmt w:val="bullet"/>
      <w:suff w:val="tab"/>
      <w:lvlText w:val="•"/>
      <w:rPr>
        <w:color w:val="3370ff"/>
      </w:rPr>
    </w:lvl>
  </w:abstractNum>
  <w:abstractNum w:abstractNumId="1060040">
    <w:lvl>
      <w:numFmt w:val="bullet"/>
      <w:suff w:val="tab"/>
      <w:lvlText w:val="•"/>
      <w:rPr>
        <w:color w:val="3370ff"/>
      </w:rPr>
    </w:lvl>
  </w:abstractNum>
  <w:abstractNum w:abstractNumId="1060041">
    <w:lvl>
      <w:numFmt w:val="bullet"/>
      <w:suff w:val="tab"/>
      <w:lvlText w:val="•"/>
      <w:rPr>
        <w:color w:val="3370ff"/>
      </w:rPr>
    </w:lvl>
  </w:abstractNum>
  <w:abstractNum w:abstractNumId="1060042">
    <w:lvl>
      <w:numFmt w:val="bullet"/>
      <w:suff w:val="tab"/>
      <w:lvlText w:val="•"/>
      <w:rPr>
        <w:color w:val="3370ff"/>
      </w:rPr>
    </w:lvl>
  </w:abstractNum>
  <w:abstractNum w:abstractNumId="1060043">
    <w:lvl>
      <w:numFmt w:val="bullet"/>
      <w:suff w:val="tab"/>
      <w:lvlText w:val="•"/>
      <w:rPr>
        <w:color w:val="3370ff"/>
      </w:rPr>
    </w:lvl>
  </w:abstractNum>
  <w:abstractNum w:abstractNumId="1060044">
    <w:lvl>
      <w:numFmt w:val="bullet"/>
      <w:suff w:val="tab"/>
      <w:lvlText w:val="•"/>
      <w:rPr>
        <w:color w:val="3370ff"/>
      </w:rPr>
    </w:lvl>
  </w:abstractNum>
  <w:abstractNum w:abstractNumId="1060045">
    <w:lvl>
      <w:numFmt w:val="bullet"/>
      <w:suff w:val="tab"/>
      <w:lvlText w:val="•"/>
      <w:rPr>
        <w:color w:val="3370ff"/>
      </w:rPr>
    </w:lvl>
  </w:abstractNum>
  <w:abstractNum w:abstractNumId="1060046">
    <w:lvl>
      <w:numFmt w:val="bullet"/>
      <w:suff w:val="tab"/>
      <w:lvlText w:val="•"/>
      <w:rPr>
        <w:color w:val="3370ff"/>
      </w:rPr>
    </w:lvl>
  </w:abstractNum>
  <w:abstractNum w:abstractNumId="1060047">
    <w:lvl>
      <w:numFmt w:val="bullet"/>
      <w:suff w:val="tab"/>
      <w:lvlText w:val="•"/>
      <w:rPr>
        <w:color w:val="3370ff"/>
      </w:rPr>
    </w:lvl>
  </w:abstractNum>
  <w:abstractNum w:abstractNumId="1060048">
    <w:lvl>
      <w:numFmt w:val="bullet"/>
      <w:suff w:val="tab"/>
      <w:lvlText w:val="•"/>
      <w:rPr>
        <w:color w:val="3370ff"/>
      </w:rPr>
    </w:lvl>
  </w:abstractNum>
  <w:abstractNum w:abstractNumId="1060049">
    <w:lvl>
      <w:numFmt w:val="bullet"/>
      <w:suff w:val="tab"/>
      <w:lvlText w:val="•"/>
      <w:rPr>
        <w:color w:val="3370ff"/>
      </w:rPr>
    </w:lvl>
  </w:abstractNum>
  <w:abstractNum w:abstractNumId="1060050">
    <w:lvl>
      <w:numFmt w:val="bullet"/>
      <w:suff w:val="tab"/>
      <w:lvlText w:val="•"/>
      <w:rPr>
        <w:color w:val="3370ff"/>
      </w:rPr>
    </w:lvl>
  </w:abstractNum>
  <w:abstractNum w:abstractNumId="1060051">
    <w:lvl>
      <w:numFmt w:val="bullet"/>
      <w:suff w:val="tab"/>
      <w:lvlText w:val="•"/>
      <w:rPr>
        <w:color w:val="3370ff"/>
      </w:rPr>
    </w:lvl>
  </w:abstractNum>
  <w:abstractNum w:abstractNumId="1060052">
    <w:lvl>
      <w:numFmt w:val="bullet"/>
      <w:suff w:val="tab"/>
      <w:lvlText w:val="•"/>
      <w:rPr>
        <w:color w:val="3370ff"/>
      </w:rPr>
    </w:lvl>
  </w:abstractNum>
  <w:abstractNum w:abstractNumId="1060053">
    <w:lvl>
      <w:numFmt w:val="bullet"/>
      <w:suff w:val="tab"/>
      <w:lvlText w:val="•"/>
      <w:rPr>
        <w:color w:val="3370ff"/>
      </w:rPr>
    </w:lvl>
  </w:abstractNum>
  <w:abstractNum w:abstractNumId="1060054">
    <w:lvl>
      <w:numFmt w:val="bullet"/>
      <w:suff w:val="tab"/>
      <w:lvlText w:val="•"/>
      <w:rPr>
        <w:color w:val="3370ff"/>
      </w:rPr>
    </w:lvl>
  </w:abstractNum>
  <w:abstractNum w:abstractNumId="1060055">
    <w:lvl>
      <w:numFmt w:val="bullet"/>
      <w:suff w:val="tab"/>
      <w:lvlText w:val="•"/>
      <w:rPr>
        <w:color w:val="3370ff"/>
      </w:rPr>
    </w:lvl>
  </w:abstractNum>
  <w:abstractNum w:abstractNumId="1060056">
    <w:lvl>
      <w:numFmt w:val="bullet"/>
      <w:suff w:val="tab"/>
      <w:lvlText w:val="•"/>
      <w:rPr>
        <w:color w:val="3370ff"/>
      </w:rPr>
    </w:lvl>
  </w:abstractNum>
  <w:abstractNum w:abstractNumId="1060057">
    <w:lvl>
      <w:numFmt w:val="bullet"/>
      <w:suff w:val="tab"/>
      <w:lvlText w:val="•"/>
      <w:rPr>
        <w:color w:val="3370ff"/>
      </w:rPr>
    </w:lvl>
  </w:abstractNum>
  <w:num w:numId="1">
    <w:abstractNumId w:val="1060038"/>
  </w:num>
  <w:num w:numId="2">
    <w:abstractNumId w:val="1060039"/>
  </w:num>
  <w:num w:numId="3">
    <w:abstractNumId w:val="1060040"/>
  </w:num>
  <w:num w:numId="4">
    <w:abstractNumId w:val="1060041"/>
  </w:num>
  <w:num w:numId="5">
    <w:abstractNumId w:val="1060042"/>
  </w:num>
  <w:num w:numId="6">
    <w:abstractNumId w:val="1060043"/>
  </w:num>
  <w:num w:numId="7">
    <w:abstractNumId w:val="1060044"/>
  </w:num>
  <w:num w:numId="8">
    <w:abstractNumId w:val="1060045"/>
  </w:num>
  <w:num w:numId="9">
    <w:abstractNumId w:val="1060046"/>
  </w:num>
  <w:num w:numId="10">
    <w:abstractNumId w:val="1060047"/>
  </w:num>
  <w:num w:numId="11">
    <w:abstractNumId w:val="1060048"/>
  </w:num>
  <w:num w:numId="12">
    <w:abstractNumId w:val="1060049"/>
  </w:num>
  <w:num w:numId="13">
    <w:abstractNumId w:val="1060050"/>
  </w:num>
  <w:num w:numId="14">
    <w:abstractNumId w:val="1060051"/>
  </w:num>
  <w:num w:numId="15">
    <w:abstractNumId w:val="1060052"/>
  </w:num>
  <w:num w:numId="16">
    <w:abstractNumId w:val="1060053"/>
  </w:num>
  <w:num w:numId="17">
    <w:abstractNumId w:val="1060054"/>
  </w:num>
  <w:num w:numId="18">
    <w:abstractNumId w:val="1060055"/>
  </w:num>
  <w:num w:numId="19">
    <w:abstractNumId w:val="1060056"/>
  </w:num>
  <w:num w:numId="20">
    <w:abstractNumId w:val="10600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2026-04-20T01:09:02Z</dcterms:created>
  <dc:creator>Apache POI</dc:creator>
</cp:coreProperties>
</file>