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br/>
      </w:r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6"/>
          <w:color w:val="000000"/>
          <w:b w:val="on"/>
        </w:rPr>
        <w:t xml:space="preserve">
CDA WISE/OBJECT HEAD WISE CONTROL FIGURES FOR d1 2021-2022</w:t>
      </w:r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6"/>
          <w:color w:val="000000"/>
          <w:b w:val="on"/>
        </w:rPr>
        <w:t>REVENUE</w:t>
      </w:r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6"/>
          <w:color w:val="000000"/>
          <w:b w:val="on"/>
        </w:rPr>
        <w:t>Major Head 2037. Sub Major Head 00. Minor Head 2037) (In Crore)</w:t>
      </w:r>
      <w:r>
        <w:br/>
      </w:r>
      <w:r>
        <w:br/>
      </w: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object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AAO(N/CG).Porbandar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AO(N)Chennai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AO(N)Kolkata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AO(N)Vizag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 Bangalore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 Chennai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 IDS New Delhi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 PATNA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 Secunderabad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CDA(N/CG)New Delhi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DCDA(N)Goa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 xml:space="preserve">DCDA(N)Vizag 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JCDA(N)Kochi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JCDA(N)Port Blair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  Mumbai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 (HAL)Bangalore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PCDA(BR) New Delhi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PCDA(HQ) New Delhi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PCDA(SC) Pune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PCDA(WC)Chandigarh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PCOA(Fys)Kolkata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Salaries(Voted)[0/041/01]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Wages(Voted)[0/041/02]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Allowances(Voted)[0/041/03]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Domestic Travel Expenses(Voted)[0/041/04]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Foreign Travel Expenses(Voted)[0/041/05]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Office Expenses(Voted)[0/041/06]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Rent, Rates &amp; Taxes for Land and Buildings(Voted)[0/041/07]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Printing and Publication(Voted)[0/041/08]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Material and Supplies(Voted)[0/041/09]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Fuels and Lubricants(Voted)[0/041/10]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Advertising &amp; Publicity(Voted)[0/041/11]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Minor Civil and Electric Works(Voted)[0/041/12]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Professional Services(Voted)[0/041/13]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Training Expenses(Voted)[0/041/14]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Medical Treatment(Voted)[0/041/16]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Secret Service Expenditure(Voted)[0/041/17]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Rent for others(Voted)[0/041/18]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Repair &amp; Maintenance(Voted)[0/041/19]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Leave Travel Expenses(Voted)[0/041/21]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Digital Equipment(Voted)[0/041/22]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Arms &amp; Ammunitions(Voted)[0/041/23]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Other Revenue Expenditure(Voted)[0/041/24]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Rewards(Voted)[0/041/25]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  <w:tr>
        <w:tc>
          <w:p>
            <w:r>
              <w:t>Grand Total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0.0</w:t>
            </w:r>
          </w:p>
        </w:tc>
      </w:tr>
    </w:tbl>
    <w:sectPr>
      <w:pgSz w:orient="landscape" w:w="17280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2023-06-02T11:49:32Z</dcterms:created>
  <dc:creator>Apache POI</dc:creator>
</cp:coreProperties>
</file>