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14C3F" w14:textId="6C804EF0" w:rsidR="006F52E7" w:rsidRPr="00B23C3A" w:rsidRDefault="000E6343" w:rsidP="0010541E">
      <w:pPr>
        <w:rPr>
          <w:rFonts w:cs="Arial"/>
          <w:b/>
          <w:sz w:val="20"/>
          <w:szCs w:val="20"/>
        </w:rPr>
      </w:pPr>
      <w:r w:rsidRPr="00B23C3A">
        <w:rPr>
          <w:rFonts w:cs="Arial"/>
          <w:b/>
          <w:sz w:val="20"/>
          <w:szCs w:val="20"/>
        </w:rPr>
        <w:t xml:space="preserve">Supplemental Table </w:t>
      </w:r>
      <w:r w:rsidR="00B215A4">
        <w:rPr>
          <w:rFonts w:cs="Arial"/>
          <w:b/>
          <w:sz w:val="20"/>
          <w:szCs w:val="20"/>
        </w:rPr>
        <w:t>S</w:t>
      </w:r>
      <w:r w:rsidRPr="00B23C3A">
        <w:rPr>
          <w:rFonts w:cs="Arial"/>
          <w:b/>
          <w:sz w:val="20"/>
          <w:szCs w:val="20"/>
        </w:rPr>
        <w:t>1</w:t>
      </w:r>
      <w:r w:rsidR="00EF3453" w:rsidRPr="00B23C3A">
        <w:rPr>
          <w:rFonts w:cs="Arial"/>
          <w:b/>
          <w:sz w:val="20"/>
          <w:szCs w:val="20"/>
        </w:rPr>
        <w:t xml:space="preserve">: </w:t>
      </w:r>
      <w:r w:rsidR="008D0013" w:rsidRPr="00B23C3A">
        <w:rPr>
          <w:rFonts w:cs="Arial"/>
          <w:b/>
          <w:sz w:val="20"/>
          <w:szCs w:val="20"/>
        </w:rPr>
        <w:t>G</w:t>
      </w:r>
      <w:r w:rsidR="00EF3453" w:rsidRPr="00B23C3A">
        <w:rPr>
          <w:rFonts w:cs="Arial"/>
          <w:b/>
          <w:sz w:val="20"/>
          <w:szCs w:val="20"/>
        </w:rPr>
        <w:t>lossary of Next</w:t>
      </w:r>
      <w:r w:rsidR="00B215A4">
        <w:rPr>
          <w:rFonts w:cs="Arial"/>
          <w:b/>
          <w:sz w:val="20"/>
          <w:szCs w:val="20"/>
        </w:rPr>
        <w:t>-</w:t>
      </w:r>
      <w:r w:rsidR="00EF3453" w:rsidRPr="00B23C3A">
        <w:rPr>
          <w:rFonts w:cs="Arial"/>
          <w:b/>
          <w:sz w:val="20"/>
          <w:szCs w:val="20"/>
        </w:rPr>
        <w:t>Generation Sequenci</w:t>
      </w:r>
      <w:r w:rsidR="00084328" w:rsidRPr="00B23C3A">
        <w:rPr>
          <w:rFonts w:cs="Arial"/>
          <w:b/>
          <w:sz w:val="20"/>
          <w:szCs w:val="20"/>
        </w:rPr>
        <w:t xml:space="preserve">ng </w:t>
      </w:r>
      <w:r w:rsidR="002E6201">
        <w:rPr>
          <w:rFonts w:cs="Arial"/>
          <w:b/>
          <w:sz w:val="20"/>
          <w:szCs w:val="20"/>
        </w:rPr>
        <w:t xml:space="preserve">(NGS) </w:t>
      </w:r>
      <w:r w:rsidR="00084328" w:rsidRPr="00B23C3A">
        <w:rPr>
          <w:rFonts w:cs="Arial"/>
          <w:b/>
          <w:sz w:val="20"/>
          <w:szCs w:val="20"/>
        </w:rPr>
        <w:t>and Bioinformatics Pipeline</w:t>
      </w:r>
      <w:r w:rsidR="00B215A4">
        <w:rPr>
          <w:rFonts w:cs="Arial"/>
          <w:b/>
          <w:sz w:val="20"/>
          <w:szCs w:val="20"/>
        </w:rPr>
        <w:t>–</w:t>
      </w:r>
      <w:r w:rsidR="00084328" w:rsidRPr="00B23C3A">
        <w:rPr>
          <w:rFonts w:cs="Arial"/>
          <w:b/>
          <w:sz w:val="20"/>
          <w:szCs w:val="20"/>
        </w:rPr>
        <w:t>Related T</w:t>
      </w:r>
      <w:r w:rsidR="00EF3453" w:rsidRPr="00B23C3A">
        <w:rPr>
          <w:rFonts w:cs="Arial"/>
          <w:b/>
          <w:sz w:val="20"/>
          <w:szCs w:val="20"/>
        </w:rPr>
        <w:t>erminologies</w:t>
      </w:r>
      <w:r w:rsidR="00B215A4">
        <w:rPr>
          <w:rFonts w:cs="Arial"/>
          <w:b/>
          <w:sz w:val="20"/>
          <w:szCs w:val="20"/>
        </w:rPr>
        <w:t>.</w:t>
      </w:r>
    </w:p>
    <w:p w14:paraId="4C375CEA" w14:textId="77777777" w:rsidR="00EF3453" w:rsidRPr="00084328" w:rsidRDefault="00EF3453" w:rsidP="0010541E">
      <w:pPr>
        <w:rPr>
          <w:rFonts w:cs="Arial"/>
          <w:sz w:val="18"/>
          <w:szCs w:val="18"/>
        </w:rPr>
      </w:pPr>
    </w:p>
    <w:tbl>
      <w:tblPr>
        <w:tblStyle w:val="GridTable4"/>
        <w:tblW w:w="0" w:type="auto"/>
        <w:tblLook w:val="04A0" w:firstRow="1" w:lastRow="0" w:firstColumn="1" w:lastColumn="0" w:noHBand="0" w:noVBand="1"/>
      </w:tblPr>
      <w:tblGrid>
        <w:gridCol w:w="2718"/>
        <w:gridCol w:w="11898"/>
      </w:tblGrid>
      <w:tr w:rsidR="00A41A81" w:rsidRPr="00084328" w14:paraId="4EF49A70" w14:textId="77777777" w:rsidTr="0008432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tcBorders>
              <w:left w:val="nil"/>
              <w:bottom w:val="single" w:sz="4" w:space="0" w:color="auto"/>
            </w:tcBorders>
            <w:shd w:val="clear" w:color="auto" w:fill="auto"/>
            <w:tcMar>
              <w:top w:w="29" w:type="dxa"/>
              <w:left w:w="115" w:type="dxa"/>
              <w:bottom w:w="29" w:type="dxa"/>
              <w:right w:w="115" w:type="dxa"/>
            </w:tcMar>
            <w:vAlign w:val="center"/>
          </w:tcPr>
          <w:p w14:paraId="4EE3497B" w14:textId="77777777" w:rsidR="00A41A81" w:rsidRPr="00084328" w:rsidRDefault="00A41A81" w:rsidP="007B5E5D">
            <w:pPr>
              <w:rPr>
                <w:rFonts w:cs="Arial"/>
                <w:color w:val="auto"/>
                <w:sz w:val="18"/>
                <w:szCs w:val="18"/>
              </w:rPr>
            </w:pPr>
            <w:r w:rsidRPr="00084328">
              <w:rPr>
                <w:rFonts w:cs="Arial"/>
                <w:color w:val="auto"/>
                <w:sz w:val="18"/>
                <w:szCs w:val="18"/>
              </w:rPr>
              <w:t>Terminology</w:t>
            </w:r>
          </w:p>
        </w:tc>
        <w:tc>
          <w:tcPr>
            <w:tcW w:w="11898" w:type="dxa"/>
            <w:tcBorders>
              <w:bottom w:val="single" w:sz="4" w:space="0" w:color="auto"/>
              <w:right w:val="nil"/>
            </w:tcBorders>
            <w:shd w:val="clear" w:color="auto" w:fill="auto"/>
            <w:tcMar>
              <w:top w:w="29" w:type="dxa"/>
              <w:left w:w="115" w:type="dxa"/>
              <w:bottom w:w="29" w:type="dxa"/>
              <w:right w:w="115" w:type="dxa"/>
            </w:tcMar>
            <w:vAlign w:val="center"/>
          </w:tcPr>
          <w:p w14:paraId="0086D060" w14:textId="77777777" w:rsidR="00A41A81" w:rsidRPr="00084328" w:rsidRDefault="00A41A81" w:rsidP="007B5E5D">
            <w:pPr>
              <w:cnfStyle w:val="100000000000" w:firstRow="1" w:lastRow="0" w:firstColumn="0" w:lastColumn="0" w:oddVBand="0" w:evenVBand="0" w:oddHBand="0" w:evenHBand="0" w:firstRowFirstColumn="0" w:firstRowLastColumn="0" w:lastRowFirstColumn="0" w:lastRowLastColumn="0"/>
              <w:rPr>
                <w:rFonts w:cs="Arial"/>
                <w:color w:val="auto"/>
                <w:sz w:val="18"/>
                <w:szCs w:val="18"/>
              </w:rPr>
            </w:pPr>
            <w:r w:rsidRPr="00084328">
              <w:rPr>
                <w:rFonts w:cs="Arial"/>
                <w:color w:val="auto"/>
                <w:sz w:val="18"/>
                <w:szCs w:val="18"/>
              </w:rPr>
              <w:t>Description</w:t>
            </w:r>
          </w:p>
        </w:tc>
      </w:tr>
      <w:tr w:rsidR="00A41A81" w:rsidRPr="00084328" w14:paraId="4C6AC755" w14:textId="77777777" w:rsidTr="0008432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tcBorders>
              <w:top w:val="single" w:sz="4" w:space="0" w:color="auto"/>
              <w:left w:val="nil"/>
              <w:bottom w:val="nil"/>
              <w:right w:val="nil"/>
            </w:tcBorders>
            <w:shd w:val="clear" w:color="auto" w:fill="auto"/>
            <w:tcMar>
              <w:top w:w="29" w:type="dxa"/>
              <w:left w:w="115" w:type="dxa"/>
              <w:bottom w:w="29" w:type="dxa"/>
              <w:right w:w="115" w:type="dxa"/>
            </w:tcMar>
            <w:vAlign w:val="center"/>
          </w:tcPr>
          <w:p w14:paraId="18D590EF" w14:textId="77777777" w:rsidR="00A41A81" w:rsidRPr="00084328" w:rsidRDefault="00A41A81" w:rsidP="007B5E5D">
            <w:pPr>
              <w:rPr>
                <w:rFonts w:cs="Arial"/>
                <w:b w:val="0"/>
                <w:sz w:val="18"/>
                <w:szCs w:val="18"/>
              </w:rPr>
            </w:pPr>
            <w:r w:rsidRPr="00084328">
              <w:rPr>
                <w:rFonts w:cs="Arial"/>
                <w:b w:val="0"/>
                <w:sz w:val="18"/>
                <w:szCs w:val="18"/>
              </w:rPr>
              <w:t>BAM</w:t>
            </w:r>
          </w:p>
        </w:tc>
        <w:tc>
          <w:tcPr>
            <w:tcW w:w="11898" w:type="dxa"/>
            <w:tcBorders>
              <w:top w:val="single" w:sz="4" w:space="0" w:color="auto"/>
              <w:left w:val="nil"/>
              <w:bottom w:val="nil"/>
              <w:right w:val="nil"/>
            </w:tcBorders>
            <w:shd w:val="clear" w:color="auto" w:fill="auto"/>
            <w:tcMar>
              <w:top w:w="29" w:type="dxa"/>
              <w:left w:w="115" w:type="dxa"/>
              <w:bottom w:w="29" w:type="dxa"/>
              <w:right w:w="115" w:type="dxa"/>
            </w:tcMar>
            <w:vAlign w:val="center"/>
          </w:tcPr>
          <w:p w14:paraId="5425E263" w14:textId="10169390" w:rsidR="00A41A81" w:rsidRPr="00084328" w:rsidRDefault="00A41A81" w:rsidP="00AE4D91">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084328">
              <w:rPr>
                <w:rFonts w:cs="Arial"/>
                <w:sz w:val="18"/>
                <w:szCs w:val="18"/>
              </w:rPr>
              <w:t xml:space="preserve">Compressed (binary) format of a SAM file intended for faster random access (search) of aligned and unaligned sequences and its related metadata. Compression enables smaller file size and storage efficiency which makes it popular over the SAM format. This is a default output of many alignment and post-alignment </w:t>
            </w:r>
            <w:proofErr w:type="spellStart"/>
            <w:r w:rsidRPr="00084328">
              <w:rPr>
                <w:rFonts w:cs="Arial"/>
                <w:sz w:val="18"/>
                <w:szCs w:val="18"/>
              </w:rPr>
              <w:t>softwares</w:t>
            </w:r>
            <w:proofErr w:type="spellEnd"/>
            <w:r w:rsidRPr="00084328">
              <w:rPr>
                <w:rFonts w:cs="Arial"/>
                <w:sz w:val="18"/>
                <w:szCs w:val="18"/>
              </w:rPr>
              <w:t xml:space="preserve"> used in bioinformatics pipeline and commonly used as an input by many variant callers</w:t>
            </w:r>
            <w:r w:rsidR="00084328">
              <w:rPr>
                <w:rFonts w:cs="Arial"/>
                <w:sz w:val="18"/>
                <w:szCs w:val="18"/>
              </w:rPr>
              <w:t>*</w:t>
            </w:r>
            <w:r w:rsidRPr="00084328">
              <w:rPr>
                <w:rFonts w:cs="Arial"/>
                <w:sz w:val="18"/>
                <w:szCs w:val="18"/>
              </w:rPr>
              <w:t>.</w:t>
            </w:r>
          </w:p>
        </w:tc>
      </w:tr>
      <w:tr w:rsidR="00A41A81" w:rsidRPr="00084328" w14:paraId="51DFC5EE" w14:textId="77777777" w:rsidTr="00084328">
        <w:trPr>
          <w:trHeight w:val="432"/>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376DD9C7" w14:textId="77777777" w:rsidR="00A41A81" w:rsidRPr="00084328" w:rsidRDefault="00A41A81" w:rsidP="007B5E5D">
            <w:pPr>
              <w:rPr>
                <w:rFonts w:cs="Arial"/>
                <w:b w:val="0"/>
                <w:sz w:val="18"/>
                <w:szCs w:val="18"/>
              </w:rPr>
            </w:pPr>
            <w:r w:rsidRPr="00084328">
              <w:rPr>
                <w:rFonts w:cs="Arial"/>
                <w:b w:val="0"/>
                <w:sz w:val="18"/>
                <w:szCs w:val="18"/>
              </w:rPr>
              <w:t>FASTQ</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0C486F3A" w14:textId="153D0B3C" w:rsidR="00A41A81" w:rsidRPr="00084328" w:rsidRDefault="00A41A81" w:rsidP="00B13B1D">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084328">
              <w:rPr>
                <w:rFonts w:cs="Arial"/>
                <w:sz w:val="18"/>
                <w:szCs w:val="18"/>
              </w:rPr>
              <w:t xml:space="preserve">It is a </w:t>
            </w:r>
            <w:r w:rsidRPr="00084328">
              <w:rPr>
                <w:rFonts w:cs="Arial"/>
                <w:i/>
                <w:sz w:val="18"/>
                <w:szCs w:val="18"/>
              </w:rPr>
              <w:t>de facto</w:t>
            </w:r>
            <w:r w:rsidRPr="00084328">
              <w:rPr>
                <w:rFonts w:cs="Arial"/>
                <w:sz w:val="18"/>
                <w:szCs w:val="18"/>
              </w:rPr>
              <w:t>, human readable, file format that stores nucleotide sequences and corresponding quality (PHRED) scores for each nucleotide as an ASCII encoded character.</w:t>
            </w:r>
            <w:r w:rsidR="00C660F1" w:rsidRPr="00C660F1">
              <w:rPr>
                <w:rFonts w:cs="Arial"/>
                <w:sz w:val="18"/>
                <w:szCs w:val="18"/>
                <w:vertAlign w:val="superscript"/>
              </w:rPr>
              <w:t>4</w:t>
            </w:r>
            <w:r w:rsidRPr="00084328">
              <w:rPr>
                <w:rFonts w:cs="Arial"/>
                <w:sz w:val="18"/>
                <w:szCs w:val="18"/>
              </w:rPr>
              <w:t xml:space="preserve"> This is commonly used for storing unaligned short sequence reads after the steps of base calling and is a typical starting point for NGS bioinformatics pipeline.</w:t>
            </w:r>
          </w:p>
        </w:tc>
      </w:tr>
      <w:tr w:rsidR="00A41A81" w:rsidRPr="00084328" w14:paraId="08915845" w14:textId="77777777" w:rsidTr="00084328">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10B92EB4" w14:textId="77777777" w:rsidR="00A41A81" w:rsidRPr="00084328" w:rsidRDefault="00A41A81" w:rsidP="007B5E5D">
            <w:pPr>
              <w:rPr>
                <w:rFonts w:cs="Arial"/>
                <w:b w:val="0"/>
                <w:sz w:val="18"/>
                <w:szCs w:val="18"/>
              </w:rPr>
            </w:pPr>
            <w:r w:rsidRPr="00084328">
              <w:rPr>
                <w:rFonts w:cs="Arial"/>
                <w:b w:val="0"/>
                <w:sz w:val="18"/>
                <w:szCs w:val="18"/>
              </w:rPr>
              <w:t>PHRED Score</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000B4E8D" w14:textId="4CD11545" w:rsidR="00B23C3A" w:rsidRPr="00084328" w:rsidRDefault="00261B3E" w:rsidP="00261B3E">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084328">
              <w:rPr>
                <w:rFonts w:cs="Arial"/>
                <w:sz w:val="18"/>
                <w:szCs w:val="18"/>
              </w:rPr>
              <w:t>It is a per base (nucleotide) quality score that is defined as an estimated probability for a called base to be incorrect (erroneous call). Mathematically, it is expressed as</w:t>
            </w:r>
            <w:r w:rsidR="00A67C75" w:rsidRPr="00A67C75">
              <w:rPr>
                <w:rFonts w:cs="Arial"/>
                <w:sz w:val="18"/>
                <w:szCs w:val="18"/>
                <w:vertAlign w:val="superscript"/>
              </w:rPr>
              <w:t>4</w:t>
            </w:r>
            <w:r w:rsidRPr="00084328">
              <w:rPr>
                <w:rFonts w:cs="Arial"/>
                <w:sz w:val="18"/>
                <w:szCs w:val="18"/>
              </w:rPr>
              <w:t xml:space="preserve"> </w:t>
            </w:r>
          </w:p>
          <w:p w14:paraId="0B1A3CB5" w14:textId="238BD625" w:rsidR="00261B3E" w:rsidRPr="00B23C3A" w:rsidRDefault="00084328" w:rsidP="00261B3E">
            <w:pPr>
              <w:cnfStyle w:val="000000100000" w:firstRow="0" w:lastRow="0" w:firstColumn="0" w:lastColumn="0" w:oddVBand="0" w:evenVBand="0" w:oddHBand="1" w:evenHBand="0" w:firstRowFirstColumn="0" w:firstRowLastColumn="0" w:lastRowFirstColumn="0" w:lastRowLastColumn="0"/>
              <w:rPr>
                <w:rFonts w:eastAsiaTheme="minorEastAsia" w:cs="Arial"/>
                <w:sz w:val="18"/>
                <w:szCs w:val="18"/>
              </w:rPr>
            </w:pPr>
            <m:oMathPara>
              <m:oMath>
                <m:r>
                  <w:rPr>
                    <w:rFonts w:ascii="Cambria Math" w:hAnsi="Cambria Math" w:cs="Arial"/>
                    <w:sz w:val="18"/>
                    <w:szCs w:val="18"/>
                  </w:rPr>
                  <m:t>Q= -</m:t>
                </m:r>
                <m:func>
                  <m:funcPr>
                    <m:ctrlPr>
                      <w:rPr>
                        <w:rFonts w:ascii="Cambria Math" w:hAnsi="Cambria Math" w:cs="Arial"/>
                        <w:i/>
                        <w:sz w:val="18"/>
                        <w:szCs w:val="18"/>
                      </w:rPr>
                    </m:ctrlPr>
                  </m:funcPr>
                  <m:fName>
                    <m:sSub>
                      <m:sSubPr>
                        <m:ctrlPr>
                          <w:rPr>
                            <w:rFonts w:ascii="Cambria Math" w:hAnsi="Cambria Math" w:cs="Arial"/>
                            <w:i/>
                            <w:sz w:val="18"/>
                            <w:szCs w:val="18"/>
                          </w:rPr>
                        </m:ctrlPr>
                      </m:sSubPr>
                      <m:e>
                        <m:r>
                          <m:rPr>
                            <m:sty m:val="p"/>
                          </m:rPr>
                          <w:rPr>
                            <w:rFonts w:ascii="Cambria Math" w:hAnsi="Cambria Math" w:cs="Arial"/>
                            <w:sz w:val="18"/>
                            <w:szCs w:val="18"/>
                          </w:rPr>
                          <m:t>10 x log</m:t>
                        </m:r>
                      </m:e>
                      <m:sub>
                        <m:r>
                          <w:rPr>
                            <w:rFonts w:ascii="Cambria Math" w:hAnsi="Cambria Math" w:cs="Arial"/>
                            <w:sz w:val="18"/>
                            <w:szCs w:val="18"/>
                          </w:rPr>
                          <m:t>10</m:t>
                        </m:r>
                      </m:sub>
                    </m:sSub>
                  </m:fName>
                  <m:e>
                    <m:r>
                      <w:rPr>
                        <w:rFonts w:ascii="Cambria Math" w:hAnsi="Cambria Math" w:cs="Arial"/>
                        <w:sz w:val="18"/>
                        <w:szCs w:val="18"/>
                      </w:rPr>
                      <m:t>(Pe)</m:t>
                    </m:r>
                  </m:e>
                </m:func>
              </m:oMath>
            </m:oMathPara>
          </w:p>
          <w:p w14:paraId="0C29CBB1" w14:textId="77777777" w:rsidR="00B23C3A" w:rsidRPr="00084328" w:rsidRDefault="00B23C3A" w:rsidP="00261B3E">
            <w:pPr>
              <w:cnfStyle w:val="000000100000" w:firstRow="0" w:lastRow="0" w:firstColumn="0" w:lastColumn="0" w:oddVBand="0" w:evenVBand="0" w:oddHBand="1" w:evenHBand="0" w:firstRowFirstColumn="0" w:firstRowLastColumn="0" w:lastRowFirstColumn="0" w:lastRowLastColumn="0"/>
              <w:rPr>
                <w:rFonts w:eastAsiaTheme="minorEastAsia" w:cs="Arial"/>
                <w:sz w:val="18"/>
                <w:szCs w:val="18"/>
              </w:rPr>
            </w:pPr>
          </w:p>
          <w:p w14:paraId="2B4170CE" w14:textId="3FF1F334" w:rsidR="00342144" w:rsidRPr="00084328" w:rsidRDefault="00342144" w:rsidP="00342144">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084328">
              <w:rPr>
                <w:rFonts w:eastAsiaTheme="minorEastAsia" w:cs="Arial"/>
                <w:sz w:val="18"/>
                <w:szCs w:val="18"/>
              </w:rPr>
              <w:t xml:space="preserve">where </w:t>
            </w:r>
            <w:r w:rsidRPr="00084328">
              <w:rPr>
                <w:rFonts w:eastAsiaTheme="minorEastAsia" w:cs="Arial"/>
                <w:i/>
                <w:sz w:val="18"/>
                <w:szCs w:val="18"/>
              </w:rPr>
              <w:t>Q</w:t>
            </w:r>
            <w:r w:rsidRPr="00084328">
              <w:rPr>
                <w:rFonts w:eastAsiaTheme="minorEastAsia" w:cs="Arial"/>
                <w:sz w:val="18"/>
                <w:szCs w:val="18"/>
              </w:rPr>
              <w:t xml:space="preserve"> is </w:t>
            </w:r>
            <w:proofErr w:type="spellStart"/>
            <w:r w:rsidRPr="00084328">
              <w:rPr>
                <w:rFonts w:eastAsiaTheme="minorEastAsia" w:cs="Arial"/>
                <w:sz w:val="18"/>
                <w:szCs w:val="18"/>
              </w:rPr>
              <w:t>Phred</w:t>
            </w:r>
            <w:proofErr w:type="spellEnd"/>
            <w:r w:rsidRPr="00084328">
              <w:rPr>
                <w:rFonts w:eastAsiaTheme="minorEastAsia" w:cs="Arial"/>
                <w:sz w:val="18"/>
                <w:szCs w:val="18"/>
              </w:rPr>
              <w:t xml:space="preserve"> quality score, </w:t>
            </w:r>
            <w:proofErr w:type="spellStart"/>
            <w:r w:rsidRPr="00084328">
              <w:rPr>
                <w:rFonts w:eastAsiaTheme="minorEastAsia" w:cs="Arial"/>
                <w:i/>
                <w:sz w:val="18"/>
                <w:szCs w:val="18"/>
              </w:rPr>
              <w:t>Pe</w:t>
            </w:r>
            <w:proofErr w:type="spellEnd"/>
            <w:r w:rsidRPr="00084328">
              <w:rPr>
                <w:rFonts w:eastAsiaTheme="minorEastAsia" w:cs="Arial"/>
                <w:sz w:val="18"/>
                <w:szCs w:val="18"/>
              </w:rPr>
              <w:t xml:space="preserve"> is the probability for an erroneous base call. The </w:t>
            </w:r>
            <w:proofErr w:type="spellStart"/>
            <w:r w:rsidRPr="00084328">
              <w:rPr>
                <w:rFonts w:eastAsiaTheme="minorEastAsia" w:cs="Arial"/>
                <w:i/>
                <w:sz w:val="18"/>
                <w:szCs w:val="18"/>
              </w:rPr>
              <w:t>Pe</w:t>
            </w:r>
            <w:proofErr w:type="spellEnd"/>
            <w:r w:rsidRPr="00084328">
              <w:rPr>
                <w:rFonts w:eastAsiaTheme="minorEastAsia" w:cs="Arial"/>
                <w:sz w:val="18"/>
                <w:szCs w:val="18"/>
              </w:rPr>
              <w:t xml:space="preserve"> is typically generated by the base calling software which is sequence instrument specific. Therefore, </w:t>
            </w:r>
            <w:r w:rsidRPr="00084328">
              <w:rPr>
                <w:rFonts w:eastAsiaTheme="minorEastAsia" w:cs="Arial"/>
                <w:i/>
                <w:sz w:val="18"/>
                <w:szCs w:val="18"/>
              </w:rPr>
              <w:t>Q</w:t>
            </w:r>
            <w:r w:rsidRPr="00084328">
              <w:rPr>
                <w:rFonts w:eastAsiaTheme="minorEastAsia" w:cs="Arial"/>
                <w:sz w:val="18"/>
                <w:szCs w:val="18"/>
              </w:rPr>
              <w:t xml:space="preserve"> values in isolation cannot be used to compare sequence quality across different sequencing platforms.</w:t>
            </w:r>
          </w:p>
        </w:tc>
      </w:tr>
      <w:tr w:rsidR="00A41A81" w:rsidRPr="00084328" w14:paraId="2B19D293" w14:textId="77777777" w:rsidTr="00084328">
        <w:trPr>
          <w:trHeight w:val="467"/>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4AF402D7" w14:textId="77777777" w:rsidR="00A41A81" w:rsidRPr="00084328" w:rsidRDefault="00A41A81" w:rsidP="007B5E5D">
            <w:pPr>
              <w:rPr>
                <w:rFonts w:cs="Arial"/>
                <w:b w:val="0"/>
                <w:sz w:val="18"/>
                <w:szCs w:val="18"/>
              </w:rPr>
            </w:pPr>
            <w:r w:rsidRPr="00084328">
              <w:rPr>
                <w:rFonts w:cs="Arial"/>
                <w:b w:val="0"/>
                <w:sz w:val="18"/>
                <w:szCs w:val="18"/>
              </w:rPr>
              <w:t>SAM</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0E1DDFA7" w14:textId="36DD740F" w:rsidR="00A41A81" w:rsidRPr="00084328" w:rsidRDefault="00E61AE2" w:rsidP="002E6201">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084328">
              <w:rPr>
                <w:rFonts w:cs="Arial"/>
                <w:sz w:val="18"/>
                <w:szCs w:val="18"/>
              </w:rPr>
              <w:t xml:space="preserve">Stands for </w:t>
            </w:r>
            <w:r w:rsidRPr="006158CB">
              <w:rPr>
                <w:rFonts w:cs="Arial"/>
                <w:sz w:val="18"/>
                <w:szCs w:val="18"/>
              </w:rPr>
              <w:t>S</w:t>
            </w:r>
            <w:r w:rsidRPr="002E6201">
              <w:rPr>
                <w:rFonts w:cs="Arial"/>
                <w:sz w:val="18"/>
                <w:szCs w:val="18"/>
              </w:rPr>
              <w:t xml:space="preserve">equence </w:t>
            </w:r>
            <w:r w:rsidRPr="006158CB">
              <w:rPr>
                <w:rFonts w:cs="Arial"/>
                <w:sz w:val="18"/>
                <w:szCs w:val="18"/>
              </w:rPr>
              <w:t>A</w:t>
            </w:r>
            <w:r w:rsidRPr="002E6201">
              <w:rPr>
                <w:rFonts w:cs="Arial"/>
                <w:sz w:val="18"/>
                <w:szCs w:val="18"/>
              </w:rPr>
              <w:t>lignment/</w:t>
            </w:r>
            <w:r w:rsidRPr="006158CB">
              <w:rPr>
                <w:rFonts w:cs="Arial"/>
                <w:sz w:val="18"/>
                <w:szCs w:val="18"/>
              </w:rPr>
              <w:t>M</w:t>
            </w:r>
            <w:r w:rsidRPr="002E6201">
              <w:rPr>
                <w:rFonts w:cs="Arial"/>
                <w:sz w:val="18"/>
                <w:szCs w:val="18"/>
              </w:rPr>
              <w:t>ap</w:t>
            </w:r>
            <w:r w:rsidRPr="00084328">
              <w:rPr>
                <w:rFonts w:cs="Arial"/>
                <w:sz w:val="18"/>
                <w:szCs w:val="18"/>
              </w:rPr>
              <w:t xml:space="preserve"> format. It is a human readable</w:t>
            </w:r>
            <w:r w:rsidR="009A49EE" w:rsidRPr="00084328">
              <w:rPr>
                <w:rFonts w:cs="Arial"/>
                <w:sz w:val="18"/>
                <w:szCs w:val="18"/>
              </w:rPr>
              <w:t xml:space="preserve"> (text file)</w:t>
            </w:r>
            <w:r w:rsidRPr="00084328">
              <w:rPr>
                <w:rFonts w:cs="Arial"/>
                <w:sz w:val="18"/>
                <w:szCs w:val="18"/>
              </w:rPr>
              <w:t xml:space="preserve"> file format specification for </w:t>
            </w:r>
            <w:r w:rsidR="009A49EE" w:rsidRPr="00084328">
              <w:rPr>
                <w:rFonts w:cs="Arial"/>
                <w:sz w:val="18"/>
                <w:szCs w:val="18"/>
              </w:rPr>
              <w:t xml:space="preserve">storing information on aligned sequence. This is a default output of many alignment </w:t>
            </w:r>
            <w:proofErr w:type="spellStart"/>
            <w:r w:rsidR="009A49EE" w:rsidRPr="00084328">
              <w:rPr>
                <w:rFonts w:cs="Arial"/>
                <w:sz w:val="18"/>
                <w:szCs w:val="18"/>
              </w:rPr>
              <w:t>softwares</w:t>
            </w:r>
            <w:proofErr w:type="spellEnd"/>
            <w:r w:rsidR="009A49EE" w:rsidRPr="00084328">
              <w:rPr>
                <w:rFonts w:cs="Arial"/>
                <w:sz w:val="18"/>
                <w:szCs w:val="18"/>
              </w:rPr>
              <w:t xml:space="preserve"> used in bioinformatics pipeline. Given the large file size and slower random access, BAM format is preferred for routine bioinformatics data processing. This format is helpful for technical troubleshooting when manual review of the stored information is necessary</w:t>
            </w:r>
            <w:r w:rsidR="00084328">
              <w:rPr>
                <w:rFonts w:cs="Arial"/>
                <w:sz w:val="18"/>
                <w:szCs w:val="18"/>
              </w:rPr>
              <w:t>*</w:t>
            </w:r>
            <w:r w:rsidR="009A49EE" w:rsidRPr="00084328">
              <w:rPr>
                <w:rFonts w:cs="Arial"/>
                <w:sz w:val="18"/>
                <w:szCs w:val="18"/>
              </w:rPr>
              <w:t>.</w:t>
            </w:r>
          </w:p>
        </w:tc>
      </w:tr>
      <w:tr w:rsidR="00AD103D" w:rsidRPr="00084328" w14:paraId="1A336F51" w14:textId="77777777" w:rsidTr="0008432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18B02121" w14:textId="0D40EF86" w:rsidR="00AD103D" w:rsidRPr="00084328" w:rsidRDefault="00AD103D" w:rsidP="007B5E5D">
            <w:pPr>
              <w:rPr>
                <w:rFonts w:cs="Arial"/>
                <w:b w:val="0"/>
                <w:sz w:val="18"/>
                <w:szCs w:val="18"/>
              </w:rPr>
            </w:pPr>
            <w:r w:rsidRPr="00084328">
              <w:rPr>
                <w:rFonts w:cs="Arial"/>
                <w:b w:val="0"/>
                <w:sz w:val="18"/>
                <w:szCs w:val="18"/>
              </w:rPr>
              <w:t>Variant - horizontally complex</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37F3ACA8" w14:textId="138931E3" w:rsidR="00AD103D" w:rsidRPr="00084328" w:rsidRDefault="00716AA2" w:rsidP="006849B9">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084328">
              <w:rPr>
                <w:rFonts w:cs="Arial"/>
                <w:sz w:val="18"/>
                <w:szCs w:val="18"/>
              </w:rPr>
              <w:t>When two or more sequence alterations are present on the same read in close proximity such that they may represent a single complex variant. These variants are frequently represented as deletion-insertions and may result in ambiguous sequence description or HGVS nomenclature.</w:t>
            </w:r>
          </w:p>
        </w:tc>
      </w:tr>
      <w:tr w:rsidR="00AD103D" w:rsidRPr="00084328" w14:paraId="0C6C3D09" w14:textId="77777777" w:rsidTr="00084328">
        <w:trPr>
          <w:trHeight w:val="593"/>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42423870" w14:textId="7D2B5E6C" w:rsidR="00AD103D" w:rsidRPr="00084328" w:rsidRDefault="00AD103D" w:rsidP="00D868D3">
            <w:pPr>
              <w:rPr>
                <w:rFonts w:cs="Arial"/>
                <w:b w:val="0"/>
                <w:sz w:val="18"/>
                <w:szCs w:val="18"/>
              </w:rPr>
            </w:pPr>
            <w:r w:rsidRPr="00084328">
              <w:rPr>
                <w:rFonts w:cs="Arial"/>
                <w:b w:val="0"/>
                <w:sz w:val="18"/>
                <w:szCs w:val="18"/>
              </w:rPr>
              <w:t>Variant - Left-aligned</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017BFB81" w14:textId="7C77C001" w:rsidR="00AD103D" w:rsidRPr="00084328" w:rsidRDefault="002E6201" w:rsidP="002E6201">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084328">
              <w:rPr>
                <w:rFonts w:cs="Arial"/>
                <w:sz w:val="18"/>
                <w:szCs w:val="18"/>
              </w:rPr>
              <w:t>If</w:t>
            </w:r>
            <w:r w:rsidR="00AD103D" w:rsidRPr="00084328">
              <w:rPr>
                <w:rFonts w:cs="Arial"/>
                <w:sz w:val="18"/>
                <w:szCs w:val="18"/>
              </w:rPr>
              <w:t xml:space="preserve"> there are multiple potential VCF entries of the same allele length that represent the same variant, then left-alignment refers to the VCF entry with the smallest base position. The base position is typically represented in genomic coordinate for a given primary assembly (</w:t>
            </w:r>
            <w:proofErr w:type="spellStart"/>
            <w:r>
              <w:rPr>
                <w:rFonts w:cs="Arial"/>
                <w:sz w:val="18"/>
                <w:szCs w:val="18"/>
              </w:rPr>
              <w:t>eg</w:t>
            </w:r>
            <w:proofErr w:type="spellEnd"/>
            <w:r w:rsidR="005C6CB9">
              <w:rPr>
                <w:rFonts w:cs="Arial"/>
                <w:sz w:val="18"/>
                <w:szCs w:val="18"/>
              </w:rPr>
              <w:t xml:space="preserve">, </w:t>
            </w:r>
            <w:r w:rsidR="00AD103D" w:rsidRPr="00084328">
              <w:rPr>
                <w:rFonts w:cs="Arial"/>
                <w:sz w:val="18"/>
                <w:szCs w:val="18"/>
              </w:rPr>
              <w:t xml:space="preserve"> GRCh38) and represents the most 5’ position.</w:t>
            </w:r>
            <w:r w:rsidR="00A67C75" w:rsidRPr="00A67C75">
              <w:rPr>
                <w:rFonts w:cs="Arial"/>
                <w:sz w:val="18"/>
                <w:szCs w:val="18"/>
                <w:vertAlign w:val="superscript"/>
              </w:rPr>
              <w:t>5</w:t>
            </w:r>
            <w:r w:rsidR="00AD103D" w:rsidRPr="00084328">
              <w:rPr>
                <w:rFonts w:cs="Arial"/>
                <w:sz w:val="18"/>
                <w:szCs w:val="18"/>
              </w:rPr>
              <w:t xml:space="preserve"> </w:t>
            </w:r>
          </w:p>
        </w:tc>
      </w:tr>
      <w:tr w:rsidR="00AD103D" w:rsidRPr="00084328" w14:paraId="4C9C53DC" w14:textId="77777777" w:rsidTr="0008432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2F6E4C73" w14:textId="1A15F45E" w:rsidR="00AD103D" w:rsidRPr="00084328" w:rsidRDefault="00AD103D" w:rsidP="007B5E5D">
            <w:pPr>
              <w:rPr>
                <w:rFonts w:cs="Arial"/>
                <w:b w:val="0"/>
                <w:sz w:val="18"/>
                <w:szCs w:val="18"/>
              </w:rPr>
            </w:pPr>
            <w:r w:rsidRPr="00084328">
              <w:rPr>
                <w:rFonts w:cs="Arial"/>
                <w:b w:val="0"/>
                <w:sz w:val="18"/>
                <w:szCs w:val="18"/>
              </w:rPr>
              <w:t>Variant - Normalized</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3577B660" w14:textId="63ACD3E1" w:rsidR="00AD103D" w:rsidRPr="00084328" w:rsidRDefault="00AD103D" w:rsidP="007E0B20">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084328">
              <w:rPr>
                <w:rFonts w:cs="Arial"/>
                <w:sz w:val="18"/>
                <w:szCs w:val="18"/>
              </w:rPr>
              <w:t>A normalized variant must be parsimonious as well as left-aligned.</w:t>
            </w:r>
            <w:r w:rsidR="00A67C75" w:rsidRPr="00A67C75">
              <w:rPr>
                <w:rFonts w:cs="Arial"/>
                <w:sz w:val="18"/>
                <w:szCs w:val="18"/>
                <w:vertAlign w:val="superscript"/>
              </w:rPr>
              <w:t>5</w:t>
            </w:r>
          </w:p>
        </w:tc>
      </w:tr>
      <w:tr w:rsidR="00AD103D" w:rsidRPr="00084328" w14:paraId="300519AD" w14:textId="77777777" w:rsidTr="00084328">
        <w:trPr>
          <w:trHeight w:val="432"/>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2449EBF3" w14:textId="1C46A948" w:rsidR="00AD103D" w:rsidRPr="00084328" w:rsidRDefault="00AD103D" w:rsidP="00B855F8">
            <w:pPr>
              <w:rPr>
                <w:rFonts w:cs="Arial"/>
                <w:b w:val="0"/>
                <w:sz w:val="18"/>
                <w:szCs w:val="18"/>
              </w:rPr>
            </w:pPr>
            <w:r w:rsidRPr="00084328">
              <w:rPr>
                <w:rFonts w:cs="Arial"/>
                <w:b w:val="0"/>
                <w:sz w:val="18"/>
                <w:szCs w:val="18"/>
              </w:rPr>
              <w:t>Variant - Parsimony</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42ED98A0" w14:textId="78494D8E" w:rsidR="00AD103D" w:rsidRPr="00084328" w:rsidRDefault="00AD103D" w:rsidP="007B5E5D">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084328">
              <w:rPr>
                <w:rFonts w:cs="Arial"/>
                <w:sz w:val="18"/>
                <w:szCs w:val="18"/>
              </w:rPr>
              <w:t>If there are more than one way to represent the same variant in a VCF file, parsimony refers to the representation with the shortest possible allele length</w:t>
            </w:r>
            <w:r w:rsidR="00A67C75" w:rsidRPr="00A67C75">
              <w:rPr>
                <w:rFonts w:cs="Arial"/>
                <w:sz w:val="18"/>
                <w:szCs w:val="18"/>
                <w:vertAlign w:val="superscript"/>
              </w:rPr>
              <w:t>5</w:t>
            </w:r>
            <w:r w:rsidRPr="00A67C75">
              <w:rPr>
                <w:rFonts w:cs="Arial"/>
                <w:sz w:val="18"/>
                <w:szCs w:val="18"/>
                <w:vertAlign w:val="superscript"/>
              </w:rPr>
              <w:t xml:space="preserve"> </w:t>
            </w:r>
            <w:r w:rsidRPr="00084328">
              <w:rPr>
                <w:rFonts w:cs="Arial"/>
                <w:sz w:val="18"/>
                <w:szCs w:val="18"/>
              </w:rPr>
              <w:t xml:space="preserve"> (positive and non-zero length).</w:t>
            </w:r>
          </w:p>
        </w:tc>
      </w:tr>
      <w:tr w:rsidR="00AD103D" w:rsidRPr="00084328" w14:paraId="03C1C489" w14:textId="77777777" w:rsidTr="0008432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nil"/>
              <w:right w:val="nil"/>
            </w:tcBorders>
            <w:shd w:val="clear" w:color="auto" w:fill="auto"/>
            <w:tcMar>
              <w:top w:w="29" w:type="dxa"/>
              <w:left w:w="115" w:type="dxa"/>
              <w:bottom w:w="29" w:type="dxa"/>
              <w:right w:w="115" w:type="dxa"/>
            </w:tcMar>
            <w:vAlign w:val="center"/>
          </w:tcPr>
          <w:p w14:paraId="4EB6DCBC" w14:textId="66970115" w:rsidR="00AD103D" w:rsidRPr="00084328" w:rsidRDefault="00AD103D" w:rsidP="007B5E5D">
            <w:pPr>
              <w:rPr>
                <w:rFonts w:cs="Arial"/>
                <w:b w:val="0"/>
                <w:sz w:val="18"/>
                <w:szCs w:val="18"/>
              </w:rPr>
            </w:pPr>
            <w:r w:rsidRPr="00084328">
              <w:rPr>
                <w:rFonts w:cs="Arial"/>
                <w:b w:val="0"/>
                <w:sz w:val="18"/>
                <w:szCs w:val="18"/>
              </w:rPr>
              <w:t>Variant - vertically complex</w:t>
            </w:r>
          </w:p>
        </w:tc>
        <w:tc>
          <w:tcPr>
            <w:tcW w:w="11898" w:type="dxa"/>
            <w:tcBorders>
              <w:top w:val="nil"/>
              <w:left w:val="nil"/>
              <w:bottom w:val="nil"/>
              <w:right w:val="nil"/>
            </w:tcBorders>
            <w:shd w:val="clear" w:color="auto" w:fill="auto"/>
            <w:tcMar>
              <w:top w:w="29" w:type="dxa"/>
              <w:left w:w="115" w:type="dxa"/>
              <w:bottom w:w="29" w:type="dxa"/>
              <w:right w:w="115" w:type="dxa"/>
            </w:tcMar>
            <w:vAlign w:val="center"/>
          </w:tcPr>
          <w:p w14:paraId="583EFECC" w14:textId="114B9F2B" w:rsidR="00AD103D" w:rsidRPr="00084328" w:rsidRDefault="006849B9" w:rsidP="005E3CB8">
            <w:pPr>
              <w:cnfStyle w:val="000000100000" w:firstRow="0" w:lastRow="0" w:firstColumn="0" w:lastColumn="0" w:oddVBand="0" w:evenVBand="0" w:oddHBand="1" w:evenHBand="0" w:firstRowFirstColumn="0" w:firstRowLastColumn="0" w:lastRowFirstColumn="0" w:lastRowLastColumn="0"/>
              <w:rPr>
                <w:rFonts w:cs="Arial"/>
                <w:sz w:val="18"/>
                <w:szCs w:val="18"/>
              </w:rPr>
            </w:pPr>
            <w:r w:rsidRPr="00084328">
              <w:rPr>
                <w:rFonts w:cs="Arial"/>
                <w:sz w:val="18"/>
                <w:szCs w:val="18"/>
              </w:rPr>
              <w:t>A vertically complex variant occurs when three or more alleles are represented by different sequence reads, typically with or uncommonly without a reference (normal) allele, at the same genomic coordinate or set of coordinates.</w:t>
            </w:r>
          </w:p>
        </w:tc>
      </w:tr>
      <w:tr w:rsidR="00AD103D" w:rsidRPr="00084328" w14:paraId="7D323FA1" w14:textId="77777777" w:rsidTr="00084328">
        <w:trPr>
          <w:trHeight w:val="432"/>
        </w:trPr>
        <w:tc>
          <w:tcPr>
            <w:cnfStyle w:val="001000000000" w:firstRow="0" w:lastRow="0" w:firstColumn="1" w:lastColumn="0" w:oddVBand="0" w:evenVBand="0" w:oddHBand="0" w:evenHBand="0" w:firstRowFirstColumn="0" w:firstRowLastColumn="0" w:lastRowFirstColumn="0" w:lastRowLastColumn="0"/>
            <w:tcW w:w="2718" w:type="dxa"/>
            <w:tcBorders>
              <w:top w:val="nil"/>
              <w:left w:val="nil"/>
              <w:bottom w:val="single" w:sz="4" w:space="0" w:color="auto"/>
              <w:right w:val="nil"/>
            </w:tcBorders>
            <w:shd w:val="clear" w:color="auto" w:fill="auto"/>
            <w:tcMar>
              <w:top w:w="29" w:type="dxa"/>
              <w:left w:w="115" w:type="dxa"/>
              <w:bottom w:w="29" w:type="dxa"/>
              <w:right w:w="115" w:type="dxa"/>
            </w:tcMar>
            <w:vAlign w:val="center"/>
          </w:tcPr>
          <w:p w14:paraId="3B9D68E1" w14:textId="432D748B" w:rsidR="00AD103D" w:rsidRPr="00084328" w:rsidRDefault="00AD103D" w:rsidP="00651531">
            <w:pPr>
              <w:rPr>
                <w:rFonts w:cs="Arial"/>
                <w:b w:val="0"/>
                <w:sz w:val="18"/>
                <w:szCs w:val="18"/>
              </w:rPr>
            </w:pPr>
            <w:r w:rsidRPr="00084328">
              <w:rPr>
                <w:rFonts w:cs="Arial"/>
                <w:b w:val="0"/>
                <w:sz w:val="18"/>
                <w:szCs w:val="18"/>
              </w:rPr>
              <w:t>VCF</w:t>
            </w:r>
          </w:p>
        </w:tc>
        <w:tc>
          <w:tcPr>
            <w:tcW w:w="11898" w:type="dxa"/>
            <w:tcBorders>
              <w:top w:val="nil"/>
              <w:left w:val="nil"/>
              <w:bottom w:val="single" w:sz="4" w:space="0" w:color="auto"/>
              <w:right w:val="nil"/>
            </w:tcBorders>
            <w:shd w:val="clear" w:color="auto" w:fill="auto"/>
            <w:tcMar>
              <w:top w:w="29" w:type="dxa"/>
              <w:left w:w="115" w:type="dxa"/>
              <w:bottom w:w="29" w:type="dxa"/>
              <w:right w:w="115" w:type="dxa"/>
            </w:tcMar>
            <w:vAlign w:val="center"/>
          </w:tcPr>
          <w:p w14:paraId="20CD408E" w14:textId="20D37806" w:rsidR="00AD103D" w:rsidRPr="00084328" w:rsidRDefault="00B56DB8" w:rsidP="005023DD">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6158CB">
              <w:rPr>
                <w:rFonts w:cs="Arial"/>
                <w:sz w:val="18"/>
                <w:szCs w:val="18"/>
              </w:rPr>
              <w:t>V</w:t>
            </w:r>
            <w:r w:rsidRPr="002E6201">
              <w:rPr>
                <w:rFonts w:cs="Arial"/>
                <w:sz w:val="18"/>
                <w:szCs w:val="18"/>
              </w:rPr>
              <w:t xml:space="preserve">ariant </w:t>
            </w:r>
            <w:r w:rsidRPr="006158CB">
              <w:rPr>
                <w:rFonts w:cs="Arial"/>
                <w:sz w:val="18"/>
                <w:szCs w:val="18"/>
              </w:rPr>
              <w:t>C</w:t>
            </w:r>
            <w:r w:rsidRPr="002E6201">
              <w:rPr>
                <w:rFonts w:cs="Arial"/>
                <w:sz w:val="18"/>
                <w:szCs w:val="18"/>
              </w:rPr>
              <w:t xml:space="preserve">all </w:t>
            </w:r>
            <w:r w:rsidRPr="006158CB">
              <w:rPr>
                <w:rFonts w:cs="Arial"/>
                <w:sz w:val="18"/>
                <w:szCs w:val="18"/>
              </w:rPr>
              <w:t>F</w:t>
            </w:r>
            <w:r w:rsidRPr="002E6201">
              <w:rPr>
                <w:rFonts w:cs="Arial"/>
                <w:sz w:val="18"/>
                <w:szCs w:val="18"/>
              </w:rPr>
              <w:t>ormat</w:t>
            </w:r>
            <w:r w:rsidR="00816542" w:rsidRPr="00084328">
              <w:rPr>
                <w:rFonts w:cs="Arial"/>
                <w:sz w:val="18"/>
                <w:szCs w:val="18"/>
              </w:rPr>
              <w:t xml:space="preserve"> is a versioned</w:t>
            </w:r>
            <w:r w:rsidR="00F74E11" w:rsidRPr="00084328">
              <w:rPr>
                <w:rFonts w:cs="Arial"/>
                <w:sz w:val="18"/>
                <w:szCs w:val="18"/>
              </w:rPr>
              <w:t>, text-file (human readable) specification for storing sequence variant calls. The file conta</w:t>
            </w:r>
            <w:r w:rsidR="005023DD" w:rsidRPr="00084328">
              <w:rPr>
                <w:rFonts w:cs="Arial"/>
                <w:sz w:val="18"/>
                <w:szCs w:val="18"/>
              </w:rPr>
              <w:t>ins meta-information containing</w:t>
            </w:r>
            <w:r w:rsidR="00F74E11" w:rsidRPr="00084328">
              <w:rPr>
                <w:rFonts w:cs="Arial"/>
                <w:sz w:val="18"/>
                <w:szCs w:val="18"/>
              </w:rPr>
              <w:t xml:space="preserve"> various details of the variant calling process and definition of headers and format tags, a header line and data lines</w:t>
            </w:r>
            <w:r w:rsidR="005023DD" w:rsidRPr="00084328">
              <w:rPr>
                <w:rFonts w:cs="Arial"/>
                <w:sz w:val="18"/>
                <w:szCs w:val="18"/>
              </w:rPr>
              <w:t>. Each data line represents a sequence variant defined using a combination of chromosome, position, reference allele</w:t>
            </w:r>
            <w:r w:rsidR="002E6201">
              <w:rPr>
                <w:rFonts w:cs="Arial"/>
                <w:sz w:val="18"/>
                <w:szCs w:val="18"/>
              </w:rPr>
              <w:t>,</w:t>
            </w:r>
            <w:bookmarkStart w:id="0" w:name="_GoBack"/>
            <w:bookmarkEnd w:id="0"/>
            <w:r w:rsidR="005023DD" w:rsidRPr="00084328">
              <w:rPr>
                <w:rFonts w:cs="Arial"/>
                <w:sz w:val="18"/>
                <w:szCs w:val="18"/>
              </w:rPr>
              <w:t xml:space="preserve"> and alternate allele</w:t>
            </w:r>
            <w:r w:rsidR="00084328">
              <w:rPr>
                <w:rFonts w:cs="Arial"/>
                <w:sz w:val="18"/>
                <w:szCs w:val="18"/>
              </w:rPr>
              <w:t>†</w:t>
            </w:r>
            <w:r w:rsidR="005023DD" w:rsidRPr="00084328">
              <w:rPr>
                <w:rFonts w:cs="Arial"/>
                <w:sz w:val="18"/>
                <w:szCs w:val="18"/>
              </w:rPr>
              <w:t xml:space="preserve">. </w:t>
            </w:r>
          </w:p>
        </w:tc>
      </w:tr>
    </w:tbl>
    <w:p w14:paraId="02F44C36" w14:textId="77777777" w:rsidR="00EF3453" w:rsidRPr="00084328" w:rsidRDefault="00EF3453" w:rsidP="0010541E">
      <w:pPr>
        <w:rPr>
          <w:rFonts w:cs="Arial"/>
          <w:sz w:val="18"/>
          <w:szCs w:val="18"/>
        </w:rPr>
      </w:pPr>
    </w:p>
    <w:p w14:paraId="3367C18C" w14:textId="449842C1" w:rsidR="00B215A4" w:rsidRDefault="00084328" w:rsidP="0010541E">
      <w:pPr>
        <w:rPr>
          <w:rFonts w:cs="Arial"/>
          <w:sz w:val="18"/>
          <w:szCs w:val="18"/>
        </w:rPr>
      </w:pPr>
      <w:r w:rsidRPr="00084328">
        <w:rPr>
          <w:rFonts w:cs="Arial"/>
          <w:sz w:val="18"/>
          <w:szCs w:val="18"/>
        </w:rPr>
        <w:t>*</w:t>
      </w:r>
      <w:r w:rsidRPr="00084328">
        <w:rPr>
          <w:sz w:val="18"/>
          <w:szCs w:val="18"/>
        </w:rPr>
        <w:t xml:space="preserve"> Sequence Alignment/Map Format Specification, </w:t>
      </w:r>
      <w:r w:rsidR="00B215A4" w:rsidRPr="006158CB">
        <w:rPr>
          <w:rFonts w:cs="Arial"/>
          <w:sz w:val="18"/>
          <w:szCs w:val="18"/>
        </w:rPr>
        <w:t>https://samtools.github.io/hts-specs/SAMv1.pdf</w:t>
      </w:r>
      <w:r w:rsidRPr="00084328">
        <w:rPr>
          <w:rFonts w:cs="Arial"/>
          <w:sz w:val="18"/>
          <w:szCs w:val="18"/>
        </w:rPr>
        <w:t>, last accessed 9/28/17</w:t>
      </w:r>
      <w:r w:rsidR="00B215A4">
        <w:rPr>
          <w:rFonts w:cs="Arial"/>
          <w:sz w:val="18"/>
          <w:szCs w:val="18"/>
        </w:rPr>
        <w:t>.</w:t>
      </w:r>
    </w:p>
    <w:p w14:paraId="46A30456" w14:textId="2EB6A741" w:rsidR="00084328" w:rsidRPr="00084328" w:rsidRDefault="00084328" w:rsidP="0010541E">
      <w:pPr>
        <w:rPr>
          <w:rFonts w:cs="Arial"/>
          <w:sz w:val="18"/>
          <w:szCs w:val="18"/>
        </w:rPr>
      </w:pPr>
      <w:r>
        <w:rPr>
          <w:rFonts w:cs="Arial"/>
          <w:sz w:val="18"/>
          <w:szCs w:val="18"/>
        </w:rPr>
        <w:t>†</w:t>
      </w:r>
      <w:r w:rsidRPr="00084328">
        <w:rPr>
          <w:rFonts w:cs="Arial"/>
          <w:sz w:val="18"/>
          <w:szCs w:val="18"/>
        </w:rPr>
        <w:t>The Variant Call Format (VCF) Version 4.2 Specification</w:t>
      </w:r>
      <w:r>
        <w:rPr>
          <w:rFonts w:cs="Arial"/>
          <w:sz w:val="18"/>
          <w:szCs w:val="18"/>
        </w:rPr>
        <w:t xml:space="preserve">, </w:t>
      </w:r>
      <w:r w:rsidR="00B215A4" w:rsidRPr="006158CB">
        <w:rPr>
          <w:rFonts w:cs="Arial"/>
          <w:sz w:val="18"/>
          <w:szCs w:val="18"/>
        </w:rPr>
        <w:t>https://samtools.github.io/hts-specs/VCFv4.2.pdf</w:t>
      </w:r>
      <w:r>
        <w:rPr>
          <w:rFonts w:cs="Arial"/>
          <w:sz w:val="18"/>
          <w:szCs w:val="18"/>
        </w:rPr>
        <w:t xml:space="preserve">, last accessed 9/28/17. </w:t>
      </w:r>
    </w:p>
    <w:sectPr w:rsidR="00084328" w:rsidRPr="00084328" w:rsidSect="00F270E1">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3DA96" w14:textId="77777777" w:rsidR="0026296D" w:rsidRDefault="0026296D" w:rsidP="00C17AF6">
      <w:r>
        <w:separator/>
      </w:r>
    </w:p>
  </w:endnote>
  <w:endnote w:type="continuationSeparator" w:id="0">
    <w:p w14:paraId="1DC3D807" w14:textId="77777777" w:rsidR="0026296D" w:rsidRDefault="0026296D" w:rsidP="00C1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03A7E" w14:textId="77777777" w:rsidR="00C17AF6" w:rsidRDefault="00C17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B1566" w14:textId="77777777" w:rsidR="0026296D" w:rsidRDefault="0026296D" w:rsidP="00C17AF6">
      <w:r>
        <w:separator/>
      </w:r>
    </w:p>
  </w:footnote>
  <w:footnote w:type="continuationSeparator" w:id="0">
    <w:p w14:paraId="3B5E80C7" w14:textId="77777777" w:rsidR="0026296D" w:rsidRDefault="0026296D" w:rsidP="00C17A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3A77D" w14:textId="560DBCA3" w:rsidR="00C17AF6" w:rsidRPr="00C17AF6" w:rsidRDefault="00C17AF6" w:rsidP="00C17AF6">
    <w:pPr>
      <w:pStyle w:val="Header"/>
      <w:tabs>
        <w:tab w:val="clear" w:pos="4680"/>
        <w:tab w:val="clear" w:pos="9360"/>
        <w:tab w:val="center" w:pos="7200"/>
        <w:tab w:val="right" w:pos="14400"/>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3F40"/>
    <w:multiLevelType w:val="hybridMultilevel"/>
    <w:tmpl w:val="EA9AC32C"/>
    <w:lvl w:ilvl="0" w:tplc="9782C7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D8"/>
    <w:rsid w:val="00017576"/>
    <w:rsid w:val="00060113"/>
    <w:rsid w:val="00066883"/>
    <w:rsid w:val="00084328"/>
    <w:rsid w:val="00095277"/>
    <w:rsid w:val="000C0D8E"/>
    <w:rsid w:val="000D61A8"/>
    <w:rsid w:val="000E6343"/>
    <w:rsid w:val="0010541E"/>
    <w:rsid w:val="00125849"/>
    <w:rsid w:val="0014068A"/>
    <w:rsid w:val="00176C44"/>
    <w:rsid w:val="001971B7"/>
    <w:rsid w:val="001A098C"/>
    <w:rsid w:val="001A2ED6"/>
    <w:rsid w:val="001A54FB"/>
    <w:rsid w:val="001F6318"/>
    <w:rsid w:val="002138F6"/>
    <w:rsid w:val="00261B3E"/>
    <w:rsid w:val="00262828"/>
    <w:rsid w:val="0026296D"/>
    <w:rsid w:val="00266D42"/>
    <w:rsid w:val="00267C03"/>
    <w:rsid w:val="002A612A"/>
    <w:rsid w:val="002B1ABA"/>
    <w:rsid w:val="002B286B"/>
    <w:rsid w:val="002D27D8"/>
    <w:rsid w:val="002E6201"/>
    <w:rsid w:val="00311197"/>
    <w:rsid w:val="003402BF"/>
    <w:rsid w:val="00342144"/>
    <w:rsid w:val="00367562"/>
    <w:rsid w:val="0037306E"/>
    <w:rsid w:val="00386B0C"/>
    <w:rsid w:val="003D11D4"/>
    <w:rsid w:val="003F34FA"/>
    <w:rsid w:val="00426F56"/>
    <w:rsid w:val="00436755"/>
    <w:rsid w:val="00460804"/>
    <w:rsid w:val="004941B5"/>
    <w:rsid w:val="004F1B22"/>
    <w:rsid w:val="005023DD"/>
    <w:rsid w:val="00590B54"/>
    <w:rsid w:val="005958F7"/>
    <w:rsid w:val="005A6A8B"/>
    <w:rsid w:val="005C6CB9"/>
    <w:rsid w:val="005D0E4E"/>
    <w:rsid w:val="005E3CB8"/>
    <w:rsid w:val="005E6A28"/>
    <w:rsid w:val="00604039"/>
    <w:rsid w:val="006158CB"/>
    <w:rsid w:val="00637362"/>
    <w:rsid w:val="00644CEB"/>
    <w:rsid w:val="00651531"/>
    <w:rsid w:val="006849B9"/>
    <w:rsid w:val="006B10E6"/>
    <w:rsid w:val="006F52E7"/>
    <w:rsid w:val="00716AA2"/>
    <w:rsid w:val="00722EE0"/>
    <w:rsid w:val="007515B8"/>
    <w:rsid w:val="00757FD6"/>
    <w:rsid w:val="007B0D13"/>
    <w:rsid w:val="007B5E5D"/>
    <w:rsid w:val="007D406B"/>
    <w:rsid w:val="007E0B20"/>
    <w:rsid w:val="00811B00"/>
    <w:rsid w:val="00813B1B"/>
    <w:rsid w:val="00816542"/>
    <w:rsid w:val="00833E17"/>
    <w:rsid w:val="00864B5D"/>
    <w:rsid w:val="008A114A"/>
    <w:rsid w:val="008D0013"/>
    <w:rsid w:val="009221D0"/>
    <w:rsid w:val="00955B62"/>
    <w:rsid w:val="00957FC0"/>
    <w:rsid w:val="009A49EE"/>
    <w:rsid w:val="009D4005"/>
    <w:rsid w:val="009F67C4"/>
    <w:rsid w:val="00A15837"/>
    <w:rsid w:val="00A159EB"/>
    <w:rsid w:val="00A4084A"/>
    <w:rsid w:val="00A41A81"/>
    <w:rsid w:val="00A67C75"/>
    <w:rsid w:val="00AC5381"/>
    <w:rsid w:val="00AD103D"/>
    <w:rsid w:val="00AE4D91"/>
    <w:rsid w:val="00B03784"/>
    <w:rsid w:val="00B10BB6"/>
    <w:rsid w:val="00B13B1D"/>
    <w:rsid w:val="00B215A4"/>
    <w:rsid w:val="00B23C3A"/>
    <w:rsid w:val="00B32331"/>
    <w:rsid w:val="00B4017E"/>
    <w:rsid w:val="00B56DB8"/>
    <w:rsid w:val="00B61BA1"/>
    <w:rsid w:val="00B65156"/>
    <w:rsid w:val="00B855F8"/>
    <w:rsid w:val="00B93B6F"/>
    <w:rsid w:val="00BB741C"/>
    <w:rsid w:val="00BC0A7B"/>
    <w:rsid w:val="00BF40B1"/>
    <w:rsid w:val="00C035BD"/>
    <w:rsid w:val="00C14E6E"/>
    <w:rsid w:val="00C17AF6"/>
    <w:rsid w:val="00C32F28"/>
    <w:rsid w:val="00C4595C"/>
    <w:rsid w:val="00C6480D"/>
    <w:rsid w:val="00C660F1"/>
    <w:rsid w:val="00C835CB"/>
    <w:rsid w:val="00C932EF"/>
    <w:rsid w:val="00CA4CE4"/>
    <w:rsid w:val="00CB5BB5"/>
    <w:rsid w:val="00CC619E"/>
    <w:rsid w:val="00D12480"/>
    <w:rsid w:val="00D247A3"/>
    <w:rsid w:val="00D868D3"/>
    <w:rsid w:val="00D874B9"/>
    <w:rsid w:val="00DC4867"/>
    <w:rsid w:val="00DD2154"/>
    <w:rsid w:val="00DF15E9"/>
    <w:rsid w:val="00DF57C3"/>
    <w:rsid w:val="00DF6869"/>
    <w:rsid w:val="00E03D90"/>
    <w:rsid w:val="00E27824"/>
    <w:rsid w:val="00E51E17"/>
    <w:rsid w:val="00E61AE2"/>
    <w:rsid w:val="00E8350F"/>
    <w:rsid w:val="00E920D8"/>
    <w:rsid w:val="00EA394D"/>
    <w:rsid w:val="00EA6322"/>
    <w:rsid w:val="00ED39E0"/>
    <w:rsid w:val="00ED7B1D"/>
    <w:rsid w:val="00EF067A"/>
    <w:rsid w:val="00EF3453"/>
    <w:rsid w:val="00F270E1"/>
    <w:rsid w:val="00F54058"/>
    <w:rsid w:val="00F61D3A"/>
    <w:rsid w:val="00F7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C0D8E"/>
    <w:rPr>
      <w:sz w:val="16"/>
      <w:szCs w:val="16"/>
    </w:rPr>
  </w:style>
  <w:style w:type="paragraph" w:styleId="CommentText">
    <w:name w:val="annotation text"/>
    <w:basedOn w:val="Normal"/>
    <w:link w:val="CommentTextChar"/>
    <w:uiPriority w:val="99"/>
    <w:semiHidden/>
    <w:unhideWhenUsed/>
    <w:rsid w:val="000C0D8E"/>
    <w:rPr>
      <w:sz w:val="20"/>
      <w:szCs w:val="20"/>
    </w:rPr>
  </w:style>
  <w:style w:type="character" w:customStyle="1" w:styleId="CommentTextChar">
    <w:name w:val="Comment Text Char"/>
    <w:basedOn w:val="DefaultParagraphFont"/>
    <w:link w:val="CommentText"/>
    <w:uiPriority w:val="99"/>
    <w:semiHidden/>
    <w:rsid w:val="000C0D8E"/>
    <w:rPr>
      <w:sz w:val="20"/>
      <w:szCs w:val="20"/>
    </w:rPr>
  </w:style>
  <w:style w:type="paragraph" w:styleId="CommentSubject">
    <w:name w:val="annotation subject"/>
    <w:basedOn w:val="CommentText"/>
    <w:next w:val="CommentText"/>
    <w:link w:val="CommentSubjectChar"/>
    <w:uiPriority w:val="99"/>
    <w:semiHidden/>
    <w:unhideWhenUsed/>
    <w:rsid w:val="000C0D8E"/>
    <w:rPr>
      <w:b/>
      <w:bCs/>
    </w:rPr>
  </w:style>
  <w:style w:type="character" w:customStyle="1" w:styleId="CommentSubjectChar">
    <w:name w:val="Comment Subject Char"/>
    <w:basedOn w:val="CommentTextChar"/>
    <w:link w:val="CommentSubject"/>
    <w:uiPriority w:val="99"/>
    <w:semiHidden/>
    <w:rsid w:val="000C0D8E"/>
    <w:rPr>
      <w:b/>
      <w:bCs/>
      <w:sz w:val="20"/>
      <w:szCs w:val="20"/>
    </w:rPr>
  </w:style>
  <w:style w:type="paragraph" w:styleId="BalloonText">
    <w:name w:val="Balloon Text"/>
    <w:basedOn w:val="Normal"/>
    <w:link w:val="BalloonTextChar"/>
    <w:uiPriority w:val="99"/>
    <w:semiHidden/>
    <w:unhideWhenUsed/>
    <w:rsid w:val="000C0D8E"/>
    <w:rPr>
      <w:rFonts w:ascii="Tahoma" w:hAnsi="Tahoma" w:cs="Tahoma"/>
      <w:sz w:val="16"/>
      <w:szCs w:val="16"/>
    </w:rPr>
  </w:style>
  <w:style w:type="character" w:customStyle="1" w:styleId="BalloonTextChar">
    <w:name w:val="Balloon Text Char"/>
    <w:basedOn w:val="DefaultParagraphFont"/>
    <w:link w:val="BalloonText"/>
    <w:uiPriority w:val="99"/>
    <w:semiHidden/>
    <w:rsid w:val="000C0D8E"/>
    <w:rPr>
      <w:rFonts w:ascii="Tahoma" w:hAnsi="Tahoma" w:cs="Tahoma"/>
      <w:sz w:val="16"/>
      <w:szCs w:val="16"/>
    </w:rPr>
  </w:style>
  <w:style w:type="paragraph" w:styleId="Header">
    <w:name w:val="header"/>
    <w:basedOn w:val="Normal"/>
    <w:link w:val="HeaderChar"/>
    <w:uiPriority w:val="99"/>
    <w:unhideWhenUsed/>
    <w:rsid w:val="00C17AF6"/>
    <w:pPr>
      <w:tabs>
        <w:tab w:val="center" w:pos="4680"/>
        <w:tab w:val="right" w:pos="9360"/>
      </w:tabs>
    </w:pPr>
  </w:style>
  <w:style w:type="character" w:customStyle="1" w:styleId="HeaderChar">
    <w:name w:val="Header Char"/>
    <w:basedOn w:val="DefaultParagraphFont"/>
    <w:link w:val="Header"/>
    <w:uiPriority w:val="99"/>
    <w:rsid w:val="00C17AF6"/>
  </w:style>
  <w:style w:type="paragraph" w:styleId="Footer">
    <w:name w:val="footer"/>
    <w:basedOn w:val="Normal"/>
    <w:link w:val="FooterChar"/>
    <w:uiPriority w:val="99"/>
    <w:unhideWhenUsed/>
    <w:rsid w:val="00C17AF6"/>
    <w:pPr>
      <w:tabs>
        <w:tab w:val="center" w:pos="4680"/>
        <w:tab w:val="right" w:pos="9360"/>
      </w:tabs>
    </w:pPr>
  </w:style>
  <w:style w:type="character" w:customStyle="1" w:styleId="FooterChar">
    <w:name w:val="Footer Char"/>
    <w:basedOn w:val="DefaultParagraphFont"/>
    <w:link w:val="Footer"/>
    <w:uiPriority w:val="99"/>
    <w:rsid w:val="00C17AF6"/>
  </w:style>
  <w:style w:type="paragraph" w:styleId="ListParagraph">
    <w:name w:val="List Paragraph"/>
    <w:basedOn w:val="Normal"/>
    <w:uiPriority w:val="34"/>
    <w:qFormat/>
    <w:rsid w:val="006F52E7"/>
    <w:pPr>
      <w:ind w:left="720"/>
      <w:contextualSpacing/>
    </w:pPr>
  </w:style>
  <w:style w:type="table" w:customStyle="1" w:styleId="GridTable4">
    <w:name w:val="Grid Table 4"/>
    <w:basedOn w:val="TableNormal"/>
    <w:uiPriority w:val="49"/>
    <w:rsid w:val="007B5E5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61B3E"/>
    <w:rPr>
      <w:color w:val="808080"/>
    </w:rPr>
  </w:style>
  <w:style w:type="character" w:styleId="Hyperlink">
    <w:name w:val="Hyperlink"/>
    <w:basedOn w:val="DefaultParagraphFont"/>
    <w:uiPriority w:val="99"/>
    <w:unhideWhenUsed/>
    <w:rsid w:val="000843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C0D8E"/>
    <w:rPr>
      <w:sz w:val="16"/>
      <w:szCs w:val="16"/>
    </w:rPr>
  </w:style>
  <w:style w:type="paragraph" w:styleId="CommentText">
    <w:name w:val="annotation text"/>
    <w:basedOn w:val="Normal"/>
    <w:link w:val="CommentTextChar"/>
    <w:uiPriority w:val="99"/>
    <w:semiHidden/>
    <w:unhideWhenUsed/>
    <w:rsid w:val="000C0D8E"/>
    <w:rPr>
      <w:sz w:val="20"/>
      <w:szCs w:val="20"/>
    </w:rPr>
  </w:style>
  <w:style w:type="character" w:customStyle="1" w:styleId="CommentTextChar">
    <w:name w:val="Comment Text Char"/>
    <w:basedOn w:val="DefaultParagraphFont"/>
    <w:link w:val="CommentText"/>
    <w:uiPriority w:val="99"/>
    <w:semiHidden/>
    <w:rsid w:val="000C0D8E"/>
    <w:rPr>
      <w:sz w:val="20"/>
      <w:szCs w:val="20"/>
    </w:rPr>
  </w:style>
  <w:style w:type="paragraph" w:styleId="CommentSubject">
    <w:name w:val="annotation subject"/>
    <w:basedOn w:val="CommentText"/>
    <w:next w:val="CommentText"/>
    <w:link w:val="CommentSubjectChar"/>
    <w:uiPriority w:val="99"/>
    <w:semiHidden/>
    <w:unhideWhenUsed/>
    <w:rsid w:val="000C0D8E"/>
    <w:rPr>
      <w:b/>
      <w:bCs/>
    </w:rPr>
  </w:style>
  <w:style w:type="character" w:customStyle="1" w:styleId="CommentSubjectChar">
    <w:name w:val="Comment Subject Char"/>
    <w:basedOn w:val="CommentTextChar"/>
    <w:link w:val="CommentSubject"/>
    <w:uiPriority w:val="99"/>
    <w:semiHidden/>
    <w:rsid w:val="000C0D8E"/>
    <w:rPr>
      <w:b/>
      <w:bCs/>
      <w:sz w:val="20"/>
      <w:szCs w:val="20"/>
    </w:rPr>
  </w:style>
  <w:style w:type="paragraph" w:styleId="BalloonText">
    <w:name w:val="Balloon Text"/>
    <w:basedOn w:val="Normal"/>
    <w:link w:val="BalloonTextChar"/>
    <w:uiPriority w:val="99"/>
    <w:semiHidden/>
    <w:unhideWhenUsed/>
    <w:rsid w:val="000C0D8E"/>
    <w:rPr>
      <w:rFonts w:ascii="Tahoma" w:hAnsi="Tahoma" w:cs="Tahoma"/>
      <w:sz w:val="16"/>
      <w:szCs w:val="16"/>
    </w:rPr>
  </w:style>
  <w:style w:type="character" w:customStyle="1" w:styleId="BalloonTextChar">
    <w:name w:val="Balloon Text Char"/>
    <w:basedOn w:val="DefaultParagraphFont"/>
    <w:link w:val="BalloonText"/>
    <w:uiPriority w:val="99"/>
    <w:semiHidden/>
    <w:rsid w:val="000C0D8E"/>
    <w:rPr>
      <w:rFonts w:ascii="Tahoma" w:hAnsi="Tahoma" w:cs="Tahoma"/>
      <w:sz w:val="16"/>
      <w:szCs w:val="16"/>
    </w:rPr>
  </w:style>
  <w:style w:type="paragraph" w:styleId="Header">
    <w:name w:val="header"/>
    <w:basedOn w:val="Normal"/>
    <w:link w:val="HeaderChar"/>
    <w:uiPriority w:val="99"/>
    <w:unhideWhenUsed/>
    <w:rsid w:val="00C17AF6"/>
    <w:pPr>
      <w:tabs>
        <w:tab w:val="center" w:pos="4680"/>
        <w:tab w:val="right" w:pos="9360"/>
      </w:tabs>
    </w:pPr>
  </w:style>
  <w:style w:type="character" w:customStyle="1" w:styleId="HeaderChar">
    <w:name w:val="Header Char"/>
    <w:basedOn w:val="DefaultParagraphFont"/>
    <w:link w:val="Header"/>
    <w:uiPriority w:val="99"/>
    <w:rsid w:val="00C17AF6"/>
  </w:style>
  <w:style w:type="paragraph" w:styleId="Footer">
    <w:name w:val="footer"/>
    <w:basedOn w:val="Normal"/>
    <w:link w:val="FooterChar"/>
    <w:uiPriority w:val="99"/>
    <w:unhideWhenUsed/>
    <w:rsid w:val="00C17AF6"/>
    <w:pPr>
      <w:tabs>
        <w:tab w:val="center" w:pos="4680"/>
        <w:tab w:val="right" w:pos="9360"/>
      </w:tabs>
    </w:pPr>
  </w:style>
  <w:style w:type="character" w:customStyle="1" w:styleId="FooterChar">
    <w:name w:val="Footer Char"/>
    <w:basedOn w:val="DefaultParagraphFont"/>
    <w:link w:val="Footer"/>
    <w:uiPriority w:val="99"/>
    <w:rsid w:val="00C17AF6"/>
  </w:style>
  <w:style w:type="paragraph" w:styleId="ListParagraph">
    <w:name w:val="List Paragraph"/>
    <w:basedOn w:val="Normal"/>
    <w:uiPriority w:val="34"/>
    <w:qFormat/>
    <w:rsid w:val="006F52E7"/>
    <w:pPr>
      <w:ind w:left="720"/>
      <w:contextualSpacing/>
    </w:pPr>
  </w:style>
  <w:style w:type="table" w:customStyle="1" w:styleId="GridTable4">
    <w:name w:val="Grid Table 4"/>
    <w:basedOn w:val="TableNormal"/>
    <w:uiPriority w:val="49"/>
    <w:rsid w:val="007B5E5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61B3E"/>
    <w:rPr>
      <w:color w:val="808080"/>
    </w:rPr>
  </w:style>
  <w:style w:type="character" w:styleId="Hyperlink">
    <w:name w:val="Hyperlink"/>
    <w:basedOn w:val="DefaultParagraphFont"/>
    <w:uiPriority w:val="99"/>
    <w:unhideWhenUsed/>
    <w:rsid w:val="000843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7324">
      <w:bodyDiv w:val="1"/>
      <w:marLeft w:val="0"/>
      <w:marRight w:val="0"/>
      <w:marTop w:val="0"/>
      <w:marBottom w:val="0"/>
      <w:divBdr>
        <w:top w:val="none" w:sz="0" w:space="0" w:color="auto"/>
        <w:left w:val="none" w:sz="0" w:space="0" w:color="auto"/>
        <w:bottom w:val="none" w:sz="0" w:space="0" w:color="auto"/>
        <w:right w:val="none" w:sz="0" w:space="0" w:color="auto"/>
      </w:divBdr>
    </w:div>
    <w:div w:id="237832384">
      <w:bodyDiv w:val="1"/>
      <w:marLeft w:val="0"/>
      <w:marRight w:val="0"/>
      <w:marTop w:val="0"/>
      <w:marBottom w:val="0"/>
      <w:divBdr>
        <w:top w:val="none" w:sz="0" w:space="0" w:color="auto"/>
        <w:left w:val="none" w:sz="0" w:space="0" w:color="auto"/>
        <w:bottom w:val="none" w:sz="0" w:space="0" w:color="auto"/>
        <w:right w:val="none" w:sz="0" w:space="0" w:color="auto"/>
      </w:divBdr>
    </w:div>
    <w:div w:id="1662081145">
      <w:bodyDiv w:val="1"/>
      <w:marLeft w:val="0"/>
      <w:marRight w:val="0"/>
      <w:marTop w:val="0"/>
      <w:marBottom w:val="0"/>
      <w:divBdr>
        <w:top w:val="none" w:sz="0" w:space="0" w:color="auto"/>
        <w:left w:val="none" w:sz="0" w:space="0" w:color="auto"/>
        <w:bottom w:val="none" w:sz="0" w:space="0" w:color="auto"/>
        <w:right w:val="none" w:sz="0" w:space="0" w:color="auto"/>
      </w:divBdr>
    </w:div>
    <w:div w:id="1781298942">
      <w:bodyDiv w:val="1"/>
      <w:marLeft w:val="0"/>
      <w:marRight w:val="0"/>
      <w:marTop w:val="0"/>
      <w:marBottom w:val="0"/>
      <w:divBdr>
        <w:top w:val="none" w:sz="0" w:space="0" w:color="auto"/>
        <w:left w:val="none" w:sz="0" w:space="0" w:color="auto"/>
        <w:bottom w:val="none" w:sz="0" w:space="0" w:color="auto"/>
        <w:right w:val="none" w:sz="0" w:space="0" w:color="auto"/>
      </w:divBdr>
    </w:div>
    <w:div w:id="179301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 = '1.0' encoding = 'UTF-8' standalone = 'yes'?>
<Relationships xmlns="http://schemas.openxmlformats.org/package/2006/relationships">
   <Relationship Id="rId1" Type="http://schemas.openxmlformats.org/officeDocument/2006/relationships/numbering" Target="numbering.xml"/>
   <Relationship Id="rId10" Type="http://schemas.openxmlformats.org/officeDocument/2006/relationships/fontTable" Target="fontTable.xml"/>
   <Relationship Id="rId11" Type="http://schemas.openxmlformats.org/officeDocument/2006/relationships/theme" Target="theme/theme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Base/>
  <HyperlinksChanged>false</HyperlinksChanged>
  <AppVersion>14.0000</AppVersion>
  <Manager/>
</Properties>
</file>

<file path=docProps/core.xml><?xml version="1.0" encoding="utf-8"?>
<cp:coreProperties xmlns:cp="http://schemas.openxmlformats.org/package/2006/metadata/core-properties" xmlns:dc="http://purl.org/dc/elements/1.1/" xmlns:dcterms="http://purl.org/dc/terms/" xmlns:xsi="http://www.w3.org/2001/XMLSchema-instance"/>
</file>