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 = '1.0' encoding = 'UTF-8' standalone = 'yes'?>
<Relationships xmlns="http://schemas.openxmlformats.org/package/2006/relationships">
   <Relationship Id="rId1" Type="http://schemas.openxmlformats.org/officeDocument/2006/relationships/officeDocument" Target="word/document.xml"/>
   <Relationship Id="rId2" Type="http://schemas.openxmlformats.org/package/2006/relationships/metadata/core-properties" Target="docProps/core.xml"/>
 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BA" w:rsidRPr="00C83AD6" w:rsidRDefault="008373CC" w:rsidP="00D93040">
      <w:pPr>
        <w:pStyle w:val="NoSpacing"/>
        <w:spacing w:line="480" w:lineRule="auto"/>
        <w:contextualSpacing/>
        <w:rPr>
          <w:b/>
        </w:rPr>
      </w:pPr>
      <w:r>
        <w:rPr>
          <w:b/>
        </w:rPr>
        <w:t xml:space="preserve">Supplemental </w:t>
      </w:r>
      <w:r w:rsidR="00F22C3E">
        <w:rPr>
          <w:b/>
        </w:rPr>
        <w:t xml:space="preserve">Table </w:t>
      </w:r>
      <w:r w:rsidR="00541E3A">
        <w:rPr>
          <w:b/>
        </w:rPr>
        <w:t>S</w:t>
      </w:r>
      <w:bookmarkStart w:id="0" w:name="_GoBack"/>
      <w:bookmarkEnd w:id="0"/>
      <w:r w:rsidR="006F3647">
        <w:rPr>
          <w:b/>
        </w:rPr>
        <w:t>2</w:t>
      </w:r>
      <w:r w:rsidR="00521FA2">
        <w:rPr>
          <w:b/>
        </w:rPr>
        <w:t xml:space="preserve">: </w:t>
      </w:r>
      <w:r w:rsidR="0090552C">
        <w:rPr>
          <w:b/>
        </w:rPr>
        <w:t>C</w:t>
      </w:r>
      <w:r w:rsidR="0090552C" w:rsidRPr="0090552C">
        <w:rPr>
          <w:b/>
        </w:rPr>
        <w:t xml:space="preserve">onsensus-derived </w:t>
      </w:r>
      <w:r w:rsidR="0090552C">
        <w:rPr>
          <w:b/>
        </w:rPr>
        <w:t>Pre-defined Data E</w:t>
      </w:r>
      <w:r w:rsidR="0090552C" w:rsidRPr="0090552C">
        <w:rPr>
          <w:b/>
        </w:rPr>
        <w:t xml:space="preserve">lements </w:t>
      </w:r>
      <w:r w:rsidR="0090552C">
        <w:rPr>
          <w:b/>
        </w:rPr>
        <w:t xml:space="preserve">Captured </w:t>
      </w:r>
      <w:r w:rsidR="00BF4782">
        <w:rPr>
          <w:b/>
        </w:rPr>
        <w:t>in</w:t>
      </w:r>
      <w:r w:rsidR="0090552C">
        <w:rPr>
          <w:b/>
        </w:rPr>
        <w:t xml:space="preserve"> </w:t>
      </w:r>
      <w:r w:rsidR="0006141E">
        <w:rPr>
          <w:b/>
        </w:rPr>
        <w:t>Full</w:t>
      </w:r>
      <w:r w:rsidR="00541E3A">
        <w:rPr>
          <w:b/>
        </w:rPr>
        <w:t>-</w:t>
      </w:r>
      <w:r w:rsidR="0006141E">
        <w:rPr>
          <w:b/>
        </w:rPr>
        <w:t xml:space="preserve">Text </w:t>
      </w:r>
      <w:r w:rsidR="00BF4782">
        <w:rPr>
          <w:b/>
        </w:rPr>
        <w:t>Manuscript</w:t>
      </w:r>
      <w:r w:rsidR="0006141E">
        <w:rPr>
          <w:b/>
        </w:rPr>
        <w:t xml:space="preserve"> </w:t>
      </w:r>
      <w:r w:rsidR="0090552C" w:rsidRPr="0090552C">
        <w:rPr>
          <w:b/>
        </w:rPr>
        <w:t>Review</w:t>
      </w:r>
      <w:r w:rsidR="00541E3A">
        <w:rPr>
          <w:b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10728"/>
      </w:tblGrid>
      <w:tr w:rsidR="006A4D17" w:rsidRPr="00472AD9" w:rsidTr="00BF4782">
        <w:trPr>
          <w:trHeight w:val="300"/>
          <w:jc w:val="center"/>
        </w:trPr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6A4D17" w:rsidRPr="00BF4782" w:rsidRDefault="006A4D17" w:rsidP="00BF4782">
            <w:pPr>
              <w:spacing w:line="48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10728" w:type="dxa"/>
            <w:tcBorders>
              <w:top w:val="single" w:sz="4" w:space="0" w:color="auto"/>
              <w:bottom w:val="single" w:sz="4" w:space="0" w:color="auto"/>
            </w:tcBorders>
          </w:tcPr>
          <w:p w:rsidR="006A4D17" w:rsidRPr="00BF4782" w:rsidRDefault="006A4D17" w:rsidP="00BF4782">
            <w:pPr>
              <w:spacing w:line="48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</w:rPr>
              <w:t>Specific Data Element</w:t>
            </w:r>
          </w:p>
        </w:tc>
      </w:tr>
      <w:tr w:rsidR="006A4D17" w:rsidRPr="00472AD9" w:rsidTr="00BF4782">
        <w:trPr>
          <w:trHeight w:val="480"/>
          <w:jc w:val="center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auto"/>
          </w:tcPr>
          <w:p w:rsidR="006A4D17" w:rsidRPr="00BF4782" w:rsidRDefault="006A4D17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General Information</w:t>
            </w:r>
          </w:p>
        </w:tc>
        <w:tc>
          <w:tcPr>
            <w:tcW w:w="10728" w:type="dxa"/>
            <w:tcBorders>
              <w:top w:val="single" w:sz="4" w:space="0" w:color="auto"/>
            </w:tcBorders>
          </w:tcPr>
          <w:p w:rsidR="006A4D17" w:rsidRPr="00BF4782" w:rsidRDefault="006A4D17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PMID (</w:t>
            </w:r>
            <w:r w:rsidR="00521FA2">
              <w:rPr>
                <w:rFonts w:ascii="Calibri" w:hAnsi="Calibri"/>
                <w:sz w:val="18"/>
                <w:szCs w:val="18"/>
              </w:rPr>
              <w:t>PubM</w:t>
            </w:r>
            <w:r w:rsidR="00307069" w:rsidRPr="00BF4782">
              <w:rPr>
                <w:rFonts w:ascii="Calibri" w:hAnsi="Calibri"/>
                <w:sz w:val="18"/>
                <w:szCs w:val="18"/>
              </w:rPr>
              <w:t xml:space="preserve">ed </w:t>
            </w:r>
            <w:r w:rsidRPr="00BF4782">
              <w:rPr>
                <w:rFonts w:ascii="Calibri" w:hAnsi="Calibri"/>
                <w:sz w:val="18"/>
                <w:szCs w:val="18"/>
              </w:rPr>
              <w:t xml:space="preserve">ID) </w:t>
            </w:r>
          </w:p>
        </w:tc>
      </w:tr>
      <w:tr w:rsidR="006A4D17" w:rsidRPr="00472AD9" w:rsidTr="00BF4782">
        <w:trPr>
          <w:trHeight w:val="600"/>
          <w:jc w:val="center"/>
        </w:trPr>
        <w:tc>
          <w:tcPr>
            <w:tcW w:w="2448" w:type="dxa"/>
            <w:shd w:val="clear" w:color="auto" w:fill="auto"/>
          </w:tcPr>
          <w:p w:rsidR="006A4D17" w:rsidRPr="00BF4782" w:rsidRDefault="006A4D17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General Information</w:t>
            </w:r>
          </w:p>
        </w:tc>
        <w:tc>
          <w:tcPr>
            <w:tcW w:w="10728" w:type="dxa"/>
          </w:tcPr>
          <w:p w:rsidR="006A4D17" w:rsidRPr="00BF4782" w:rsidRDefault="006A4D17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Institution(s) where validation took place</w:t>
            </w:r>
          </w:p>
        </w:tc>
      </w:tr>
      <w:tr w:rsidR="006A4D17" w:rsidRPr="00472AD9" w:rsidTr="00BF4782">
        <w:trPr>
          <w:trHeight w:val="512"/>
          <w:jc w:val="center"/>
        </w:trPr>
        <w:tc>
          <w:tcPr>
            <w:tcW w:w="2448" w:type="dxa"/>
            <w:shd w:val="clear" w:color="auto" w:fill="auto"/>
          </w:tcPr>
          <w:p w:rsidR="006A4D17" w:rsidRPr="00BF4782" w:rsidRDefault="006A4D17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General Information</w:t>
            </w:r>
          </w:p>
        </w:tc>
        <w:tc>
          <w:tcPr>
            <w:tcW w:w="10728" w:type="dxa"/>
          </w:tcPr>
          <w:p w:rsidR="006A4D17" w:rsidRPr="00BF4782" w:rsidRDefault="006A4D17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Year published</w:t>
            </w:r>
          </w:p>
        </w:tc>
      </w:tr>
      <w:tr w:rsidR="006A4D17" w:rsidRPr="00472AD9" w:rsidTr="00BF4782">
        <w:trPr>
          <w:trHeight w:val="449"/>
          <w:jc w:val="center"/>
        </w:trPr>
        <w:tc>
          <w:tcPr>
            <w:tcW w:w="2448" w:type="dxa"/>
            <w:shd w:val="clear" w:color="auto" w:fill="auto"/>
          </w:tcPr>
          <w:p w:rsidR="006A4D17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Test</w:t>
            </w:r>
            <w:r w:rsidR="006A4D17" w:rsidRPr="00BF4782">
              <w:rPr>
                <w:rFonts w:ascii="Calibri" w:hAnsi="Calibri"/>
                <w:sz w:val="18"/>
                <w:szCs w:val="18"/>
              </w:rPr>
              <w:t xml:space="preserve"> Information</w:t>
            </w:r>
          </w:p>
        </w:tc>
        <w:tc>
          <w:tcPr>
            <w:tcW w:w="10728" w:type="dxa"/>
          </w:tcPr>
          <w:p w:rsidR="006A4D17" w:rsidRPr="00BF4782" w:rsidRDefault="006A4D17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Name of the NGS test panel(s) that was validated</w:t>
            </w:r>
          </w:p>
        </w:tc>
      </w:tr>
      <w:tr w:rsidR="00BF2FCE" w:rsidRPr="00472AD9" w:rsidTr="00BF4782">
        <w:trPr>
          <w:trHeight w:val="600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Test Information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Number of genes for each panel that was validated</w:t>
            </w:r>
          </w:p>
        </w:tc>
      </w:tr>
      <w:tr w:rsidR="00BF2FCE" w:rsidRPr="00472AD9" w:rsidTr="00BF4782">
        <w:trPr>
          <w:trHeight w:val="600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Test Information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Extraction method(s) used</w:t>
            </w:r>
          </w:p>
        </w:tc>
      </w:tr>
      <w:tr w:rsidR="00BF2FCE" w:rsidRPr="00472AD9" w:rsidTr="00BF4782">
        <w:trPr>
          <w:trHeight w:val="600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Test Information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Library prep method(s) used</w:t>
            </w:r>
          </w:p>
        </w:tc>
      </w:tr>
      <w:tr w:rsidR="00BF2FCE" w:rsidRPr="00472AD9" w:rsidTr="00BF4782">
        <w:trPr>
          <w:trHeight w:val="600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Test Information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Instrument platform(s) being validated</w:t>
            </w:r>
          </w:p>
        </w:tc>
      </w:tr>
      <w:tr w:rsidR="006A4D17" w:rsidRPr="00472AD9" w:rsidTr="00BF4782">
        <w:trPr>
          <w:trHeight w:val="521"/>
          <w:jc w:val="center"/>
        </w:trPr>
        <w:tc>
          <w:tcPr>
            <w:tcW w:w="2448" w:type="dxa"/>
            <w:shd w:val="clear" w:color="auto" w:fill="auto"/>
          </w:tcPr>
          <w:p w:rsidR="006A4D17" w:rsidRPr="00BF4782" w:rsidRDefault="00BF2FC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Bioinformatics Pipeline</w:t>
            </w:r>
          </w:p>
        </w:tc>
        <w:tc>
          <w:tcPr>
            <w:tcW w:w="10728" w:type="dxa"/>
          </w:tcPr>
          <w:p w:rsidR="006A4D17" w:rsidRPr="00BF4782" w:rsidRDefault="006A4D17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Name of pipeline</w:t>
            </w:r>
          </w:p>
        </w:tc>
      </w:tr>
      <w:tr w:rsidR="00BF2FCE" w:rsidRPr="00472AD9" w:rsidTr="00BF4782">
        <w:trPr>
          <w:trHeight w:val="52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Bioinformatics Pipeline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Variant types tested</w:t>
            </w:r>
          </w:p>
        </w:tc>
      </w:tr>
      <w:tr w:rsidR="00BF2FCE" w:rsidRPr="00472AD9" w:rsidTr="00BF4782">
        <w:trPr>
          <w:trHeight w:val="620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Bioinformatics Pipeline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Number of samples used to validate this pipeline</w:t>
            </w:r>
          </w:p>
        </w:tc>
      </w:tr>
      <w:tr w:rsidR="00BF2FCE" w:rsidRPr="00472AD9" w:rsidTr="00BF4782">
        <w:trPr>
          <w:trHeight w:val="600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Bioinformatics Pipeline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Minimum depth of coverage required to call a variant positive</w:t>
            </w:r>
          </w:p>
        </w:tc>
      </w:tr>
      <w:tr w:rsidR="00BF2FCE" w:rsidRPr="00472AD9" w:rsidTr="00BF4782">
        <w:trPr>
          <w:trHeight w:val="548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Bioinformatics Pipeline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Minimum variant allele percentage required to call a variant positive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Bioinformatics Pipeline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Average depth of coverage for all nucleotides examined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lastRenderedPageBreak/>
              <w:t>Bioinformatics Pipeline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Was this pipeline included in more than one NGS test panel in the manus</w:t>
            </w:r>
            <w:r w:rsid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cript? If yes, please describe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Bioinformatics Pipeline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Were there unexpected regions of no coverage? If yes, describe the methods that were used to cover those regions (i</w:t>
            </w:r>
            <w:r w:rsid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 any)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Bioinformatics Pipeline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Other depth of coverage comments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Bioinformatics Pipeline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Please indicate each expected func</w:t>
            </w:r>
            <w:r w:rsid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tion performed by this pipeline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Bioinformatics Pipeline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Variant types pipeline was expected to detect 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Bioinformatics Pipeline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Sample types that were used in the validation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Bioinformatics Pipeline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Tumor specimens included in the validation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Tumor Analysis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Minimum tumor percentage of samples that underwent validation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Tumor Analysis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Average tumor percentage of samples that underwent validation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Tumor Analysis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Number of samples which had matched normal tissue samples also analyzed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Tumor Analysis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Tumor types included in the validation. For metastatic tumors of known primary, please check the primary tumor type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4782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Orthogonal M</w:t>
            </w:r>
            <w:r w:rsidR="00BF2FCE"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ethod(s)</w:t>
            </w:r>
          </w:p>
        </w:tc>
        <w:tc>
          <w:tcPr>
            <w:tcW w:w="10728" w:type="dxa"/>
          </w:tcPr>
          <w:p w:rsidR="00BF2FCE" w:rsidRPr="00BF4782" w:rsidRDefault="00BF2FCE" w:rsidP="00541E3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Please indicate the orthogonal method(s) being studied in the manuscript used to validate (</w:t>
            </w:r>
            <w:proofErr w:type="spellStart"/>
            <w:r w:rsidR="00541E3A">
              <w:rPr>
                <w:rFonts w:ascii="Calibri" w:hAnsi="Calibri"/>
                <w:sz w:val="18"/>
                <w:szCs w:val="18"/>
              </w:rPr>
              <w:t>eg</w:t>
            </w:r>
            <w:proofErr w:type="spellEnd"/>
            <w:r w:rsidRPr="00BF4782">
              <w:rPr>
                <w:rFonts w:ascii="Calibri" w:hAnsi="Calibri"/>
                <w:sz w:val="18"/>
                <w:szCs w:val="18"/>
              </w:rPr>
              <w:t xml:space="preserve">, "gold standard” methods compared against the NGS pipeline) </w:t>
            </w:r>
          </w:p>
        </w:tc>
      </w:tr>
      <w:tr w:rsidR="00BF2FC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2FCE" w:rsidRPr="00BF4782" w:rsidRDefault="00BF4782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Orthogonal Method(s)</w:t>
            </w:r>
          </w:p>
        </w:tc>
        <w:tc>
          <w:tcPr>
            <w:tcW w:w="10728" w:type="dxa"/>
          </w:tcPr>
          <w:p w:rsidR="00BF2FCE" w:rsidRPr="00BF4782" w:rsidRDefault="00BF2FC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Was the orthogonal method performed as a clinically validated test in a CLIA-certified laboratory?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BF4782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Quality Control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QC metrics used for this pipeline and their results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Quality Control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Base quality score (Phred-like score, Q score)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Quality Control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Average (mean) read length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Quality Control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Median read length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Quality Control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Percentage of total reads that mapped to the reference genome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Quality Control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Percentage of reads at the region of interest (ROI)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lastRenderedPageBreak/>
              <w:t>Quality Control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Average uniformity of coverage across ROI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Quality Control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Percentage of duplicate reads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Quality Control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Variant quality score (Phred-like score calculated off the p value generated by the variant caller for a given variant)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Quality Control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Strand bias (also known as Forward/Reverse bias or F/R bias)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Quality Control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Mapping quality score (Phred-like score based off on the p value generated by the alignment software for each read)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Sensitivity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Single nucleotide variants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Sensitivity of Pipeline</w:t>
            </w:r>
          </w:p>
        </w:tc>
        <w:tc>
          <w:tcPr>
            <w:tcW w:w="10728" w:type="dxa"/>
          </w:tcPr>
          <w:p w:rsidR="007B6FFE" w:rsidRPr="00BF4782" w:rsidRDefault="00307069" w:rsidP="00541E3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 xml:space="preserve">Small deletions </w:t>
            </w:r>
            <w:r w:rsidR="00541E3A">
              <w:rPr>
                <w:rFonts w:ascii="Calibri" w:hAnsi="Calibri"/>
                <w:sz w:val="18"/>
                <w:szCs w:val="18"/>
              </w:rPr>
              <w:t>≤</w:t>
            </w:r>
            <w:r w:rsidRPr="00BF4782">
              <w:rPr>
                <w:rFonts w:ascii="Calibri" w:hAnsi="Calibri"/>
                <w:sz w:val="18"/>
                <w:szCs w:val="18"/>
              </w:rPr>
              <w:t>21bp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Sensitivity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Larger deletions &gt;21bp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Sensitivity of Pipeline</w:t>
            </w:r>
          </w:p>
        </w:tc>
        <w:tc>
          <w:tcPr>
            <w:tcW w:w="10728" w:type="dxa"/>
          </w:tcPr>
          <w:p w:rsidR="007B6FFE" w:rsidRPr="00BF4782" w:rsidRDefault="00307069" w:rsidP="00541E3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 xml:space="preserve">Small insertions </w:t>
            </w:r>
            <w:r w:rsidR="00541E3A">
              <w:rPr>
                <w:rFonts w:ascii="Calibri" w:hAnsi="Calibri"/>
                <w:sz w:val="18"/>
                <w:szCs w:val="18"/>
              </w:rPr>
              <w:t>≤</w:t>
            </w:r>
            <w:r w:rsidRPr="00BF4782">
              <w:rPr>
                <w:rFonts w:ascii="Calibri" w:hAnsi="Calibri"/>
                <w:sz w:val="18"/>
                <w:szCs w:val="18"/>
              </w:rPr>
              <w:t>21bp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Sensitivity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Larger insertions &gt;21bp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Sensitivity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Copy number variants- duplication of one or more genes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Sensitivity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Copy number variants - deletion of one or more genes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Sensitivity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Translocations (includes gene fusions and inversions)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Sensitivity of Pipeline</w:t>
            </w:r>
          </w:p>
        </w:tc>
        <w:tc>
          <w:tcPr>
            <w:tcW w:w="10728" w:type="dxa"/>
          </w:tcPr>
          <w:p w:rsidR="007B6FFE" w:rsidRPr="00BF4782" w:rsidRDefault="00307069" w:rsidP="00541E3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Small complex rearrange</w:t>
            </w:r>
            <w:r w:rsidR="007B6FFE" w:rsidRPr="00BF4782">
              <w:rPr>
                <w:rFonts w:ascii="Calibri" w:hAnsi="Calibri"/>
                <w:sz w:val="18"/>
                <w:szCs w:val="18"/>
              </w:rPr>
              <w:t xml:space="preserve">ments </w:t>
            </w:r>
            <w:r w:rsidR="00541E3A">
              <w:rPr>
                <w:rFonts w:ascii="Calibri" w:hAnsi="Calibri"/>
                <w:sz w:val="18"/>
                <w:szCs w:val="18"/>
              </w:rPr>
              <w:t>≤</w:t>
            </w:r>
            <w:r w:rsidR="007B6FFE" w:rsidRPr="00BF4782">
              <w:rPr>
                <w:rFonts w:ascii="Calibri" w:hAnsi="Calibri"/>
                <w:sz w:val="18"/>
                <w:szCs w:val="18"/>
              </w:rPr>
              <w:t xml:space="preserve">21 </w:t>
            </w:r>
            <w:proofErr w:type="spellStart"/>
            <w:r w:rsidR="007B6FFE" w:rsidRPr="00BF4782">
              <w:rPr>
                <w:rFonts w:ascii="Calibri" w:hAnsi="Calibri"/>
                <w:sz w:val="18"/>
                <w:szCs w:val="18"/>
              </w:rPr>
              <w:t>bp</w:t>
            </w:r>
            <w:proofErr w:type="spellEnd"/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Sensitivity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Large complex rearrangements &gt; 21 bp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Sensitivity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Epigenetic variants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Sensitivity of Pipeline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OVERALL analytic sensitivity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Specificity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Single nucleotide variants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Specificity of Pipeline</w:t>
            </w:r>
          </w:p>
        </w:tc>
        <w:tc>
          <w:tcPr>
            <w:tcW w:w="10728" w:type="dxa"/>
          </w:tcPr>
          <w:p w:rsidR="007B6FFE" w:rsidRPr="00BF4782" w:rsidRDefault="00307069" w:rsidP="00541E3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 xml:space="preserve">Small deletions </w:t>
            </w:r>
            <w:r w:rsidR="00541E3A">
              <w:rPr>
                <w:rFonts w:ascii="Calibri" w:hAnsi="Calibri"/>
                <w:sz w:val="18"/>
                <w:szCs w:val="18"/>
              </w:rPr>
              <w:t>≤</w:t>
            </w:r>
            <w:r w:rsidRPr="00BF4782">
              <w:rPr>
                <w:rFonts w:ascii="Calibri" w:hAnsi="Calibri"/>
                <w:sz w:val="18"/>
                <w:szCs w:val="18"/>
              </w:rPr>
              <w:t>21bp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Specificity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Larger deletions &gt;</w:t>
            </w:r>
            <w:r w:rsidR="007B6FFE" w:rsidRPr="00BF4782">
              <w:rPr>
                <w:rFonts w:ascii="Calibri" w:hAnsi="Calibri"/>
                <w:sz w:val="18"/>
                <w:szCs w:val="18"/>
              </w:rPr>
              <w:t>21bp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lastRenderedPageBreak/>
              <w:t>Analytic Specificity of Pipeline</w:t>
            </w:r>
          </w:p>
        </w:tc>
        <w:tc>
          <w:tcPr>
            <w:tcW w:w="10728" w:type="dxa"/>
          </w:tcPr>
          <w:p w:rsidR="007B6FFE" w:rsidRPr="00BF4782" w:rsidRDefault="00307069" w:rsidP="00541E3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 xml:space="preserve">Small insertions </w:t>
            </w:r>
            <w:r w:rsidR="00541E3A">
              <w:rPr>
                <w:rFonts w:ascii="Calibri" w:hAnsi="Calibri"/>
                <w:sz w:val="18"/>
                <w:szCs w:val="18"/>
              </w:rPr>
              <w:t>≤</w:t>
            </w:r>
            <w:r w:rsidRPr="00BF4782">
              <w:rPr>
                <w:rFonts w:ascii="Calibri" w:hAnsi="Calibri"/>
                <w:sz w:val="18"/>
                <w:szCs w:val="18"/>
              </w:rPr>
              <w:t>21bp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Specificity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Larger insertions &gt;21bp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Specificity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Copy number variants- duplication of one or more genes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Specificity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Copy number variants - deletion of one or more genes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Specificity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Translocations (includes gene fusions and inversions)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Specificity of Pipeline</w:t>
            </w:r>
          </w:p>
        </w:tc>
        <w:tc>
          <w:tcPr>
            <w:tcW w:w="10728" w:type="dxa"/>
          </w:tcPr>
          <w:p w:rsidR="007B6FFE" w:rsidRPr="00BF4782" w:rsidRDefault="00307069" w:rsidP="00541E3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 xml:space="preserve">Small complex rearrangements </w:t>
            </w:r>
            <w:r w:rsidR="00541E3A">
              <w:rPr>
                <w:rFonts w:ascii="Calibri" w:hAnsi="Calibri"/>
                <w:sz w:val="18"/>
                <w:szCs w:val="18"/>
              </w:rPr>
              <w:t>≤</w:t>
            </w:r>
            <w:r w:rsidRPr="00BF4782">
              <w:rPr>
                <w:rFonts w:ascii="Calibri" w:hAnsi="Calibri"/>
                <w:sz w:val="18"/>
                <w:szCs w:val="18"/>
              </w:rPr>
              <w:t xml:space="preserve">21 </w:t>
            </w:r>
            <w:proofErr w:type="spellStart"/>
            <w:r w:rsidRPr="00BF4782">
              <w:rPr>
                <w:rFonts w:ascii="Calibri" w:hAnsi="Calibri"/>
                <w:sz w:val="18"/>
                <w:szCs w:val="18"/>
              </w:rPr>
              <w:t>bp</w:t>
            </w:r>
            <w:proofErr w:type="spellEnd"/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Specificity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Larg</w:t>
            </w:r>
            <w:r w:rsidR="007B6FFE" w:rsidRPr="00BF4782">
              <w:rPr>
                <w:rFonts w:ascii="Calibri" w:hAnsi="Calibri"/>
                <w:sz w:val="18"/>
                <w:szCs w:val="18"/>
              </w:rPr>
              <w:t>e complex rearrangements &gt; 21 bp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Specificity of Pipeline</w:t>
            </w:r>
          </w:p>
        </w:tc>
        <w:tc>
          <w:tcPr>
            <w:tcW w:w="10728" w:type="dxa"/>
          </w:tcPr>
          <w:p w:rsidR="007B6FFE" w:rsidRPr="00BF4782" w:rsidRDefault="00307069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Epigenetic variants</w:t>
            </w:r>
          </w:p>
        </w:tc>
      </w:tr>
      <w:tr w:rsidR="007B6FFE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Analytic Specificity of Pipeline</w:t>
            </w:r>
          </w:p>
        </w:tc>
        <w:tc>
          <w:tcPr>
            <w:tcW w:w="10728" w:type="dxa"/>
          </w:tcPr>
          <w:p w:rsidR="007B6FFE" w:rsidRPr="00BF4782" w:rsidRDefault="007B6FFE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OVERALL analytic sensitivity</w:t>
            </w:r>
          </w:p>
        </w:tc>
      </w:tr>
      <w:tr w:rsidR="0089308B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89308B" w:rsidRPr="00BF4782" w:rsidRDefault="0089308B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Other specificity metrics</w:t>
            </w:r>
          </w:p>
        </w:tc>
        <w:tc>
          <w:tcPr>
            <w:tcW w:w="10728" w:type="dxa"/>
          </w:tcPr>
          <w:p w:rsidR="0089308B" w:rsidRPr="00BF4782" w:rsidRDefault="0089308B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Other specificity metrics reported for this paper if provided</w:t>
            </w:r>
          </w:p>
        </w:tc>
      </w:tr>
      <w:tr w:rsidR="0089308B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89308B" w:rsidRPr="00BF4782" w:rsidRDefault="0089308B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Confidence intervals (CI)</w:t>
            </w:r>
          </w:p>
        </w:tc>
        <w:tc>
          <w:tcPr>
            <w:tcW w:w="10728" w:type="dxa"/>
          </w:tcPr>
          <w:p w:rsidR="0089308B" w:rsidRPr="00BF4782" w:rsidRDefault="0089308B" w:rsidP="00541E3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Positive decimal number for the CI if provided</w:t>
            </w:r>
          </w:p>
        </w:tc>
      </w:tr>
      <w:tr w:rsidR="00BF4782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4782" w:rsidRPr="00BF4782" w:rsidRDefault="00BF4782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General comments</w:t>
            </w:r>
          </w:p>
        </w:tc>
        <w:tc>
          <w:tcPr>
            <w:tcW w:w="10728" w:type="dxa"/>
          </w:tcPr>
          <w:p w:rsidR="00BF4782" w:rsidRPr="00BF4782" w:rsidRDefault="00BF4782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Did the manuscript state that known FALSE positive variants were filtered out prior to analyzing the data?</w:t>
            </w:r>
          </w:p>
        </w:tc>
      </w:tr>
      <w:tr w:rsidR="00BF4782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4782" w:rsidRPr="00BF4782" w:rsidRDefault="00BF4782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General comments</w:t>
            </w:r>
          </w:p>
        </w:tc>
        <w:tc>
          <w:tcPr>
            <w:tcW w:w="10728" w:type="dxa"/>
          </w:tcPr>
          <w:p w:rsidR="00BF4782" w:rsidRPr="00BF4782" w:rsidRDefault="00BF4782" w:rsidP="00541E3A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Did study results vary by sample type, sample source (</w:t>
            </w:r>
            <w:proofErr w:type="spellStart"/>
            <w:r w:rsidR="00541E3A">
              <w:rPr>
                <w:rFonts w:ascii="Calibri" w:hAnsi="Calibri"/>
                <w:sz w:val="18"/>
                <w:szCs w:val="18"/>
              </w:rPr>
              <w:t>ie</w:t>
            </w:r>
            <w:proofErr w:type="spellEnd"/>
            <w:r w:rsidRPr="00BF4782">
              <w:rPr>
                <w:rFonts w:ascii="Calibri" w:hAnsi="Calibri"/>
                <w:sz w:val="18"/>
                <w:szCs w:val="18"/>
              </w:rPr>
              <w:t>, specific organ or tissue), or any other specimen specific parameter even though they were tested on the same platform? If yes, please describe</w:t>
            </w:r>
          </w:p>
        </w:tc>
      </w:tr>
      <w:tr w:rsidR="00BF4782" w:rsidRPr="00472AD9" w:rsidTr="00BF4782">
        <w:trPr>
          <w:trHeight w:val="431"/>
          <w:jc w:val="center"/>
        </w:trPr>
        <w:tc>
          <w:tcPr>
            <w:tcW w:w="2448" w:type="dxa"/>
            <w:shd w:val="clear" w:color="auto" w:fill="auto"/>
          </w:tcPr>
          <w:p w:rsidR="00BF4782" w:rsidRPr="00BF4782" w:rsidRDefault="00BF4782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General comments</w:t>
            </w:r>
          </w:p>
        </w:tc>
        <w:tc>
          <w:tcPr>
            <w:tcW w:w="10728" w:type="dxa"/>
          </w:tcPr>
          <w:p w:rsidR="00BF4782" w:rsidRPr="00BF4782" w:rsidRDefault="00BF4782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Please enter any comments on indel-specific performance characteristics. If these are limited to a specific pipeline, please include that information</w:t>
            </w:r>
          </w:p>
        </w:tc>
      </w:tr>
      <w:tr w:rsidR="00BF4782" w:rsidRPr="00472AD9" w:rsidTr="00BF4782">
        <w:trPr>
          <w:trHeight w:val="431"/>
          <w:jc w:val="center"/>
        </w:trPr>
        <w:tc>
          <w:tcPr>
            <w:tcW w:w="2448" w:type="dxa"/>
            <w:tcBorders>
              <w:bottom w:val="single" w:sz="4" w:space="0" w:color="auto"/>
            </w:tcBorders>
            <w:shd w:val="clear" w:color="auto" w:fill="auto"/>
          </w:tcPr>
          <w:p w:rsidR="00BF4782" w:rsidRPr="00BF4782" w:rsidRDefault="00BF4782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>Limitations</w:t>
            </w:r>
          </w:p>
        </w:tc>
        <w:tc>
          <w:tcPr>
            <w:tcW w:w="10728" w:type="dxa"/>
            <w:tcBorders>
              <w:bottom w:val="single" w:sz="4" w:space="0" w:color="auto"/>
            </w:tcBorders>
          </w:tcPr>
          <w:p w:rsidR="00BF4782" w:rsidRPr="00BF4782" w:rsidRDefault="00BF4782" w:rsidP="00BF4782">
            <w:pPr>
              <w:spacing w:line="480" w:lineRule="auto"/>
              <w:rPr>
                <w:rFonts w:ascii="Calibri" w:hAnsi="Calibri"/>
                <w:sz w:val="18"/>
                <w:szCs w:val="18"/>
              </w:rPr>
            </w:pPr>
            <w:r w:rsidRPr="00BF4782">
              <w:rPr>
                <w:rFonts w:ascii="Calibri" w:hAnsi="Calibri"/>
                <w:sz w:val="18"/>
                <w:szCs w:val="18"/>
              </w:rPr>
              <w:t xml:space="preserve">Limitations of the study </w:t>
            </w:r>
          </w:p>
        </w:tc>
      </w:tr>
    </w:tbl>
    <w:p w:rsidR="00272FC1" w:rsidRPr="00094314" w:rsidRDefault="00BF4782" w:rsidP="0006141E">
      <w:pPr>
        <w:spacing w:line="480" w:lineRule="auto"/>
        <w:contextualSpacing/>
        <w:rPr>
          <w:sz w:val="18"/>
          <w:szCs w:val="18"/>
        </w:rPr>
      </w:pPr>
      <w:r>
        <w:rPr>
          <w:sz w:val="18"/>
          <w:szCs w:val="18"/>
        </w:rPr>
        <w:t>Data elements were captured for each pipeline described in manuscripts meeting criteria for full</w:t>
      </w:r>
      <w:r w:rsidR="00541E3A">
        <w:rPr>
          <w:sz w:val="18"/>
          <w:szCs w:val="18"/>
        </w:rPr>
        <w:t>-</w:t>
      </w:r>
      <w:r>
        <w:rPr>
          <w:sz w:val="18"/>
          <w:szCs w:val="18"/>
        </w:rPr>
        <w:t xml:space="preserve">text systematic review. </w:t>
      </w:r>
    </w:p>
    <w:p w:rsidR="00094314" w:rsidRPr="00094314" w:rsidRDefault="00094314" w:rsidP="00094314">
      <w:pPr>
        <w:rPr>
          <w:sz w:val="18"/>
          <w:szCs w:val="18"/>
          <w:vertAlign w:val="superscript"/>
        </w:rPr>
      </w:pPr>
    </w:p>
    <w:sectPr w:rsidR="00094314" w:rsidRPr="00094314" w:rsidSect="00242DFC">
      <w:pgSz w:w="15840" w:h="12240" w:orient="landscape"/>
      <w:pgMar w:top="1440" w:right="1440" w:bottom="17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11D54"/>
    <w:multiLevelType w:val="hybridMultilevel"/>
    <w:tmpl w:val="225C7040"/>
    <w:lvl w:ilvl="0" w:tplc="7B96CE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CBA"/>
    <w:rsid w:val="00043CBA"/>
    <w:rsid w:val="0006141E"/>
    <w:rsid w:val="00094314"/>
    <w:rsid w:val="001256A9"/>
    <w:rsid w:val="00242DFC"/>
    <w:rsid w:val="00272FC1"/>
    <w:rsid w:val="00307069"/>
    <w:rsid w:val="00434D5E"/>
    <w:rsid w:val="00472AD9"/>
    <w:rsid w:val="00475E0B"/>
    <w:rsid w:val="00521FA2"/>
    <w:rsid w:val="00541E3A"/>
    <w:rsid w:val="00675F73"/>
    <w:rsid w:val="00684422"/>
    <w:rsid w:val="006A4D17"/>
    <w:rsid w:val="006F3647"/>
    <w:rsid w:val="0074493D"/>
    <w:rsid w:val="00752D36"/>
    <w:rsid w:val="007872F8"/>
    <w:rsid w:val="007B6FFE"/>
    <w:rsid w:val="008373CC"/>
    <w:rsid w:val="0089308B"/>
    <w:rsid w:val="008E2441"/>
    <w:rsid w:val="0090552C"/>
    <w:rsid w:val="009474E4"/>
    <w:rsid w:val="009973EA"/>
    <w:rsid w:val="00B355F2"/>
    <w:rsid w:val="00BE0FEC"/>
    <w:rsid w:val="00BF2FCE"/>
    <w:rsid w:val="00BF4782"/>
    <w:rsid w:val="00C042D3"/>
    <w:rsid w:val="00C513CA"/>
    <w:rsid w:val="00C83AD6"/>
    <w:rsid w:val="00CB7C9A"/>
    <w:rsid w:val="00CC3ADA"/>
    <w:rsid w:val="00D01B19"/>
    <w:rsid w:val="00D6407D"/>
    <w:rsid w:val="00D93040"/>
    <w:rsid w:val="00E8063B"/>
    <w:rsid w:val="00F22C3E"/>
    <w:rsid w:val="00FC1C75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3CBA"/>
    <w:pPr>
      <w:spacing w:after="0" w:line="240" w:lineRule="auto"/>
    </w:pPr>
  </w:style>
  <w:style w:type="table" w:styleId="TableGrid">
    <w:name w:val="Table Grid"/>
    <w:basedOn w:val="TableNormal"/>
    <w:uiPriority w:val="39"/>
    <w:rsid w:val="00043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474E4"/>
  </w:style>
  <w:style w:type="character" w:styleId="Hyperlink">
    <w:name w:val="Hyperlink"/>
    <w:basedOn w:val="DefaultParagraphFont"/>
    <w:uiPriority w:val="99"/>
    <w:unhideWhenUsed/>
    <w:rsid w:val="00272F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78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CB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3CBA"/>
    <w:pPr>
      <w:spacing w:after="0" w:line="240" w:lineRule="auto"/>
    </w:pPr>
  </w:style>
  <w:style w:type="table" w:styleId="TableGrid">
    <w:name w:val="Table Grid"/>
    <w:basedOn w:val="TableNormal"/>
    <w:uiPriority w:val="39"/>
    <w:rsid w:val="00043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474E4"/>
  </w:style>
  <w:style w:type="character" w:styleId="Hyperlink">
    <w:name w:val="Hyperlink"/>
    <w:basedOn w:val="DefaultParagraphFont"/>
    <w:uiPriority w:val="99"/>
    <w:unhideWhenUsed/>
    <w:rsid w:val="00272FC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 = '1.0' encoding = 'UTF-8' standalone = 'yes'?>
<Relationships xmlns="http://schemas.openxmlformats.org/package/2006/relationships">
   <Relationship Id="rId1" Type="http://schemas.openxmlformats.org/officeDocument/2006/relationships/customXml" Target="../customXml/item1.xml"/>
   <Relationship Id="rId2" Type="http://schemas.openxmlformats.org/officeDocument/2006/relationships/numbering" Target="numbering.xml"/>
   <Relationship Id="rId3" Type="http://schemas.openxmlformats.org/officeDocument/2006/relationships/styles" Target="styles.xml"/>
   <Relationship Id="rId4" Type="http://schemas.microsoft.com/office/2007/relationships/stylesWithEffects" Target="stylesWithEffects.xml"/>
   <Relationship Id="rId5" Type="http://schemas.openxmlformats.org/officeDocument/2006/relationships/settings" Target="settings.xml"/>
   <Relationship Id="rId6" Type="http://schemas.openxmlformats.org/officeDocument/2006/relationships/webSettings" Target="webSettings.xml"/>
   <Relationship Id="rId7" Type="http://schemas.openxmlformats.org/officeDocument/2006/relationships/fontTable" Target="fontTable.xml"/>
   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 = '1.0' encoding = 'UTF-8' standalone = 'yes'?>
<Relationships xmlns="http://schemas.openxmlformats.org/package/2006/relationships">
   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63EB8-7136-4D76-9A25-F04ADBB9B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Base/>
  <HyperlinksChanged>false</HyperlinksChanged>
  <AppVersion>14.0000</AppVersion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