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 = '1.0' encoding = 'UTF-8' standalone = 'yes'?>
<Relationships xmlns="http://schemas.openxmlformats.org/package/2006/relationships">
   <Relationship Id="rId1" Type="http://schemas.openxmlformats.org/officeDocument/2006/relationships/officeDocument" Target="word/document.xml"/>
   <Relationship Id="rId2" Type="http://schemas.openxmlformats.org/package/2006/relationships/metadata/core-properties" Target="docProps/core.xml"/>
   <Relationship Id="rId3" Type="http://schemas.openxmlformats.org/officeDocument/2006/relationships/extended-properties" Target="docProps/app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5A9EB" w14:textId="61AC2683" w:rsidR="00872693" w:rsidRPr="006A181A" w:rsidRDefault="006A181A" w:rsidP="006A181A">
      <w:pPr>
        <w:spacing w:line="480" w:lineRule="auto"/>
        <w:rPr>
          <w:rFonts w:ascii="Calibri" w:hAnsi="Calibri"/>
          <w:b/>
          <w:sz w:val="22"/>
          <w:szCs w:val="22"/>
        </w:rPr>
      </w:pPr>
      <w:r w:rsidRPr="006A181A">
        <w:rPr>
          <w:rFonts w:ascii="Calibri" w:hAnsi="Calibri"/>
          <w:b/>
          <w:sz w:val="22"/>
          <w:szCs w:val="22"/>
        </w:rPr>
        <w:t>Supplemental</w:t>
      </w:r>
      <w:r w:rsidR="00D84495" w:rsidRPr="006A181A">
        <w:rPr>
          <w:rFonts w:ascii="Calibri" w:hAnsi="Calibri"/>
          <w:b/>
          <w:sz w:val="22"/>
          <w:szCs w:val="22"/>
        </w:rPr>
        <w:t xml:space="preserve"> Table </w:t>
      </w:r>
      <w:r w:rsidR="0091654A">
        <w:rPr>
          <w:rFonts w:ascii="Calibri" w:hAnsi="Calibri"/>
          <w:b/>
          <w:sz w:val="22"/>
          <w:szCs w:val="22"/>
        </w:rPr>
        <w:t>S</w:t>
      </w:r>
      <w:r w:rsidR="00944D65">
        <w:rPr>
          <w:rFonts w:ascii="Calibri" w:hAnsi="Calibri"/>
          <w:b/>
          <w:sz w:val="22"/>
          <w:szCs w:val="22"/>
        </w:rPr>
        <w:t xml:space="preserve">4: </w:t>
      </w:r>
      <w:r w:rsidRPr="006A181A">
        <w:rPr>
          <w:rFonts w:ascii="Calibri" w:hAnsi="Calibri"/>
          <w:b/>
          <w:sz w:val="22"/>
          <w:szCs w:val="22"/>
        </w:rPr>
        <w:t xml:space="preserve">Examples </w:t>
      </w:r>
      <w:r w:rsidR="00944D65">
        <w:rPr>
          <w:rFonts w:ascii="Calibri" w:hAnsi="Calibri"/>
          <w:b/>
          <w:sz w:val="22"/>
          <w:szCs w:val="22"/>
        </w:rPr>
        <w:t>o</w:t>
      </w:r>
      <w:r w:rsidR="00944D65" w:rsidRPr="006A181A">
        <w:rPr>
          <w:rFonts w:ascii="Calibri" w:hAnsi="Calibri"/>
          <w:b/>
          <w:sz w:val="22"/>
          <w:szCs w:val="22"/>
        </w:rPr>
        <w:t>f Complex, Potentially Clinically Significant Sequence Variants</w:t>
      </w:r>
      <w:r w:rsidR="0091654A">
        <w:rPr>
          <w:rFonts w:ascii="Calibri" w:hAnsi="Calibri"/>
          <w:b/>
          <w:sz w:val="22"/>
          <w:szCs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4860"/>
        <w:gridCol w:w="3510"/>
        <w:gridCol w:w="3438"/>
      </w:tblGrid>
      <w:tr w:rsidR="00843498" w:rsidRPr="006A181A" w14:paraId="21B733F2" w14:textId="77777777" w:rsidTr="006A181A"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16401531" w14:textId="77777777" w:rsidR="005F163E" w:rsidRPr="006A181A" w:rsidRDefault="005F163E" w:rsidP="006A181A">
            <w:pPr>
              <w:spacing w:line="480" w:lineRule="auto"/>
              <w:rPr>
                <w:rFonts w:ascii="Calibri" w:hAnsi="Calibri"/>
                <w:b/>
                <w:sz w:val="18"/>
                <w:szCs w:val="18"/>
              </w:rPr>
            </w:pPr>
            <w:r w:rsidRPr="006A181A">
              <w:rPr>
                <w:rFonts w:ascii="Calibri" w:hAnsi="Calibri"/>
                <w:b/>
                <w:sz w:val="18"/>
                <w:szCs w:val="18"/>
              </w:rPr>
              <w:t>Gene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</w:tcPr>
          <w:p w14:paraId="3379A40A" w14:textId="0381E192" w:rsidR="005F163E" w:rsidRPr="006A181A" w:rsidRDefault="005F163E" w:rsidP="006A181A">
            <w:pPr>
              <w:spacing w:line="480" w:lineRule="auto"/>
              <w:rPr>
                <w:rFonts w:ascii="Calibri" w:hAnsi="Calibri"/>
                <w:b/>
                <w:sz w:val="18"/>
                <w:szCs w:val="18"/>
              </w:rPr>
            </w:pPr>
            <w:r w:rsidRPr="006A181A">
              <w:rPr>
                <w:rFonts w:ascii="Calibri" w:hAnsi="Calibri"/>
                <w:b/>
                <w:sz w:val="18"/>
                <w:szCs w:val="18"/>
              </w:rPr>
              <w:t>Nucleotide</w:t>
            </w:r>
            <w:r w:rsidR="00E638F8" w:rsidRPr="006A181A">
              <w:rPr>
                <w:rFonts w:ascii="Calibri" w:hAnsi="Calibri"/>
                <w:b/>
                <w:sz w:val="18"/>
                <w:szCs w:val="18"/>
              </w:rPr>
              <w:t xml:space="preserve"> Description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1E5AC4B9" w14:textId="2B4041CC" w:rsidR="005F163E" w:rsidRPr="006A181A" w:rsidRDefault="005F163E" w:rsidP="006A181A">
            <w:pPr>
              <w:spacing w:line="480" w:lineRule="auto"/>
              <w:rPr>
                <w:rFonts w:ascii="Calibri" w:hAnsi="Calibri"/>
                <w:b/>
                <w:sz w:val="18"/>
                <w:szCs w:val="18"/>
              </w:rPr>
            </w:pPr>
            <w:r w:rsidRPr="006A181A">
              <w:rPr>
                <w:rFonts w:ascii="Calibri" w:hAnsi="Calibri"/>
                <w:b/>
                <w:sz w:val="18"/>
                <w:szCs w:val="18"/>
              </w:rPr>
              <w:t>Protein</w:t>
            </w:r>
            <w:r w:rsidR="00E638F8" w:rsidRPr="006A181A">
              <w:rPr>
                <w:rFonts w:ascii="Calibri" w:hAnsi="Calibri"/>
                <w:b/>
                <w:sz w:val="18"/>
                <w:szCs w:val="18"/>
              </w:rPr>
              <w:t xml:space="preserve"> Description</w:t>
            </w:r>
          </w:p>
        </w:tc>
        <w:tc>
          <w:tcPr>
            <w:tcW w:w="3438" w:type="dxa"/>
            <w:tcBorders>
              <w:top w:val="single" w:sz="4" w:space="0" w:color="auto"/>
              <w:bottom w:val="single" w:sz="4" w:space="0" w:color="auto"/>
            </w:tcBorders>
          </w:tcPr>
          <w:p w14:paraId="5C96D6B1" w14:textId="4DDCC15C" w:rsidR="005F163E" w:rsidRPr="006A181A" w:rsidRDefault="005F163E" w:rsidP="006A181A">
            <w:pPr>
              <w:spacing w:line="480" w:lineRule="auto"/>
              <w:rPr>
                <w:rFonts w:ascii="Calibri" w:hAnsi="Calibri"/>
                <w:b/>
                <w:sz w:val="18"/>
                <w:szCs w:val="18"/>
              </w:rPr>
            </w:pPr>
            <w:r w:rsidRPr="006A181A">
              <w:rPr>
                <w:rFonts w:ascii="Calibri" w:hAnsi="Calibri"/>
                <w:b/>
                <w:sz w:val="18"/>
                <w:szCs w:val="18"/>
              </w:rPr>
              <w:t>Reason</w:t>
            </w:r>
            <w:r w:rsidR="00E638F8" w:rsidRPr="006A181A">
              <w:rPr>
                <w:rFonts w:ascii="Calibri" w:hAnsi="Calibri"/>
                <w:b/>
                <w:sz w:val="18"/>
                <w:szCs w:val="18"/>
              </w:rPr>
              <w:t xml:space="preserve"> for complexity</w:t>
            </w:r>
          </w:p>
        </w:tc>
      </w:tr>
      <w:tr w:rsidR="0002418E" w:rsidRPr="006A181A" w14:paraId="3BA047E9" w14:textId="77777777" w:rsidTr="006A181A">
        <w:tc>
          <w:tcPr>
            <w:tcW w:w="1368" w:type="dxa"/>
            <w:tcBorders>
              <w:top w:val="single" w:sz="4" w:space="0" w:color="auto"/>
            </w:tcBorders>
          </w:tcPr>
          <w:p w14:paraId="42E17238" w14:textId="267E5807" w:rsidR="0002418E" w:rsidRPr="006A181A" w:rsidRDefault="0002418E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t>EGFR</w:t>
            </w:r>
          </w:p>
        </w:tc>
        <w:tc>
          <w:tcPr>
            <w:tcW w:w="4860" w:type="dxa"/>
            <w:tcBorders>
              <w:top w:val="single" w:sz="4" w:space="0" w:color="auto"/>
            </w:tcBorders>
          </w:tcPr>
          <w:p w14:paraId="5DE7B837" w14:textId="5803BDB6" w:rsidR="0002418E" w:rsidRPr="006A181A" w:rsidRDefault="0002418E" w:rsidP="006A181A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NM_005228.3:c.2236_2253delGAATTAAGAGAAGCAACAinsTTG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1D930913" w14:textId="2291DFA9" w:rsidR="0002418E" w:rsidRPr="006A181A" w:rsidRDefault="0002418E" w:rsidP="006A181A">
            <w:pPr>
              <w:spacing w:line="48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p.Glu746_Thr751delinsLeu</w:t>
            </w:r>
          </w:p>
        </w:tc>
        <w:tc>
          <w:tcPr>
            <w:tcW w:w="3438" w:type="dxa"/>
            <w:tcBorders>
              <w:top w:val="single" w:sz="4" w:space="0" w:color="auto"/>
            </w:tcBorders>
          </w:tcPr>
          <w:p w14:paraId="2CCFD161" w14:textId="44359CF5" w:rsidR="0002418E" w:rsidRPr="006A181A" w:rsidRDefault="0002418E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Horizontally complex variant, SNV and a deletion flank a larger deletion (Figure 3)</w:t>
            </w:r>
          </w:p>
        </w:tc>
      </w:tr>
      <w:tr w:rsidR="0002418E" w:rsidRPr="006A181A" w14:paraId="79A24AB7" w14:textId="77777777" w:rsidTr="006A181A">
        <w:trPr>
          <w:trHeight w:val="647"/>
        </w:trPr>
        <w:tc>
          <w:tcPr>
            <w:tcW w:w="1368" w:type="dxa"/>
          </w:tcPr>
          <w:p w14:paraId="0EF38F0A" w14:textId="6D477DD2" w:rsidR="0002418E" w:rsidRPr="006A181A" w:rsidRDefault="0002418E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t>KRAS</w:t>
            </w:r>
          </w:p>
        </w:tc>
        <w:tc>
          <w:tcPr>
            <w:tcW w:w="4860" w:type="dxa"/>
          </w:tcPr>
          <w:p w14:paraId="30C31A7F" w14:textId="6AB2DA85" w:rsidR="0002418E" w:rsidRPr="006A181A" w:rsidRDefault="0002418E" w:rsidP="006A181A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NM_004985.3:c.35G&gt;A; NM_004985.3:c.35G&gt;T</w:t>
            </w:r>
          </w:p>
        </w:tc>
        <w:tc>
          <w:tcPr>
            <w:tcW w:w="3510" w:type="dxa"/>
          </w:tcPr>
          <w:p w14:paraId="47DC45E4" w14:textId="28F2C7C1" w:rsidR="0002418E" w:rsidRPr="006A181A" w:rsidRDefault="0002418E" w:rsidP="006A181A">
            <w:pPr>
              <w:spacing w:line="48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p.Gly12Asp;</w:t>
            </w:r>
            <w:r w:rsidR="00E638F8" w:rsidRPr="006A181A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6A181A">
              <w:rPr>
                <w:rFonts w:ascii="Calibri" w:hAnsi="Calibri"/>
                <w:sz w:val="18"/>
                <w:szCs w:val="18"/>
              </w:rPr>
              <w:t xml:space="preserve">p.G12Val </w:t>
            </w:r>
          </w:p>
        </w:tc>
        <w:tc>
          <w:tcPr>
            <w:tcW w:w="3438" w:type="dxa"/>
          </w:tcPr>
          <w:p w14:paraId="687207CE" w14:textId="5034E6B6" w:rsidR="0002418E" w:rsidRPr="006A181A" w:rsidRDefault="0002418E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Vertically complex variant (Figure 4)</w:t>
            </w:r>
          </w:p>
        </w:tc>
      </w:tr>
      <w:tr w:rsidR="005B679E" w:rsidRPr="006A181A" w14:paraId="0ED59DDA" w14:textId="77777777" w:rsidTr="006A181A">
        <w:trPr>
          <w:trHeight w:val="647"/>
        </w:trPr>
        <w:tc>
          <w:tcPr>
            <w:tcW w:w="1368" w:type="dxa"/>
          </w:tcPr>
          <w:p w14:paraId="3E67B798" w14:textId="3415601B" w:rsidR="005B679E" w:rsidRPr="006A181A" w:rsidRDefault="005B679E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t>FLT3</w:t>
            </w:r>
          </w:p>
        </w:tc>
        <w:tc>
          <w:tcPr>
            <w:tcW w:w="4860" w:type="dxa"/>
          </w:tcPr>
          <w:p w14:paraId="2BFB1564" w14:textId="3314B038" w:rsidR="005B679E" w:rsidRPr="006A181A" w:rsidRDefault="005B679E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Internal tandem duplication (ITD)</w:t>
            </w:r>
          </w:p>
        </w:tc>
        <w:tc>
          <w:tcPr>
            <w:tcW w:w="3510" w:type="dxa"/>
          </w:tcPr>
          <w:p w14:paraId="5A7068A1" w14:textId="3BB927F7" w:rsidR="005B679E" w:rsidRPr="006A181A" w:rsidRDefault="005B679E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Gain of function</w:t>
            </w:r>
          </w:p>
        </w:tc>
        <w:tc>
          <w:tcPr>
            <w:tcW w:w="3438" w:type="dxa"/>
          </w:tcPr>
          <w:p w14:paraId="256AD762" w14:textId="32BA0F2A" w:rsidR="005B679E" w:rsidRPr="006A181A" w:rsidRDefault="0074770E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D</w:t>
            </w:r>
            <w:r w:rsidR="005B679E" w:rsidRPr="006A181A">
              <w:rPr>
                <w:rFonts w:ascii="Calibri" w:hAnsi="Calibri"/>
                <w:sz w:val="18"/>
                <w:szCs w:val="18"/>
              </w:rPr>
              <w:t xml:space="preserve">uplication </w:t>
            </w:r>
            <w:r w:rsidR="00E638F8" w:rsidRPr="006A181A">
              <w:rPr>
                <w:rFonts w:ascii="Calibri" w:hAnsi="Calibri"/>
                <w:sz w:val="18"/>
                <w:szCs w:val="18"/>
              </w:rPr>
              <w:t xml:space="preserve">with or without insertion of a variable </w:t>
            </w:r>
            <w:r w:rsidR="005B679E" w:rsidRPr="006A181A">
              <w:rPr>
                <w:rFonts w:ascii="Calibri" w:hAnsi="Calibri"/>
                <w:sz w:val="18"/>
                <w:szCs w:val="18"/>
              </w:rPr>
              <w:t xml:space="preserve">sequence (3 to 400bp) </w:t>
            </w:r>
            <w:r w:rsidR="004D0742" w:rsidRPr="006A181A">
              <w:rPr>
                <w:rFonts w:ascii="Calibri" w:hAnsi="Calibri"/>
                <w:sz w:val="18"/>
                <w:szCs w:val="18"/>
              </w:rPr>
              <w:t>in</w:t>
            </w:r>
            <w:r w:rsidR="00E638F8" w:rsidRPr="006A181A">
              <w:rPr>
                <w:rFonts w:ascii="Calibri" w:hAnsi="Calibri"/>
                <w:sz w:val="18"/>
                <w:szCs w:val="18"/>
              </w:rPr>
              <w:t>to the</w:t>
            </w:r>
            <w:r w:rsidR="004D0742" w:rsidRPr="006A181A">
              <w:rPr>
                <w:rFonts w:ascii="Calibri" w:hAnsi="Calibri"/>
                <w:sz w:val="18"/>
                <w:szCs w:val="18"/>
              </w:rPr>
              <w:t xml:space="preserve"> </w:t>
            </w:r>
            <w:r w:rsidR="004D0742" w:rsidRPr="002430AD">
              <w:rPr>
                <w:rFonts w:ascii="Calibri" w:hAnsi="Calibri"/>
                <w:i/>
                <w:sz w:val="18"/>
                <w:szCs w:val="18"/>
              </w:rPr>
              <w:t>FLT3</w:t>
            </w:r>
            <w:r w:rsidR="004D0742" w:rsidRPr="006A181A">
              <w:rPr>
                <w:rFonts w:ascii="Calibri" w:hAnsi="Calibri"/>
                <w:sz w:val="18"/>
                <w:szCs w:val="18"/>
              </w:rPr>
              <w:t xml:space="preserve"> gene</w:t>
            </w:r>
            <w:r w:rsidR="005B679E" w:rsidRPr="006A181A">
              <w:rPr>
                <w:rFonts w:ascii="Calibri" w:hAnsi="Calibri"/>
                <w:sz w:val="18"/>
                <w:szCs w:val="18"/>
              </w:rPr>
              <w:t>.</w:t>
            </w:r>
            <w:r w:rsidR="004D0742" w:rsidRPr="006A181A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63CE9" w:rsidRPr="006A181A">
              <w:rPr>
                <w:rFonts w:ascii="Calibri" w:hAnsi="Calibri"/>
                <w:sz w:val="18"/>
                <w:szCs w:val="18"/>
              </w:rPr>
              <w:t>S</w:t>
            </w:r>
            <w:r w:rsidR="00D13D21" w:rsidRPr="006A181A">
              <w:rPr>
                <w:rFonts w:ascii="Calibri" w:hAnsi="Calibri"/>
                <w:sz w:val="18"/>
                <w:szCs w:val="18"/>
              </w:rPr>
              <w:t>uch</w:t>
            </w:r>
            <w:r w:rsidR="00E638F8" w:rsidRPr="006A181A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="00B63CE9" w:rsidRPr="006A181A">
              <w:rPr>
                <w:rFonts w:ascii="Calibri" w:hAnsi="Calibri"/>
                <w:sz w:val="18"/>
                <w:szCs w:val="18"/>
              </w:rPr>
              <w:t>inframe</w:t>
            </w:r>
            <w:proofErr w:type="spellEnd"/>
            <w:r w:rsidR="00B63CE9" w:rsidRPr="006A181A">
              <w:rPr>
                <w:rFonts w:ascii="Calibri" w:hAnsi="Calibri"/>
                <w:sz w:val="18"/>
                <w:szCs w:val="18"/>
              </w:rPr>
              <w:t xml:space="preserve"> </w:t>
            </w:r>
            <w:r w:rsidR="00E638F8" w:rsidRPr="006A181A">
              <w:rPr>
                <w:rFonts w:ascii="Calibri" w:hAnsi="Calibri"/>
                <w:sz w:val="18"/>
                <w:szCs w:val="18"/>
              </w:rPr>
              <w:t xml:space="preserve">mutations confer a gain of function rather than loss of function. </w:t>
            </w:r>
            <w:r w:rsidR="00D13D21" w:rsidRPr="006A181A">
              <w:rPr>
                <w:rFonts w:ascii="Calibri" w:hAnsi="Calibri"/>
                <w:sz w:val="18"/>
                <w:szCs w:val="18"/>
              </w:rPr>
              <w:t>Both the size of the alteration</w:t>
            </w:r>
            <w:r w:rsidR="004D0742" w:rsidRPr="006A181A">
              <w:rPr>
                <w:rFonts w:ascii="Calibri" w:hAnsi="Calibri"/>
                <w:sz w:val="18"/>
                <w:szCs w:val="18"/>
              </w:rPr>
              <w:t xml:space="preserve"> </w:t>
            </w:r>
            <w:r w:rsidR="00D13D21" w:rsidRPr="006A181A">
              <w:rPr>
                <w:rFonts w:ascii="Calibri" w:hAnsi="Calibri"/>
                <w:sz w:val="18"/>
                <w:szCs w:val="18"/>
              </w:rPr>
              <w:t xml:space="preserve">and variability in </w:t>
            </w:r>
            <w:r w:rsidR="004D0742" w:rsidRPr="006A181A">
              <w:rPr>
                <w:rFonts w:ascii="Calibri" w:hAnsi="Calibri"/>
                <w:sz w:val="18"/>
                <w:szCs w:val="18"/>
              </w:rPr>
              <w:t xml:space="preserve">flanking sequence </w:t>
            </w:r>
            <w:r w:rsidR="00D13D21" w:rsidRPr="006A181A">
              <w:rPr>
                <w:rFonts w:ascii="Calibri" w:hAnsi="Calibri"/>
                <w:sz w:val="18"/>
                <w:szCs w:val="18"/>
              </w:rPr>
              <w:t>create challenges</w:t>
            </w:r>
            <w:r w:rsidR="004D0742" w:rsidRPr="006A181A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02418E" w:rsidRPr="006A181A" w14:paraId="25645506" w14:textId="77777777" w:rsidTr="006A181A">
        <w:tc>
          <w:tcPr>
            <w:tcW w:w="1368" w:type="dxa"/>
          </w:tcPr>
          <w:p w14:paraId="34D0CC9B" w14:textId="7C81B670" w:rsidR="0002418E" w:rsidRPr="006A181A" w:rsidRDefault="0002418E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t>BRCA2</w:t>
            </w:r>
          </w:p>
        </w:tc>
        <w:tc>
          <w:tcPr>
            <w:tcW w:w="4860" w:type="dxa"/>
          </w:tcPr>
          <w:p w14:paraId="49461326" w14:textId="77777777" w:rsidR="0002418E" w:rsidRPr="006A181A" w:rsidRDefault="0002418E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NM_000059.3:c.1813dupA</w:t>
            </w:r>
          </w:p>
        </w:tc>
        <w:tc>
          <w:tcPr>
            <w:tcW w:w="3510" w:type="dxa"/>
          </w:tcPr>
          <w:p w14:paraId="30C2F45D" w14:textId="72BE6CC8" w:rsidR="0002418E" w:rsidRPr="006A181A" w:rsidRDefault="0002418E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bCs/>
                <w:sz w:val="18"/>
                <w:szCs w:val="18"/>
              </w:rPr>
              <w:t>p.Ile605Asnfs</w:t>
            </w:r>
          </w:p>
        </w:tc>
        <w:tc>
          <w:tcPr>
            <w:tcW w:w="3438" w:type="dxa"/>
          </w:tcPr>
          <w:p w14:paraId="20598587" w14:textId="155BD029" w:rsidR="0002418E" w:rsidRPr="006A181A" w:rsidRDefault="0002418E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 xml:space="preserve">In short </w:t>
            </w:r>
            <w:proofErr w:type="spellStart"/>
            <w:r w:rsidRPr="006A181A">
              <w:rPr>
                <w:rFonts w:ascii="Calibri" w:hAnsi="Calibri"/>
                <w:sz w:val="18"/>
                <w:szCs w:val="18"/>
              </w:rPr>
              <w:t>homopolymer</w:t>
            </w:r>
            <w:proofErr w:type="spellEnd"/>
            <w:r w:rsidRPr="006A181A">
              <w:rPr>
                <w:rFonts w:ascii="Calibri" w:hAnsi="Calibri"/>
                <w:sz w:val="18"/>
                <w:szCs w:val="18"/>
              </w:rPr>
              <w:t xml:space="preserve"> repeat.  Left/right shuffling may create different representations. Some NGS methods produce artifacts at such sites, and mutations may be vertically heterogeneous.  </w:t>
            </w:r>
          </w:p>
        </w:tc>
      </w:tr>
      <w:tr w:rsidR="0002418E" w:rsidRPr="006A181A" w14:paraId="162C202F" w14:textId="77777777" w:rsidTr="006A181A">
        <w:trPr>
          <w:trHeight w:val="701"/>
        </w:trPr>
        <w:tc>
          <w:tcPr>
            <w:tcW w:w="1368" w:type="dxa"/>
          </w:tcPr>
          <w:p w14:paraId="151E9DE0" w14:textId="77777777" w:rsidR="0002418E" w:rsidRPr="006A181A" w:rsidRDefault="0002418E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t>BRCA2</w:t>
            </w:r>
          </w:p>
        </w:tc>
        <w:tc>
          <w:tcPr>
            <w:tcW w:w="4860" w:type="dxa"/>
          </w:tcPr>
          <w:p w14:paraId="529B53EB" w14:textId="77777777" w:rsidR="0002418E" w:rsidRPr="006A181A" w:rsidRDefault="0002418E" w:rsidP="006A181A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A181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NM_000059.3:c.1310_1313delAAGA</w:t>
            </w:r>
          </w:p>
        </w:tc>
        <w:tc>
          <w:tcPr>
            <w:tcW w:w="3510" w:type="dxa"/>
          </w:tcPr>
          <w:p w14:paraId="2EB23E68" w14:textId="62F0D5F0" w:rsidR="0002418E" w:rsidRPr="006A181A" w:rsidRDefault="0002418E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bCs/>
                <w:sz w:val="18"/>
                <w:szCs w:val="18"/>
              </w:rPr>
              <w:t>p.Lys437Ilefs</w:t>
            </w:r>
          </w:p>
        </w:tc>
        <w:tc>
          <w:tcPr>
            <w:tcW w:w="3438" w:type="dxa"/>
          </w:tcPr>
          <w:p w14:paraId="2BEF4B65" w14:textId="35F50F61" w:rsidR="0002418E" w:rsidRPr="006A181A" w:rsidRDefault="0002418E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 xml:space="preserve">In short quad-nucleotide repeat. Left/right </w:t>
            </w:r>
            <w:r w:rsidRPr="006A181A">
              <w:rPr>
                <w:rFonts w:ascii="Calibri" w:hAnsi="Calibri"/>
                <w:sz w:val="18"/>
                <w:szCs w:val="18"/>
              </w:rPr>
              <w:lastRenderedPageBreak/>
              <w:t>shuffling may create different representations.</w:t>
            </w:r>
          </w:p>
        </w:tc>
      </w:tr>
      <w:tr w:rsidR="00D13D21" w:rsidRPr="006A181A" w14:paraId="616A1F60" w14:textId="77777777" w:rsidTr="006A181A">
        <w:tc>
          <w:tcPr>
            <w:tcW w:w="1368" w:type="dxa"/>
          </w:tcPr>
          <w:p w14:paraId="373835F3" w14:textId="57B72641" w:rsidR="00D13D21" w:rsidRPr="006A181A" w:rsidRDefault="00D13D21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lastRenderedPageBreak/>
              <w:t>BRCA2</w:t>
            </w:r>
          </w:p>
        </w:tc>
        <w:tc>
          <w:tcPr>
            <w:tcW w:w="4860" w:type="dxa"/>
          </w:tcPr>
          <w:p w14:paraId="027A7490" w14:textId="33100568" w:rsidR="00D13D21" w:rsidRPr="006A181A" w:rsidRDefault="00D51AC5" w:rsidP="006A181A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A181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NM_000059.3:c.5007_5008insAlu</w:t>
            </w:r>
            <w:r w:rsidR="00726610" w:rsidRPr="006A181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3510" w:type="dxa"/>
          </w:tcPr>
          <w:p w14:paraId="2ED65E27" w14:textId="20288992" w:rsidR="00D13D21" w:rsidRPr="006A181A" w:rsidRDefault="00D51AC5" w:rsidP="006A181A">
            <w:pPr>
              <w:spacing w:line="48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6A181A">
              <w:rPr>
                <w:rFonts w:ascii="Calibri" w:hAnsi="Calibri"/>
                <w:bCs/>
                <w:sz w:val="18"/>
                <w:szCs w:val="18"/>
              </w:rPr>
              <w:t>Protein disruption</w:t>
            </w:r>
          </w:p>
        </w:tc>
        <w:tc>
          <w:tcPr>
            <w:tcW w:w="3438" w:type="dxa"/>
          </w:tcPr>
          <w:p w14:paraId="70E6CD97" w14:textId="706B5204" w:rsidR="00D13D21" w:rsidRPr="006A181A" w:rsidRDefault="00D51AC5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Large insertion of a transposable element (</w:t>
            </w:r>
            <w:proofErr w:type="spellStart"/>
            <w:r w:rsidRPr="006A181A">
              <w:rPr>
                <w:rFonts w:ascii="Calibri" w:hAnsi="Calibri"/>
                <w:sz w:val="18"/>
                <w:szCs w:val="18"/>
              </w:rPr>
              <w:t>Alu</w:t>
            </w:r>
            <w:proofErr w:type="spellEnd"/>
            <w:r w:rsidRPr="006A181A">
              <w:rPr>
                <w:rFonts w:ascii="Calibri" w:hAnsi="Calibri"/>
                <w:sz w:val="18"/>
                <w:szCs w:val="18"/>
              </w:rPr>
              <w:t>).</w:t>
            </w:r>
            <w:r w:rsidR="00726610" w:rsidRPr="006A181A">
              <w:rPr>
                <w:rFonts w:ascii="Calibri" w:hAnsi="Calibri"/>
                <w:sz w:val="18"/>
                <w:szCs w:val="18"/>
              </w:rPr>
              <w:t xml:space="preserve"> These inserted sequences are typically variable. </w:t>
            </w:r>
          </w:p>
        </w:tc>
      </w:tr>
      <w:tr w:rsidR="00726610" w:rsidRPr="006A181A" w14:paraId="2A60BA42" w14:textId="77777777" w:rsidTr="006A181A">
        <w:tc>
          <w:tcPr>
            <w:tcW w:w="1368" w:type="dxa"/>
          </w:tcPr>
          <w:p w14:paraId="1E8C35DC" w14:textId="19ABF678" w:rsidR="00726610" w:rsidRPr="006A181A" w:rsidRDefault="00726610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t>MLH1</w:t>
            </w:r>
          </w:p>
        </w:tc>
        <w:tc>
          <w:tcPr>
            <w:tcW w:w="4860" w:type="dxa"/>
          </w:tcPr>
          <w:p w14:paraId="03FAFE62" w14:textId="751B1CCD" w:rsidR="00726610" w:rsidRPr="006A181A" w:rsidRDefault="00726610" w:rsidP="006A181A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NM_000249.3:c.1852_1854delAAG</w:t>
            </w:r>
          </w:p>
        </w:tc>
        <w:tc>
          <w:tcPr>
            <w:tcW w:w="3510" w:type="dxa"/>
          </w:tcPr>
          <w:p w14:paraId="4EFDB7B0" w14:textId="2C2CE20E" w:rsidR="00726610" w:rsidRPr="006A181A" w:rsidRDefault="00726610" w:rsidP="006A181A">
            <w:pPr>
              <w:spacing w:line="48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6A181A">
              <w:rPr>
                <w:rFonts w:ascii="Calibri" w:hAnsi="Calibri"/>
                <w:bCs/>
                <w:sz w:val="18"/>
                <w:szCs w:val="18"/>
              </w:rPr>
              <w:t>p.Lys618del</w:t>
            </w:r>
          </w:p>
        </w:tc>
        <w:tc>
          <w:tcPr>
            <w:tcW w:w="3438" w:type="dxa"/>
          </w:tcPr>
          <w:p w14:paraId="767CBCB7" w14:textId="50E8F70C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In short tri-nucleotide repeat.  Left/right shuffling may create different representations.</w:t>
            </w:r>
          </w:p>
        </w:tc>
      </w:tr>
      <w:tr w:rsidR="00726610" w:rsidRPr="006A181A" w14:paraId="08118F0D" w14:textId="77777777" w:rsidTr="006A181A">
        <w:tc>
          <w:tcPr>
            <w:tcW w:w="1368" w:type="dxa"/>
          </w:tcPr>
          <w:p w14:paraId="35DB7148" w14:textId="68DCE3E1" w:rsidR="00726610" w:rsidRPr="006A181A" w:rsidRDefault="00726610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t>MLH1</w:t>
            </w:r>
          </w:p>
        </w:tc>
        <w:tc>
          <w:tcPr>
            <w:tcW w:w="4860" w:type="dxa"/>
          </w:tcPr>
          <w:p w14:paraId="3E95B890" w14:textId="2F758F71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NM_000249.3:c.232_243delGAAAGGTTCACTinsATGTAAGG</w:t>
            </w:r>
          </w:p>
        </w:tc>
        <w:tc>
          <w:tcPr>
            <w:tcW w:w="3510" w:type="dxa"/>
          </w:tcPr>
          <w:p w14:paraId="2C675794" w14:textId="1C8E8E29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p.Glu78Metfs*2</w:t>
            </w:r>
          </w:p>
        </w:tc>
        <w:tc>
          <w:tcPr>
            <w:tcW w:w="3438" w:type="dxa"/>
          </w:tcPr>
          <w:p w14:paraId="10D64B40" w14:textId="5E3F10B6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Complex call - different variant calling algorithms may represent this alteration differently, including as multiple independent variants.</w:t>
            </w:r>
          </w:p>
        </w:tc>
      </w:tr>
      <w:tr w:rsidR="00726610" w:rsidRPr="006A181A" w14:paraId="1FEB50C0" w14:textId="77777777" w:rsidTr="006A181A">
        <w:tc>
          <w:tcPr>
            <w:tcW w:w="1368" w:type="dxa"/>
          </w:tcPr>
          <w:p w14:paraId="24A98D10" w14:textId="6D0B4C27" w:rsidR="00726610" w:rsidRPr="006A181A" w:rsidRDefault="00726610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t>MSH2</w:t>
            </w:r>
          </w:p>
        </w:tc>
        <w:tc>
          <w:tcPr>
            <w:tcW w:w="4860" w:type="dxa"/>
          </w:tcPr>
          <w:p w14:paraId="17956027" w14:textId="668DEBCA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NM_000251.2:c.942+3A&gt;T</w:t>
            </w:r>
          </w:p>
        </w:tc>
        <w:tc>
          <w:tcPr>
            <w:tcW w:w="3510" w:type="dxa"/>
          </w:tcPr>
          <w:p w14:paraId="3A2C32A8" w14:textId="05DDCD7D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Splice affecting</w:t>
            </w:r>
          </w:p>
        </w:tc>
        <w:tc>
          <w:tcPr>
            <w:tcW w:w="3438" w:type="dxa"/>
          </w:tcPr>
          <w:p w14:paraId="58967AA1" w14:textId="6EBD3D83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 xml:space="preserve">In long </w:t>
            </w:r>
            <w:proofErr w:type="spellStart"/>
            <w:r w:rsidRPr="006A181A">
              <w:rPr>
                <w:rFonts w:ascii="Calibri" w:hAnsi="Calibri"/>
                <w:sz w:val="18"/>
                <w:szCs w:val="18"/>
              </w:rPr>
              <w:t>homopolymer</w:t>
            </w:r>
            <w:proofErr w:type="spellEnd"/>
            <w:r w:rsidRPr="006A181A">
              <w:rPr>
                <w:rFonts w:ascii="Calibri" w:hAnsi="Calibri"/>
                <w:sz w:val="18"/>
                <w:szCs w:val="18"/>
              </w:rPr>
              <w:t xml:space="preserve"> repeat. All current NGS methods produce artifacts at such sites, and mutations will be vertically heterogeneous.  </w:t>
            </w:r>
          </w:p>
        </w:tc>
      </w:tr>
      <w:tr w:rsidR="00726610" w:rsidRPr="006A181A" w14:paraId="76B50E0B" w14:textId="77777777" w:rsidTr="006A181A">
        <w:tc>
          <w:tcPr>
            <w:tcW w:w="1368" w:type="dxa"/>
          </w:tcPr>
          <w:p w14:paraId="21859C8F" w14:textId="796CE0C8" w:rsidR="00726610" w:rsidRPr="006A181A" w:rsidRDefault="00726610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t>MSH6</w:t>
            </w:r>
          </w:p>
        </w:tc>
        <w:tc>
          <w:tcPr>
            <w:tcW w:w="4860" w:type="dxa"/>
          </w:tcPr>
          <w:p w14:paraId="1DD3E661" w14:textId="33DFF160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NM_000179.2:c.2056_2060delGGTTGinsCTTCTACCTCAAAAA</w:t>
            </w:r>
          </w:p>
        </w:tc>
        <w:tc>
          <w:tcPr>
            <w:tcW w:w="3510" w:type="dxa"/>
          </w:tcPr>
          <w:p w14:paraId="35B6CCC2" w14:textId="5B9CBB56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bCs/>
                <w:sz w:val="18"/>
                <w:szCs w:val="18"/>
              </w:rPr>
              <w:t>p.Gly686Leufs</w:t>
            </w:r>
          </w:p>
        </w:tc>
        <w:tc>
          <w:tcPr>
            <w:tcW w:w="3438" w:type="dxa"/>
          </w:tcPr>
          <w:p w14:paraId="6539D534" w14:textId="6F058E41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 xml:space="preserve">Complex call - different variant calling algorithms may represent this alteration differently, including as multiple </w:t>
            </w:r>
            <w:r w:rsidRPr="006A181A">
              <w:rPr>
                <w:rFonts w:ascii="Calibri" w:hAnsi="Calibri"/>
                <w:sz w:val="18"/>
                <w:szCs w:val="18"/>
              </w:rPr>
              <w:lastRenderedPageBreak/>
              <w:t>independent variants.</w:t>
            </w:r>
          </w:p>
        </w:tc>
      </w:tr>
      <w:tr w:rsidR="00726610" w:rsidRPr="006A181A" w14:paraId="4A500537" w14:textId="77777777" w:rsidTr="006A181A">
        <w:tc>
          <w:tcPr>
            <w:tcW w:w="1368" w:type="dxa"/>
          </w:tcPr>
          <w:p w14:paraId="1AE8BA41" w14:textId="088737EC" w:rsidR="00726610" w:rsidRPr="006A181A" w:rsidRDefault="00726610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lastRenderedPageBreak/>
              <w:t>PMS2</w:t>
            </w:r>
          </w:p>
        </w:tc>
        <w:tc>
          <w:tcPr>
            <w:tcW w:w="4860" w:type="dxa"/>
          </w:tcPr>
          <w:p w14:paraId="2D23E1CC" w14:textId="77777777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NM_000535.5:c.2243_2246delAGAA also</w:t>
            </w:r>
          </w:p>
          <w:p w14:paraId="6D3E05A2" w14:textId="549A2C52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NM_000535.5:c.2253T&gt;C</w:t>
            </w:r>
          </w:p>
        </w:tc>
        <w:tc>
          <w:tcPr>
            <w:tcW w:w="3510" w:type="dxa"/>
          </w:tcPr>
          <w:p w14:paraId="25E0F979" w14:textId="77777777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NP_000068.1:p.Ala68Leu also</w:t>
            </w:r>
          </w:p>
          <w:p w14:paraId="055BB5AC" w14:textId="42CF5DB1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NP_478102.2:p.Arg82Leu</w:t>
            </w:r>
          </w:p>
        </w:tc>
        <w:tc>
          <w:tcPr>
            <w:tcW w:w="3438" w:type="dxa"/>
          </w:tcPr>
          <w:p w14:paraId="7F6B16A0" w14:textId="3D0B3EED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 xml:space="preserve">SNV near indel, both are in pseudogene associated region of </w:t>
            </w:r>
            <w:r w:rsidRPr="002430AD">
              <w:rPr>
                <w:rFonts w:ascii="Calibri" w:hAnsi="Calibri"/>
                <w:i/>
                <w:sz w:val="18"/>
                <w:szCs w:val="18"/>
              </w:rPr>
              <w:t>PMS2</w:t>
            </w:r>
            <w:r w:rsidRPr="006A181A">
              <w:rPr>
                <w:rFonts w:ascii="Calibri" w:hAnsi="Calibri"/>
                <w:sz w:val="18"/>
                <w:szCs w:val="18"/>
              </w:rPr>
              <w:t xml:space="preserve">, highly homologous to </w:t>
            </w:r>
            <w:r w:rsidRPr="002430AD">
              <w:rPr>
                <w:rFonts w:ascii="Calibri" w:hAnsi="Calibri"/>
                <w:i/>
                <w:sz w:val="18"/>
                <w:szCs w:val="18"/>
              </w:rPr>
              <w:t>PMS2CL</w:t>
            </w:r>
          </w:p>
        </w:tc>
      </w:tr>
      <w:tr w:rsidR="00726610" w:rsidRPr="006A181A" w14:paraId="08BD29D5" w14:textId="77777777" w:rsidTr="006A181A">
        <w:tc>
          <w:tcPr>
            <w:tcW w:w="1368" w:type="dxa"/>
          </w:tcPr>
          <w:p w14:paraId="7AE4EA04" w14:textId="275AF227" w:rsidR="00726610" w:rsidRPr="006A181A" w:rsidRDefault="00726610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t>CDKN2A</w:t>
            </w:r>
          </w:p>
        </w:tc>
        <w:tc>
          <w:tcPr>
            <w:tcW w:w="4860" w:type="dxa"/>
          </w:tcPr>
          <w:p w14:paraId="4E0B64C8" w14:textId="77777777" w:rsidR="00726610" w:rsidRPr="006A181A" w:rsidRDefault="00726610" w:rsidP="006A181A">
            <w:pPr>
              <w:tabs>
                <w:tab w:val="left" w:pos="6096"/>
              </w:tabs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NM_000077.4:c.9_32dupGGCGGCGGGGAGCAGCATGGAGCC</w:t>
            </w:r>
          </w:p>
          <w:p w14:paraId="06870229" w14:textId="67088CB8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510" w:type="dxa"/>
          </w:tcPr>
          <w:p w14:paraId="250E26A9" w14:textId="200FEE47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p.Pro11_Ser12insAlaAlaGlySerSerMetGluPro</w:t>
            </w:r>
          </w:p>
        </w:tc>
        <w:tc>
          <w:tcPr>
            <w:tcW w:w="3438" w:type="dxa"/>
          </w:tcPr>
          <w:p w14:paraId="046A9AB1" w14:textId="6CC489F1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Mutation is 3</w:t>
            </w:r>
            <w:r w:rsidRPr="006A181A">
              <w:rPr>
                <w:rFonts w:ascii="Calibri" w:hAnsi="Calibri"/>
                <w:sz w:val="18"/>
                <w:szCs w:val="18"/>
                <w:vertAlign w:val="superscript"/>
              </w:rPr>
              <w:t>rd</w:t>
            </w:r>
            <w:r w:rsidRPr="006A181A">
              <w:rPr>
                <w:rFonts w:ascii="Calibri" w:hAnsi="Calibri"/>
                <w:sz w:val="18"/>
                <w:szCs w:val="18"/>
              </w:rPr>
              <w:t xml:space="preserve"> copy of repeat in an endogenous tandem duplication; Also this region is 80% GC and low complexity.</w:t>
            </w:r>
          </w:p>
        </w:tc>
      </w:tr>
      <w:tr w:rsidR="00726610" w:rsidRPr="006A181A" w14:paraId="376C3D92" w14:textId="77777777" w:rsidTr="006A181A">
        <w:tc>
          <w:tcPr>
            <w:tcW w:w="1368" w:type="dxa"/>
          </w:tcPr>
          <w:p w14:paraId="5BFA8653" w14:textId="784BCB54" w:rsidR="00726610" w:rsidRPr="006A181A" w:rsidRDefault="00726610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t>CDKN2A</w:t>
            </w:r>
          </w:p>
        </w:tc>
        <w:tc>
          <w:tcPr>
            <w:tcW w:w="4860" w:type="dxa"/>
          </w:tcPr>
          <w:p w14:paraId="0EC452CD" w14:textId="77777777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NM_000077.4:c.202_203delCCinsTT  and</w:t>
            </w:r>
          </w:p>
          <w:p w14:paraId="350015F7" w14:textId="1CA92A90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NM_058195.3:c.245_246delCCinsTT</w:t>
            </w:r>
          </w:p>
        </w:tc>
        <w:tc>
          <w:tcPr>
            <w:tcW w:w="3510" w:type="dxa"/>
          </w:tcPr>
          <w:p w14:paraId="49027049" w14:textId="77777777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p.Ala68Leu and</w:t>
            </w:r>
          </w:p>
          <w:p w14:paraId="7D9A8286" w14:textId="77777777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p.Ala68Leu respectively</w:t>
            </w:r>
          </w:p>
          <w:p w14:paraId="01797BC6" w14:textId="20D2909C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38" w:type="dxa"/>
          </w:tcPr>
          <w:p w14:paraId="5F576937" w14:textId="0B13A145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These two variants are the same and affect the two different gene products (p14ARF and P16INK4a) of the</w:t>
            </w:r>
            <w:r w:rsidRPr="002430AD">
              <w:rPr>
                <w:rFonts w:ascii="Calibri" w:hAnsi="Calibri"/>
                <w:i/>
                <w:sz w:val="18"/>
                <w:szCs w:val="18"/>
              </w:rPr>
              <w:t xml:space="preserve"> CDKN2A</w:t>
            </w:r>
            <w:r w:rsidRPr="006A181A">
              <w:rPr>
                <w:rFonts w:ascii="Calibri" w:hAnsi="Calibri"/>
                <w:sz w:val="18"/>
                <w:szCs w:val="18"/>
              </w:rPr>
              <w:t xml:space="preserve"> locus</w:t>
            </w:r>
          </w:p>
        </w:tc>
      </w:tr>
      <w:tr w:rsidR="00726610" w:rsidRPr="006A181A" w14:paraId="61B2DDD5" w14:textId="77777777" w:rsidTr="006A181A">
        <w:tc>
          <w:tcPr>
            <w:tcW w:w="1368" w:type="dxa"/>
          </w:tcPr>
          <w:p w14:paraId="4E82D4AB" w14:textId="2CEF54EB" w:rsidR="00726610" w:rsidRPr="006A181A" w:rsidRDefault="00726610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t>TP53</w:t>
            </w:r>
          </w:p>
        </w:tc>
        <w:tc>
          <w:tcPr>
            <w:tcW w:w="4860" w:type="dxa"/>
          </w:tcPr>
          <w:p w14:paraId="0C257AAB" w14:textId="4396636F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NM_000546.5:c.215_221delCCGTGGCinsGTG</w:t>
            </w:r>
          </w:p>
        </w:tc>
        <w:tc>
          <w:tcPr>
            <w:tcW w:w="3510" w:type="dxa"/>
          </w:tcPr>
          <w:p w14:paraId="604183A9" w14:textId="7B717E8D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p.Pro72Argfs*50</w:t>
            </w:r>
          </w:p>
        </w:tc>
        <w:tc>
          <w:tcPr>
            <w:tcW w:w="3438" w:type="dxa"/>
          </w:tcPr>
          <w:p w14:paraId="14DF9DBB" w14:textId="7FE93116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 xml:space="preserve">At end of </w:t>
            </w:r>
            <w:proofErr w:type="spellStart"/>
            <w:r w:rsidRPr="006A181A">
              <w:rPr>
                <w:rFonts w:ascii="Calibri" w:hAnsi="Calibri"/>
                <w:sz w:val="18"/>
                <w:szCs w:val="18"/>
              </w:rPr>
              <w:t>homopolymer</w:t>
            </w:r>
            <w:proofErr w:type="spellEnd"/>
            <w:r w:rsidRPr="006A181A">
              <w:rPr>
                <w:rFonts w:ascii="Calibri" w:hAnsi="Calibri"/>
                <w:sz w:val="18"/>
                <w:szCs w:val="18"/>
              </w:rPr>
              <w:t xml:space="preserve"> repeat region. </w:t>
            </w:r>
            <w:r w:rsidR="00B63CE9" w:rsidRPr="006A181A">
              <w:rPr>
                <w:rFonts w:ascii="Calibri" w:hAnsi="Calibri"/>
                <w:sz w:val="18"/>
                <w:szCs w:val="18"/>
              </w:rPr>
              <w:t>Complex call</w:t>
            </w:r>
            <w:r w:rsidRPr="006A181A">
              <w:rPr>
                <w:rFonts w:ascii="Calibri" w:hAnsi="Calibri"/>
                <w:sz w:val="18"/>
                <w:szCs w:val="18"/>
              </w:rPr>
              <w:t xml:space="preserve"> - different variant calling algorithms may represent this alteration differently</w:t>
            </w:r>
            <w:r w:rsidR="002430AD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726610" w:rsidRPr="006A181A" w14:paraId="23112E7A" w14:textId="77777777" w:rsidTr="006A181A">
        <w:tc>
          <w:tcPr>
            <w:tcW w:w="1368" w:type="dxa"/>
            <w:tcBorders>
              <w:bottom w:val="single" w:sz="4" w:space="0" w:color="auto"/>
            </w:tcBorders>
          </w:tcPr>
          <w:p w14:paraId="25F5187C" w14:textId="4395EDDB" w:rsidR="00726610" w:rsidRPr="006A181A" w:rsidRDefault="00726610" w:rsidP="006A181A">
            <w:pPr>
              <w:spacing w:line="480" w:lineRule="auto"/>
              <w:rPr>
                <w:rFonts w:ascii="Calibri" w:hAnsi="Calibri"/>
                <w:i/>
                <w:sz w:val="18"/>
                <w:szCs w:val="18"/>
              </w:rPr>
            </w:pPr>
            <w:r w:rsidRPr="006A181A">
              <w:rPr>
                <w:rFonts w:ascii="Calibri" w:hAnsi="Calibri"/>
                <w:i/>
                <w:sz w:val="18"/>
                <w:szCs w:val="18"/>
              </w:rPr>
              <w:t>MSH2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46B91A4C" w14:textId="55DF2D90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NM_000251.2:inv exons 1-7 (“Boland inversion”)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356F615" w14:textId="567B936B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Loss of protein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14:paraId="4632B9DD" w14:textId="1E80C8AF" w:rsidR="00726610" w:rsidRPr="006A181A" w:rsidRDefault="00726610" w:rsidP="006A181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6A181A">
              <w:rPr>
                <w:rFonts w:ascii="Calibri" w:hAnsi="Calibri"/>
                <w:sz w:val="18"/>
                <w:szCs w:val="18"/>
              </w:rPr>
              <w:t>Breakpoints in non-coding</w:t>
            </w:r>
            <w:r w:rsidR="002430AD">
              <w:rPr>
                <w:rFonts w:ascii="Calibri" w:hAnsi="Calibri"/>
                <w:sz w:val="18"/>
                <w:szCs w:val="18"/>
              </w:rPr>
              <w:t xml:space="preserve"> regions, requires specialized b</w:t>
            </w:r>
            <w:r w:rsidRPr="006A181A">
              <w:rPr>
                <w:rFonts w:ascii="Calibri" w:hAnsi="Calibri"/>
                <w:sz w:val="18"/>
                <w:szCs w:val="18"/>
              </w:rPr>
              <w:t>ioinformatics.</w:t>
            </w:r>
          </w:p>
        </w:tc>
      </w:tr>
    </w:tbl>
    <w:p w14:paraId="5CD2B2E2" w14:textId="77777777" w:rsidR="001C3E76" w:rsidRPr="006A181A" w:rsidRDefault="001C3E76" w:rsidP="006A181A">
      <w:pPr>
        <w:spacing w:line="480" w:lineRule="auto"/>
        <w:rPr>
          <w:rFonts w:ascii="Calibri" w:hAnsi="Calibri"/>
          <w:sz w:val="18"/>
          <w:szCs w:val="18"/>
        </w:rPr>
      </w:pPr>
    </w:p>
    <w:p w14:paraId="405C7E92" w14:textId="0CB63AD6" w:rsidR="006A181A" w:rsidRPr="006A181A" w:rsidRDefault="006A181A" w:rsidP="006A181A">
      <w:pPr>
        <w:spacing w:line="48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This table is not comprehensive and does not represent all of known</w:t>
      </w:r>
      <w:r w:rsidRPr="006A181A">
        <w:rPr>
          <w:rFonts w:ascii="Calibri" w:hAnsi="Calibri"/>
          <w:sz w:val="18"/>
          <w:szCs w:val="18"/>
        </w:rPr>
        <w:t xml:space="preserve"> complex, potentially clinically significant sequence variants.  Each of these either requires specialized methods to reliably detect the alteration, or presents complexity in converting NGS variant calls into standardized nomenclature (</w:t>
      </w:r>
      <w:proofErr w:type="spellStart"/>
      <w:r w:rsidR="0091654A">
        <w:rPr>
          <w:rFonts w:ascii="Calibri" w:hAnsi="Calibri"/>
          <w:sz w:val="18"/>
          <w:szCs w:val="18"/>
        </w:rPr>
        <w:t>ie</w:t>
      </w:r>
      <w:proofErr w:type="spellEnd"/>
      <w:r w:rsidR="002430AD">
        <w:rPr>
          <w:rFonts w:ascii="Calibri" w:hAnsi="Calibri"/>
          <w:sz w:val="18"/>
          <w:szCs w:val="18"/>
        </w:rPr>
        <w:t>,</w:t>
      </w:r>
      <w:r w:rsidRPr="006A181A">
        <w:rPr>
          <w:rFonts w:ascii="Calibri" w:hAnsi="Calibri"/>
          <w:sz w:val="18"/>
          <w:szCs w:val="18"/>
        </w:rPr>
        <w:t xml:space="preserve"> HGVS), or both.  For the large structural variants, conventional descriptions rather than HGVS are shown, as is common practice currently, although HGVS is becoming increasingly used for copy number </w:t>
      </w:r>
      <w:r w:rsidRPr="006A181A">
        <w:rPr>
          <w:rFonts w:ascii="Calibri" w:hAnsi="Calibri"/>
          <w:sz w:val="18"/>
          <w:szCs w:val="18"/>
        </w:rPr>
        <w:lastRenderedPageBreak/>
        <w:t xml:space="preserve">alterations.  Some of these variants are larger than 21bp and thus are not specifically within scope of this guideline, but if such variants included in a test’s analytic range then their detection and reporting should be specifically validated. </w:t>
      </w:r>
    </w:p>
    <w:p w14:paraId="00A608A4" w14:textId="77777777" w:rsidR="00C75D17" w:rsidRDefault="00C75D17">
      <w:bookmarkStart w:id="0" w:name="_GoBack"/>
      <w:bookmarkEnd w:id="0"/>
    </w:p>
    <w:sectPr w:rsidR="00C75D17" w:rsidSect="00321CE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495"/>
    <w:rsid w:val="0002418E"/>
    <w:rsid w:val="00050794"/>
    <w:rsid w:val="000C147A"/>
    <w:rsid w:val="00143105"/>
    <w:rsid w:val="00161B9E"/>
    <w:rsid w:val="00174C75"/>
    <w:rsid w:val="001C3E76"/>
    <w:rsid w:val="00223347"/>
    <w:rsid w:val="002306A9"/>
    <w:rsid w:val="002430AD"/>
    <w:rsid w:val="002527EB"/>
    <w:rsid w:val="00255C27"/>
    <w:rsid w:val="00274B13"/>
    <w:rsid w:val="002857CD"/>
    <w:rsid w:val="00291B47"/>
    <w:rsid w:val="002A0E31"/>
    <w:rsid w:val="00321CEA"/>
    <w:rsid w:val="00353FF3"/>
    <w:rsid w:val="003E14B7"/>
    <w:rsid w:val="004178A2"/>
    <w:rsid w:val="00441AC0"/>
    <w:rsid w:val="00487702"/>
    <w:rsid w:val="004D0742"/>
    <w:rsid w:val="005475D0"/>
    <w:rsid w:val="005970CF"/>
    <w:rsid w:val="005B2D29"/>
    <w:rsid w:val="005B679E"/>
    <w:rsid w:val="005F163E"/>
    <w:rsid w:val="006614EE"/>
    <w:rsid w:val="00682B34"/>
    <w:rsid w:val="00686DEB"/>
    <w:rsid w:val="006A15DF"/>
    <w:rsid w:val="006A181A"/>
    <w:rsid w:val="006A283A"/>
    <w:rsid w:val="006F793D"/>
    <w:rsid w:val="00726610"/>
    <w:rsid w:val="007334E5"/>
    <w:rsid w:val="0074770E"/>
    <w:rsid w:val="00762466"/>
    <w:rsid w:val="007B419F"/>
    <w:rsid w:val="007F011F"/>
    <w:rsid w:val="00843498"/>
    <w:rsid w:val="00872693"/>
    <w:rsid w:val="0087277B"/>
    <w:rsid w:val="009040E0"/>
    <w:rsid w:val="0091654A"/>
    <w:rsid w:val="00944D65"/>
    <w:rsid w:val="009D1C5A"/>
    <w:rsid w:val="009E2921"/>
    <w:rsid w:val="009F42C3"/>
    <w:rsid w:val="00A16507"/>
    <w:rsid w:val="00A40C6D"/>
    <w:rsid w:val="00A87CA6"/>
    <w:rsid w:val="00AA061F"/>
    <w:rsid w:val="00AF0F40"/>
    <w:rsid w:val="00B04CCF"/>
    <w:rsid w:val="00B50B3A"/>
    <w:rsid w:val="00B63CE9"/>
    <w:rsid w:val="00B86C3E"/>
    <w:rsid w:val="00BF773C"/>
    <w:rsid w:val="00C34EAA"/>
    <w:rsid w:val="00C75D17"/>
    <w:rsid w:val="00D13D21"/>
    <w:rsid w:val="00D16DC5"/>
    <w:rsid w:val="00D51AC5"/>
    <w:rsid w:val="00D84495"/>
    <w:rsid w:val="00DD3711"/>
    <w:rsid w:val="00DD6CB3"/>
    <w:rsid w:val="00E017F0"/>
    <w:rsid w:val="00E26BC2"/>
    <w:rsid w:val="00E638F8"/>
    <w:rsid w:val="00E76BF0"/>
    <w:rsid w:val="00EA6272"/>
    <w:rsid w:val="00EC2555"/>
    <w:rsid w:val="00EC5AA7"/>
    <w:rsid w:val="00F24988"/>
    <w:rsid w:val="00F306E2"/>
    <w:rsid w:val="00F4737F"/>
    <w:rsid w:val="00F50E79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84F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16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6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6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6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6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3E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857CD"/>
  </w:style>
  <w:style w:type="character" w:styleId="LineNumber">
    <w:name w:val="line number"/>
    <w:basedOn w:val="DefaultParagraphFont"/>
    <w:uiPriority w:val="99"/>
    <w:semiHidden/>
    <w:unhideWhenUsed/>
    <w:rsid w:val="006A18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16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6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6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6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6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3E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857CD"/>
  </w:style>
  <w:style w:type="character" w:styleId="LineNumber">
    <w:name w:val="line number"/>
    <w:basedOn w:val="DefaultParagraphFont"/>
    <w:uiPriority w:val="99"/>
    <w:semiHidden/>
    <w:unhideWhenUsed/>
    <w:rsid w:val="006A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 = '1.0' encoding = 'UTF-8' standalone = 'yes'?>
<Relationships xmlns="http://schemas.openxmlformats.org/package/2006/relationships">
   <Relationship Id="rId1" Type="http://schemas.openxmlformats.org/officeDocument/2006/relationships/styles" Target="styles.xml"/>
   <Relationship Id="rId2" Type="http://schemas.microsoft.com/office/2007/relationships/stylesWithEffects" Target="stylesWithEffects.xml"/>
   <Relationship Id="rId3" Type="http://schemas.openxmlformats.org/officeDocument/2006/relationships/settings" Target="settings.xml"/>
   <Relationship Id="rId4" Type="http://schemas.openxmlformats.org/officeDocument/2006/relationships/webSettings" Target="webSettings.xml"/>
   <Relationship Id="rId5" Type="http://schemas.openxmlformats.org/officeDocument/2006/relationships/fontTable" Target="fontTable.xml"/>
   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Base/>
  <HyperlinksChanged>false</HyperlinksChanged>
  <AppVersion>14.0000</AppVersion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