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Incident Response Playbook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Happy Insurance Brokers (Pty) Ltd — Fictional FSP | Operationalizes the Incident Response Policy (POL-004) | Date: August 2026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playbook provides scenario-specific, step-by-step response procedures for the four incident types most relevant to Happy Insurance Brokers' risk profile, each following the same structure: Detection, Containment, Eradication, Recovery, and Communication.</w:t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Scenario 1: Phishing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Typical Severity: </w:t>
      </w:r>
      <w:r>
        <w:rPr>
          <w:rFonts w:ascii="Arial" w:cs="Arial" w:eastAsia="Arial" w:hAnsi="Arial"/>
          <w:sz w:val="18"/>
          <w:szCs w:val="18"/>
        </w:rPr>
        <w:t xml:space="preserve">Low-Medium (High if credentials/client data compromised)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Primary Owner: </w:t>
      </w:r>
      <w:r>
        <w:rPr>
          <w:rFonts w:ascii="Arial" w:cs="Arial" w:eastAsia="Arial" w:hAnsi="Arial"/>
          <w:sz w:val="18"/>
          <w:szCs w:val="18"/>
        </w:rPr>
        <w:t xml:space="preserve">IT Manager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Escalation: </w:t>
      </w:r>
      <w:r>
        <w:rPr>
          <w:rFonts w:ascii="Arial" w:cs="Arial" w:eastAsia="Arial" w:hAnsi="Arial"/>
          <w:sz w:val="18"/>
          <w:szCs w:val="18"/>
        </w:rPr>
        <w:t xml:space="preserve">Compliance Officer (regulatory) + Managing Director (High/Critical only)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Detection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A staff member reports a suspicious email, or the email system/antivirus flags a phishing attempt.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Indicators: urgent requests for credentials/payment changes, spoofed sender addresses, suspicious links or attachments (see R1, R12).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Containment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Instruct the reporting user not to click any links or open attachments if not already done.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If a link was clicked or credentials entered, immediately disable/reset the affected account and force a password change.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Block the sender domain/address at the email gateway.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Search company-wide for the same email to identify other recipients.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Eradication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Delete the phishing email from all mailboxes where found.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If malware was delivered via attachment, run a full antivirus/EDR scan on the affected device.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Recovery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Restore any affected account to normal operation once password reset and MFA are confirmed active.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Monitor the affected account for 48 hours for unusual activity.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Communication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Notify affected staff and remind the wider team of the specific phishing indicators seen, without naming the individual who clicked.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If client data was potentially exposed, Compliance Officer assesses POPIA notification obligations immediately.</w:t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Scenario 2: Ransomware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Typical Severity: </w:t>
      </w:r>
      <w:r>
        <w:rPr>
          <w:rFonts w:ascii="Arial" w:cs="Arial" w:eastAsia="Arial" w:hAnsi="Arial"/>
          <w:sz w:val="18"/>
          <w:szCs w:val="18"/>
        </w:rPr>
        <w:t xml:space="preserve">High-Critical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Primary Owner: </w:t>
      </w:r>
      <w:r>
        <w:rPr>
          <w:rFonts w:ascii="Arial" w:cs="Arial" w:eastAsia="Arial" w:hAnsi="Arial"/>
          <w:sz w:val="18"/>
          <w:szCs w:val="18"/>
        </w:rPr>
        <w:t xml:space="preserve">IT Manager (technical) + Managing Director (business decision)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Escalation: </w:t>
      </w:r>
      <w:r>
        <w:rPr>
          <w:rFonts w:ascii="Arial" w:cs="Arial" w:eastAsia="Arial" w:hAnsi="Arial"/>
          <w:sz w:val="18"/>
          <w:szCs w:val="18"/>
        </w:rPr>
        <w:t xml:space="preserve">Compliance Officer (regulatory) + Managing Director (High/Critical only)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Detection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Files become inaccessible, renamed, or encrypted; a ransom note appears; antivirus/EDR alerts on ransomware behaviour (see R2).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Containment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Immediately disconnect the affected device(s) from the network (unplug network cable / disable Wi-Fi) - do not power off, to preserve forensic evidence.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Identify and isolate any other devices showing signs of infection or unusual file activity.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Disable shared network drives temporarily to prevent further spread.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</w:t>
      </w:r>
      <w:r>
        <w:rPr>
          <w:rFonts w:ascii="Arial" w:cs="Arial" w:eastAsia="Arial" w:hAnsi="Arial"/>
          <w:sz w:val="20"/>
          <w:szCs w:val="20"/>
        </w:rPr>
        <w:t xml:space="preserve">Do not pay any ransom or engage with attackers without Managing Director and legal counsel involvement.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Eradication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Engage IT support/a specialist to identify the ransomware variant and confirm full removal before reconnecting any device.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Rebuild affected devices from known-clean images where possible rather than trusting a 'cleaned' infected device.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Recovery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Restore affected data from the most recent clean, tested backup (see Risk Treatment Plan R2, R4).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Verify data integrity post-restore before returning systems to production use.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Reconnect systems to the network only after confirming they are clean and patched.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Communication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Compliance Officer assesses whether client data was affected and whether POPIA/FSCA notification is required.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Managing Director approves any external communication; do not confirm or deny details externally until assessed.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Conduct a mandatory post-incident review given this scenario's Critical severity potential.</w:t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Scenario 3: Data Breach (Client PII Exposure)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Typical Severity: </w:t>
      </w:r>
      <w:r>
        <w:rPr>
          <w:rFonts w:ascii="Arial" w:cs="Arial" w:eastAsia="Arial" w:hAnsi="Arial"/>
          <w:sz w:val="18"/>
          <w:szCs w:val="18"/>
        </w:rPr>
        <w:t xml:space="preserve">High-Critical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Primary Owner: </w:t>
      </w:r>
      <w:r>
        <w:rPr>
          <w:rFonts w:ascii="Arial" w:cs="Arial" w:eastAsia="Arial" w:hAnsi="Arial"/>
          <w:sz w:val="18"/>
          <w:szCs w:val="18"/>
        </w:rPr>
        <w:t xml:space="preserve">Compliance Officer (lead) + IT Manager (technical)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Escalation: </w:t>
      </w:r>
      <w:r>
        <w:rPr>
          <w:rFonts w:ascii="Arial" w:cs="Arial" w:eastAsia="Arial" w:hAnsi="Arial"/>
          <w:sz w:val="18"/>
          <w:szCs w:val="18"/>
        </w:rPr>
        <w:t xml:space="preserve">Compliance Officer (regulatory) + Managing Director (High/Critical only)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Detection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Unauthorized access to the CRM or policy admin system is identified; a lost/unencrypted device is reported; a vendor notifies of their own breach affecting shared data (see R1, R5, R8, R11).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Containment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Immediately revoke access for any compromised account or device.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Determine the scope: which records, how many clients, what data fields were exposed.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If the breach originates from a vendor, request full detail from the vendor under the incident clause in their contract (see Vendor Risk Assessment).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Eradication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Close the specific vulnerability that allowed the breach (e.g. enforce MFA if credential-based, patch the exploited system).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Recovery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Confirm no ongoing unauthorized access before considering the incident contained.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Update the affected system's access controls and re-verify with a follow-up check after 7 days.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Communication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Compliance Officer determines POPIA notification obligations to the Information Regulator and affected data subjects without delay, given POPIA's requirement to notify 'as soon as reasonably possible' after a breach is discovered.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Prepare a factual, non-speculative client communication only once scope is confirmed; avoid premature or inconsistent messaging.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Document the full incident timeline and response for the Information Regulator and for the post-incident review.</w:t>
      </w:r>
    </w:p>
    <w:p>
      <w:r>
        <w:br w:type="page"/>
      </w:r>
    </w:p>
    <w:p>
      <w:pPr>
        <w:pStyle w:val="Heading1"/>
        <w:spacing w:after="100" w:before="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Scenario 4: Insider Threat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Typical Severity: </w:t>
      </w:r>
      <w:r>
        <w:rPr>
          <w:rFonts w:ascii="Arial" w:cs="Arial" w:eastAsia="Arial" w:hAnsi="Arial"/>
          <w:sz w:val="18"/>
          <w:szCs w:val="18"/>
        </w:rPr>
        <w:t xml:space="preserve">Medium-High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Primary Owner: </w:t>
      </w:r>
      <w:r>
        <w:rPr>
          <w:rFonts w:ascii="Arial" w:cs="Arial" w:eastAsia="Arial" w:hAnsi="Arial"/>
          <w:sz w:val="18"/>
          <w:szCs w:val="18"/>
        </w:rPr>
        <w:t xml:space="preserve">Compliance Officer + Managing Director</w:t>
      </w:r>
    </w:p>
    <w:p>
      <w:pPr>
        <w:spacing w:after="4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Escalation: </w:t>
      </w:r>
      <w:r>
        <w:rPr>
          <w:rFonts w:ascii="Arial" w:cs="Arial" w:eastAsia="Arial" w:hAnsi="Arial"/>
          <w:sz w:val="18"/>
          <w:szCs w:val="18"/>
        </w:rPr>
        <w:t xml:space="preserve">Compliance Officer (regulatory) + Managing Director (High/Critical only)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Detection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Unusual claims payment patterns, unauthorized data access outside normal role, or a report from a colleague raises suspicion (see R10).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Containment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</w:t>
      </w:r>
      <w:r>
        <w:rPr>
          <w:rFonts w:ascii="Arial" w:cs="Arial" w:eastAsia="Arial" w:hAnsi="Arial"/>
          <w:sz w:val="20"/>
          <w:szCs w:val="20"/>
        </w:rPr>
        <w:t xml:space="preserve">Do not alert the suspected individual prematurely; involve HR and the Managing Director before any direct confrontation.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</w:t>
      </w:r>
      <w:r>
        <w:rPr>
          <w:rFonts w:ascii="Arial" w:cs="Arial" w:eastAsia="Arial" w:hAnsi="Arial"/>
          <w:sz w:val="20"/>
          <w:szCs w:val="20"/>
        </w:rPr>
        <w:t xml:space="preserve">Restrict the individual's system access to the minimum necessary to continue non-sensitive duties, pending investigation, via a documented, authorized process.</w:t>
      </w:r>
    </w:p>
    <w:p>
      <w:pPr>
        <w:spacing w:after="7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</w:t>
      </w:r>
      <w:r>
        <w:rPr>
          <w:rFonts w:ascii="Arial" w:cs="Arial" w:eastAsia="Arial" w:hAnsi="Arial"/>
          <w:sz w:val="20"/>
          <w:szCs w:val="20"/>
        </w:rPr>
        <w:t xml:space="preserve">Preserve relevant logs and records (claims records, access logs, email) before they can be altered or deleted.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Eradication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Once findings are confirmed, revoke access, recover company assets, and take HR/disciplinary action per the Acceptable Use Policy and employment contract terms.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Recovery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Review and tighten segregation of duties in the affected process (e.g. claims assessment vs. payment approval) to prevent recurrence.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Reassign the individual's duties/access to appropriate colleagues without disruption to client service.</w:t>
      </w:r>
    </w:p>
    <w:p>
      <w:pPr>
        <w:pStyle w:val="Heading2"/>
        <w:spacing w:after="90" w:before="18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Communication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Handle internally and confidentially; HR and legal counsel should guide any staff-wide communication to avoid defamation risk.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Compliance Officer assesses whether any client or regulatory notification is triggered by the specific facts (e.g. if client funds or data were affected).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Report to SAPS if criminal conduct (fraud, theft) is confirmed, on Managing Director's authorization.</w:t>
      </w:r>
    </w:p>
    <w:p>
      <w:r>
        <w:br w:type="page"/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Playbook Activation Checklist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For any incident, regardless of scenario, the following applies: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Report immediately via the designated channel (see Incident Response Policy POL-004).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Triage severity within 4 business hours.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Preserve evidence before remediation where possible.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Compliance Officer assesses regulatory notification obligations for every incident involving client data.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Conduct a post-incident review for every Medium severity incident or above.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rFonts w:ascii="Arial" w:cs="Arial" w:eastAsia="Arial" w:hAnsi="Arial"/>
          <w:sz w:val="20"/>
          <w:szCs w:val="20"/>
        </w:rPr>
        <w:t xml:space="preserve">Update the Risk Register if the incident reveals a new or under-rated risk.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6"/>
        <w:szCs w:val="16"/>
      </w:rPr>
      <w:t xml:space="preserve"> of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6"/>
        <w:szCs w:val="16"/>
      </w:rPr>
      <w:t xml:space="preserve">Happy Insurance Brokers — Incident Response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2026-08-17T10:33:11.210Z</dcterms:created>
  <dcterms:modified xsi:type="dcterms:W3CDTF">2026-08-17T10:33:11.210Z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