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F3864"/>
          <w:sz w:val="36"/>
          <w:szCs w:val="36"/>
        </w:rPr>
        <w:t xml:space="preserve">Risk Appetite Statement</w:t>
      </w:r>
    </w:p>
    <w:p>
      <w:pPr>
        <w:spacing w:after="240"/>
      </w:pPr>
      <w:r>
        <w:rPr>
          <w:rFonts w:ascii="Arial" w:cs="Arial" w:eastAsia="Arial" w:hAnsi="Arial"/>
          <w:i/>
          <w:iCs/>
          <w:color w:val="595959"/>
          <w:sz w:val="20"/>
          <w:szCs w:val="20"/>
        </w:rPr>
        <w:t xml:space="preserve">Happy Insurance Brokers (Pty) Ltd — Fictional FSP | Approved by: Board / Managing Director | Date: August 2026 | Review Cycle: Annual</w:t>
      </w:r>
    </w:p>
    <w:p>
      <w:pPr>
        <w:pStyle w:val="Heading1"/>
        <w:spacing w:after="120" w:before="260"/>
      </w:pPr>
      <w:r>
        <w:rPr>
          <w:rFonts w:ascii="Arial" w:cs="Arial" w:eastAsia="Arial" w:hAnsi="Arial"/>
          <w:b/>
          <w:bCs/>
          <w:color w:val="1F3864"/>
          <w:sz w:val="26"/>
          <w:szCs w:val="26"/>
        </w:rPr>
        <w:t xml:space="preserve">1. Purpose</w:t>
      </w:r>
    </w:p>
    <w:p>
      <w:pPr>
        <w:spacing w:after="140"/>
      </w:pPr>
      <w:r>
        <w:rPr>
          <w:rFonts w:ascii="Arial" w:cs="Arial" w:eastAsia="Arial" w:hAnsi="Arial"/>
          <w:sz w:val="21"/>
          <w:szCs w:val="21"/>
        </w:rPr>
        <w:t xml:space="preserve">This Risk Appetite Statement defines the amount and type of risk Happy Insurance Brokers is willing to accept in pursuit of its business objectives. It provides the criteria against which every risk in the Risk Register is judged - without it, a rating of 'High' or 'Critical' is a severity label with no stated business meaning. This statement closes that gap: it explains why a given risk rating requires action versus simple monitoring.</w:t>
      </w:r>
    </w:p>
    <w:p>
      <w:pPr>
        <w:pStyle w:val="Heading1"/>
        <w:spacing w:after="120" w:before="260"/>
      </w:pPr>
      <w:r>
        <w:rPr>
          <w:rFonts w:ascii="Arial" w:cs="Arial" w:eastAsia="Arial" w:hAnsi="Arial"/>
          <w:b/>
          <w:bCs/>
          <w:color w:val="1F3864"/>
          <w:sz w:val="26"/>
          <w:szCs w:val="26"/>
        </w:rPr>
        <w:t xml:space="preserve">2. Risk Appetite by Area</w:t>
      </w:r>
    </w:p>
    <w:p>
      <w:pPr>
        <w:spacing w:after="140"/>
      </w:pPr>
      <w:r>
        <w:rPr>
          <w:rFonts w:ascii="Arial" w:cs="Arial" w:eastAsia="Arial" w:hAnsi="Arial"/>
          <w:sz w:val="21"/>
          <w:szCs w:val="21"/>
        </w:rPr>
        <w:t xml:space="preserve">Appetite is set per risk area rather than as a single organization-wide figure, since tolerance for regulatory risk is necessarily far lower than tolerance for, say, innovation risk:</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1800"/>
        <w:gridCol w:w="4700"/>
      </w:tblGrid>
      <w:tr>
        <w:trPr>
          <w:tblHeader/>
        </w:trPr>
        <w:tc>
          <w:tcPr>
            <w:tcW w:type="dxa" w:w="2500"/>
            <w:shd w:fill="1F3864" w:val="clear"/>
            <w:vAlign w:val="center"/>
          </w:tcPr>
          <w:p>
            <w:pPr>
              <w:jc w:val="center"/>
            </w:pPr>
            <w:r>
              <w:rPr>
                <w:rFonts w:ascii="Arial" w:cs="Arial" w:eastAsia="Arial" w:hAnsi="Arial"/>
                <w:b/>
                <w:bCs/>
                <w:color w:val="FFFFFF"/>
                <w:sz w:val="18"/>
                <w:szCs w:val="18"/>
              </w:rPr>
              <w:t xml:space="preserve">Risk Area</w:t>
            </w:r>
          </w:p>
        </w:tc>
        <w:tc>
          <w:tcPr>
            <w:tcW w:type="dxa" w:w="1800"/>
            <w:shd w:fill="1F3864" w:val="clear"/>
            <w:vAlign w:val="center"/>
          </w:tcPr>
          <w:p>
            <w:pPr>
              <w:jc w:val="center"/>
            </w:pPr>
            <w:r>
              <w:rPr>
                <w:rFonts w:ascii="Arial" w:cs="Arial" w:eastAsia="Arial" w:hAnsi="Arial"/>
                <w:b/>
                <w:bCs/>
                <w:color w:val="FFFFFF"/>
                <w:sz w:val="18"/>
                <w:szCs w:val="18"/>
              </w:rPr>
              <w:t xml:space="preserve">Appetite</w:t>
            </w:r>
          </w:p>
        </w:tc>
        <w:tc>
          <w:tcPr>
            <w:tcW w:type="dxa" w:w="4700"/>
            <w:shd w:fill="1F3864" w:val="clear"/>
            <w:vAlign w:val="center"/>
          </w:tcPr>
          <w:p>
            <w:pPr>
              <w:jc w:val="center"/>
            </w:pPr>
            <w:r>
              <w:rPr>
                <w:rFonts w:ascii="Arial" w:cs="Arial" w:eastAsia="Arial" w:hAnsi="Arial"/>
                <w:b/>
                <w:bCs/>
                <w:color w:val="FFFFFF"/>
                <w:sz w:val="18"/>
                <w:szCs w:val="18"/>
              </w:rPr>
              <w:t xml:space="preserve">Rationale</w:t>
            </w:r>
          </w:p>
        </w:tc>
      </w:tr>
      <w:tr>
        <w:tc>
          <w:tcPr>
            <w:tcW w:type="dxa" w:w="2500"/>
            <w:shd w:fill="FFFFFF" w:val="clear"/>
            <w:vAlign w:val="center"/>
          </w:tcPr>
          <w:p>
            <w:pPr>
              <w:jc w:val="left"/>
            </w:pPr>
            <w:r>
              <w:rPr>
                <w:rFonts w:ascii="Arial" w:cs="Arial" w:eastAsia="Arial" w:hAnsi="Arial"/>
                <w:b/>
                <w:bCs/>
                <w:sz w:val="18"/>
                <w:szCs w:val="18"/>
              </w:rPr>
              <w:t xml:space="preserve">Regulatory Compliance (FAIS, POPIA, TCF)</w:t>
            </w:r>
          </w:p>
        </w:tc>
        <w:tc>
          <w:tcPr>
            <w:tcW w:type="dxa" w:w="1800"/>
            <w:shd w:fill="9DC3E6" w:val="clear"/>
            <w:vAlign w:val="center"/>
          </w:tcPr>
          <w:p>
            <w:pPr>
              <w:jc w:val="center"/>
            </w:pPr>
            <w:r>
              <w:rPr>
                <w:rFonts w:ascii="Arial" w:cs="Arial" w:eastAsia="Arial" w:hAnsi="Arial"/>
                <w:b/>
                <w:bCs/>
                <w:sz w:val="18"/>
                <w:szCs w:val="18"/>
              </w:rPr>
              <w:t xml:space="preserve">Very Low</w:t>
            </w:r>
          </w:p>
        </w:tc>
        <w:tc>
          <w:tcPr>
            <w:tcW w:type="dxa" w:w="4700"/>
            <w:shd w:fill="FFFFFF" w:val="clear"/>
            <w:vAlign w:val="center"/>
          </w:tcPr>
          <w:p>
            <w:pPr>
              <w:jc w:val="left"/>
            </w:pPr>
            <w:r>
              <w:rPr>
                <w:rFonts w:ascii="Arial" w:cs="Arial" w:eastAsia="Arial" w:hAnsi="Arial"/>
                <w:b w:val="false"/>
                <w:bCs w:val="false"/>
                <w:sz w:val="18"/>
                <w:szCs w:val="18"/>
              </w:rPr>
              <w:t xml:space="preserve">As a licensed FSP, any confirmed regulatory breach risks FSCA sanction, licence conditions, or Information Regulator enforcement. The organization will not knowingly accept regulatory non-compliance at any level.</w:t>
            </w:r>
          </w:p>
        </w:tc>
      </w:tr>
      <w:tr>
        <w:tc>
          <w:tcPr>
            <w:tcW w:type="dxa" w:w="2500"/>
            <w:shd w:fill="F2F2F2" w:val="clear"/>
            <w:vAlign w:val="center"/>
          </w:tcPr>
          <w:p>
            <w:pPr>
              <w:jc w:val="left"/>
            </w:pPr>
            <w:r>
              <w:rPr>
                <w:rFonts w:ascii="Arial" w:cs="Arial" w:eastAsia="Arial" w:hAnsi="Arial"/>
                <w:b/>
                <w:bCs/>
                <w:sz w:val="18"/>
                <w:szCs w:val="18"/>
              </w:rPr>
              <w:t xml:space="preserve">Cybersecurity &amp; Data Protection</w:t>
            </w:r>
          </w:p>
        </w:tc>
        <w:tc>
          <w:tcPr>
            <w:tcW w:type="dxa" w:w="1800"/>
            <w:shd w:fill="C6E0B4" w:val="clear"/>
            <w:vAlign w:val="center"/>
          </w:tcPr>
          <w:p>
            <w:pPr>
              <w:jc w:val="center"/>
            </w:pPr>
            <w:r>
              <w:rPr>
                <w:rFonts w:ascii="Arial" w:cs="Arial" w:eastAsia="Arial" w:hAnsi="Arial"/>
                <w:b/>
                <w:bCs/>
                <w:sz w:val="18"/>
                <w:szCs w:val="18"/>
              </w:rPr>
              <w:t xml:space="preserve">Low</w:t>
            </w:r>
          </w:p>
        </w:tc>
        <w:tc>
          <w:tcPr>
            <w:tcW w:type="dxa" w:w="4700"/>
            <w:shd w:fill="F2F2F2" w:val="clear"/>
            <w:vAlign w:val="center"/>
          </w:tcPr>
          <w:p>
            <w:pPr>
              <w:jc w:val="left"/>
            </w:pPr>
            <w:r>
              <w:rPr>
                <w:rFonts w:ascii="Arial" w:cs="Arial" w:eastAsia="Arial" w:hAnsi="Arial"/>
                <w:b w:val="false"/>
                <w:bCs w:val="false"/>
                <w:sz w:val="18"/>
                <w:szCs w:val="18"/>
              </w:rPr>
              <w:t xml:space="preserve">Client PII and financial data are core to the business. Limited residual exposure is accepted only where a control is in active remediation per the Risk Treatment Plan; unmitigated Critical/High cyber risk is not acceptable.</w:t>
            </w:r>
          </w:p>
        </w:tc>
      </w:tr>
      <w:tr>
        <w:tc>
          <w:tcPr>
            <w:tcW w:type="dxa" w:w="2500"/>
            <w:shd w:fill="FFFFFF" w:val="clear"/>
            <w:vAlign w:val="center"/>
          </w:tcPr>
          <w:p>
            <w:pPr>
              <w:jc w:val="left"/>
            </w:pPr>
            <w:r>
              <w:rPr>
                <w:rFonts w:ascii="Arial" w:cs="Arial" w:eastAsia="Arial" w:hAnsi="Arial"/>
                <w:b/>
                <w:bCs/>
                <w:sz w:val="18"/>
                <w:szCs w:val="18"/>
              </w:rPr>
              <w:t xml:space="preserve">Third-Party / Vendor Risk</w:t>
            </w:r>
          </w:p>
        </w:tc>
        <w:tc>
          <w:tcPr>
            <w:tcW w:type="dxa" w:w="1800"/>
            <w:shd w:fill="FFE699" w:val="clear"/>
            <w:vAlign w:val="center"/>
          </w:tcPr>
          <w:p>
            <w:pPr>
              <w:jc w:val="center"/>
            </w:pPr>
            <w:r>
              <w:rPr>
                <w:rFonts w:ascii="Arial" w:cs="Arial" w:eastAsia="Arial" w:hAnsi="Arial"/>
                <w:b/>
                <w:bCs/>
                <w:sz w:val="18"/>
                <w:szCs w:val="18"/>
              </w:rPr>
              <w:t xml:space="preserve">Medium</w:t>
            </w:r>
          </w:p>
        </w:tc>
        <w:tc>
          <w:tcPr>
            <w:tcW w:type="dxa" w:w="4700"/>
            <w:shd w:fill="FFFFFF" w:val="clear"/>
            <w:vAlign w:val="center"/>
          </w:tcPr>
          <w:p>
            <w:pPr>
              <w:jc w:val="left"/>
            </w:pPr>
            <w:r>
              <w:rPr>
                <w:rFonts w:ascii="Arial" w:cs="Arial" w:eastAsia="Arial" w:hAnsi="Arial"/>
                <w:b w:val="false"/>
                <w:bCs w:val="false"/>
                <w:sz w:val="18"/>
                <w:szCs w:val="18"/>
              </w:rPr>
              <w:t xml:space="preserve">Some reliance on vendors (SaaS providers, payment gateway) is unavoidable for a brokerage of this size. Moderate exposure is accepted provided contractual safeguards and periodic due diligence are in place.</w:t>
            </w:r>
          </w:p>
        </w:tc>
      </w:tr>
      <w:tr>
        <w:tc>
          <w:tcPr>
            <w:tcW w:type="dxa" w:w="2500"/>
            <w:shd w:fill="F2F2F2" w:val="clear"/>
            <w:vAlign w:val="center"/>
          </w:tcPr>
          <w:p>
            <w:pPr>
              <w:jc w:val="left"/>
            </w:pPr>
            <w:r>
              <w:rPr>
                <w:rFonts w:ascii="Arial" w:cs="Arial" w:eastAsia="Arial" w:hAnsi="Arial"/>
                <w:b/>
                <w:bCs/>
                <w:sz w:val="18"/>
                <w:szCs w:val="18"/>
              </w:rPr>
              <w:t xml:space="preserve">Operational Risk</w:t>
            </w:r>
          </w:p>
        </w:tc>
        <w:tc>
          <w:tcPr>
            <w:tcW w:type="dxa" w:w="1800"/>
            <w:shd w:fill="FFE699" w:val="clear"/>
            <w:vAlign w:val="center"/>
          </w:tcPr>
          <w:p>
            <w:pPr>
              <w:jc w:val="center"/>
            </w:pPr>
            <w:r>
              <w:rPr>
                <w:rFonts w:ascii="Arial" w:cs="Arial" w:eastAsia="Arial" w:hAnsi="Arial"/>
                <w:b/>
                <w:bCs/>
                <w:sz w:val="18"/>
                <w:szCs w:val="18"/>
              </w:rPr>
              <w:t xml:space="preserve">Medium</w:t>
            </w:r>
          </w:p>
        </w:tc>
        <w:tc>
          <w:tcPr>
            <w:tcW w:type="dxa" w:w="4700"/>
            <w:shd w:fill="F2F2F2" w:val="clear"/>
            <w:vAlign w:val="center"/>
          </w:tcPr>
          <w:p>
            <w:pPr>
              <w:jc w:val="left"/>
            </w:pPr>
            <w:r>
              <w:rPr>
                <w:rFonts w:ascii="Arial" w:cs="Arial" w:eastAsia="Arial" w:hAnsi="Arial"/>
                <w:b w:val="false"/>
                <w:bCs w:val="false"/>
                <w:sz w:val="18"/>
                <w:szCs w:val="18"/>
              </w:rPr>
              <w:t xml:space="preserve">Minor service disruptions (e.g. short outages, manual workarounds) are tolerable provided they do not breach TCF service standards or client commitments.</w:t>
            </w:r>
          </w:p>
        </w:tc>
      </w:tr>
      <w:tr>
        <w:tc>
          <w:tcPr>
            <w:tcW w:type="dxa" w:w="2500"/>
            <w:shd w:fill="FFFFFF" w:val="clear"/>
            <w:vAlign w:val="center"/>
          </w:tcPr>
          <w:p>
            <w:pPr>
              <w:jc w:val="left"/>
            </w:pPr>
            <w:r>
              <w:rPr>
                <w:rFonts w:ascii="Arial" w:cs="Arial" w:eastAsia="Arial" w:hAnsi="Arial"/>
                <w:b/>
                <w:bCs/>
                <w:sz w:val="18"/>
                <w:szCs w:val="18"/>
              </w:rPr>
              <w:t xml:space="preserve">Innovation / New Technology Adoption</w:t>
            </w:r>
          </w:p>
        </w:tc>
        <w:tc>
          <w:tcPr>
            <w:tcW w:type="dxa" w:w="1800"/>
            <w:shd w:fill="F8CBAD" w:val="clear"/>
            <w:vAlign w:val="center"/>
          </w:tcPr>
          <w:p>
            <w:pPr>
              <w:jc w:val="center"/>
            </w:pPr>
            <w:r>
              <w:rPr>
                <w:rFonts w:ascii="Arial" w:cs="Arial" w:eastAsia="Arial" w:hAnsi="Arial"/>
                <w:b/>
                <w:bCs/>
                <w:sz w:val="18"/>
                <w:szCs w:val="18"/>
              </w:rPr>
              <w:t xml:space="preserve">High</w:t>
            </w:r>
          </w:p>
        </w:tc>
        <w:tc>
          <w:tcPr>
            <w:tcW w:type="dxa" w:w="4700"/>
            <w:shd w:fill="FFFFFF" w:val="clear"/>
            <w:vAlign w:val="center"/>
          </w:tcPr>
          <w:p>
            <w:pPr>
              <w:jc w:val="left"/>
            </w:pPr>
            <w:r>
              <w:rPr>
                <w:rFonts w:ascii="Arial" w:cs="Arial" w:eastAsia="Arial" w:hAnsi="Arial"/>
                <w:b w:val="false"/>
                <w:bCs w:val="false"/>
                <w:sz w:val="18"/>
                <w:szCs w:val="18"/>
              </w:rPr>
              <w:t xml:space="preserve">The organization is willing to trial new tools (e.g. new CRM features, automation) to remain competitive, accepting a higher level of short-term uncertainty in exchange for efficiency gains, provided data protection minimums are still met.</w:t>
            </w:r>
          </w:p>
        </w:tc>
      </w:tr>
      <w:tr>
        <w:tc>
          <w:tcPr>
            <w:tcW w:type="dxa" w:w="2500"/>
            <w:shd w:fill="F2F2F2" w:val="clear"/>
            <w:vAlign w:val="center"/>
          </w:tcPr>
          <w:p>
            <w:pPr>
              <w:jc w:val="left"/>
            </w:pPr>
            <w:r>
              <w:rPr>
                <w:rFonts w:ascii="Arial" w:cs="Arial" w:eastAsia="Arial" w:hAnsi="Arial"/>
                <w:b/>
                <w:bCs/>
                <w:sz w:val="18"/>
                <w:szCs w:val="18"/>
              </w:rPr>
              <w:t xml:space="preserve">Reputational Risk</w:t>
            </w:r>
          </w:p>
        </w:tc>
        <w:tc>
          <w:tcPr>
            <w:tcW w:type="dxa" w:w="1800"/>
            <w:shd w:fill="C6E0B4" w:val="clear"/>
            <w:vAlign w:val="center"/>
          </w:tcPr>
          <w:p>
            <w:pPr>
              <w:jc w:val="center"/>
            </w:pPr>
            <w:r>
              <w:rPr>
                <w:rFonts w:ascii="Arial" w:cs="Arial" w:eastAsia="Arial" w:hAnsi="Arial"/>
                <w:b/>
                <w:bCs/>
                <w:sz w:val="18"/>
                <w:szCs w:val="18"/>
              </w:rPr>
              <w:t xml:space="preserve">Low</w:t>
            </w:r>
          </w:p>
        </w:tc>
        <w:tc>
          <w:tcPr>
            <w:tcW w:type="dxa" w:w="4700"/>
            <w:shd w:fill="F2F2F2" w:val="clear"/>
            <w:vAlign w:val="center"/>
          </w:tcPr>
          <w:p>
            <w:pPr>
              <w:jc w:val="left"/>
            </w:pPr>
            <w:r>
              <w:rPr>
                <w:rFonts w:ascii="Arial" w:cs="Arial" w:eastAsia="Arial" w:hAnsi="Arial"/>
                <w:b w:val="false"/>
                <w:bCs w:val="false"/>
                <w:sz w:val="18"/>
                <w:szCs w:val="18"/>
              </w:rPr>
              <w:t xml:space="preserve">As a client-facing brokerage dependent on trust and referrals, the organization has limited tolerance for reputational exposure, though isolated, well-handled complaints are considered normal business risk rather than unacceptable exposure.</w:t>
            </w:r>
          </w:p>
        </w:tc>
      </w:tr>
    </w:tbl>
    <w:p>
      <w:pPr>
        <w:pStyle w:val="Heading1"/>
        <w:spacing w:after="120" w:before="260"/>
      </w:pPr>
      <w:r>
        <w:rPr>
          <w:rFonts w:ascii="Arial" w:cs="Arial" w:eastAsia="Arial" w:hAnsi="Arial"/>
          <w:b/>
          <w:bCs/>
          <w:color w:val="1F3864"/>
          <w:sz w:val="26"/>
          <w:szCs w:val="26"/>
        </w:rPr>
        <w:t xml:space="preserve">3. Risk Tolerance Levels</w:t>
      </w:r>
    </w:p>
    <w:p>
      <w:pPr>
        <w:spacing w:after="140"/>
      </w:pPr>
      <w:r>
        <w:rPr>
          <w:rFonts w:ascii="Arial" w:cs="Arial" w:eastAsia="Arial" w:hAnsi="Arial"/>
          <w:sz w:val="21"/>
          <w:szCs w:val="21"/>
        </w:rPr>
        <w:t xml:space="preserve">Tolerance translates appetite into required action at each risk rating band, using the same Low/Medium/High/Critical scale applied throughout the Risk Register, ISO 27001 Gap Assessment, and Audit Report:</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2800"/>
        <w:gridCol w:w="4400"/>
      </w:tblGrid>
      <w:tr>
        <w:trPr>
          <w:tblHeader/>
        </w:trPr>
        <w:tc>
          <w:tcPr>
            <w:tcW w:type="dxa" w:w="1800"/>
            <w:shd w:fill="1F3864" w:val="clear"/>
            <w:vAlign w:val="center"/>
          </w:tcPr>
          <w:p>
            <w:pPr>
              <w:jc w:val="center"/>
            </w:pPr>
            <w:r>
              <w:rPr>
                <w:rFonts w:ascii="Arial" w:cs="Arial" w:eastAsia="Arial" w:hAnsi="Arial"/>
                <w:b/>
                <w:bCs/>
                <w:color w:val="FFFFFF"/>
                <w:sz w:val="18"/>
                <w:szCs w:val="18"/>
              </w:rPr>
              <w:t xml:space="preserve">Risk Rating</w:t>
            </w:r>
          </w:p>
        </w:tc>
        <w:tc>
          <w:tcPr>
            <w:tcW w:type="dxa" w:w="2800"/>
            <w:shd w:fill="1F3864" w:val="clear"/>
            <w:vAlign w:val="center"/>
          </w:tcPr>
          <w:p>
            <w:pPr>
              <w:jc w:val="center"/>
            </w:pPr>
            <w:r>
              <w:rPr>
                <w:rFonts w:ascii="Arial" w:cs="Arial" w:eastAsia="Arial" w:hAnsi="Arial"/>
                <w:b/>
                <w:bCs/>
                <w:color w:val="FFFFFF"/>
                <w:sz w:val="18"/>
                <w:szCs w:val="18"/>
              </w:rPr>
              <w:t xml:space="preserve">Tolerance</w:t>
            </w:r>
          </w:p>
        </w:tc>
        <w:tc>
          <w:tcPr>
            <w:tcW w:type="dxa" w:w="4400"/>
            <w:shd w:fill="1F3864" w:val="clear"/>
            <w:vAlign w:val="center"/>
          </w:tcPr>
          <w:p>
            <w:pPr>
              <w:jc w:val="center"/>
            </w:pPr>
            <w:r>
              <w:rPr>
                <w:rFonts w:ascii="Arial" w:cs="Arial" w:eastAsia="Arial" w:hAnsi="Arial"/>
                <w:b/>
                <w:bCs/>
                <w:color w:val="FFFFFF"/>
                <w:sz w:val="18"/>
                <w:szCs w:val="18"/>
              </w:rPr>
              <w:t xml:space="preserve">Required Action</w:t>
            </w:r>
          </w:p>
        </w:tc>
      </w:tr>
      <w:tr>
        <w:tc>
          <w:tcPr>
            <w:tcW w:type="dxa" w:w="1800"/>
            <w:shd w:fill="FFFFFF" w:val="clear"/>
            <w:vAlign w:val="center"/>
          </w:tcPr>
          <w:p>
            <w:pPr>
              <w:jc w:val="left"/>
            </w:pPr>
            <w:r>
              <w:rPr>
                <w:rFonts w:ascii="Arial" w:cs="Arial" w:eastAsia="Arial" w:hAnsi="Arial"/>
                <w:b/>
                <w:bCs/>
                <w:sz w:val="18"/>
                <w:szCs w:val="18"/>
              </w:rPr>
              <w:t xml:space="preserve">Critical (16-25)</w:t>
            </w:r>
          </w:p>
        </w:tc>
        <w:tc>
          <w:tcPr>
            <w:tcW w:type="dxa" w:w="2800"/>
            <w:shd w:fill="FFFFFF" w:val="clear"/>
            <w:vAlign w:val="center"/>
          </w:tcPr>
          <w:p>
            <w:pPr>
              <w:jc w:val="left"/>
            </w:pPr>
            <w:r>
              <w:rPr>
                <w:rFonts w:ascii="Arial" w:cs="Arial" w:eastAsia="Arial" w:hAnsi="Arial"/>
                <w:b w:val="false"/>
                <w:bCs w:val="false"/>
                <w:sz w:val="18"/>
                <w:szCs w:val="18"/>
              </w:rPr>
              <w:t xml:space="preserve">Not tolerated under any circumstance</w:t>
            </w:r>
          </w:p>
        </w:tc>
        <w:tc>
          <w:tcPr>
            <w:tcW w:type="dxa" w:w="4400"/>
            <w:shd w:fill="FFFFFF" w:val="clear"/>
            <w:vAlign w:val="center"/>
          </w:tcPr>
          <w:p>
            <w:pPr>
              <w:jc w:val="left"/>
            </w:pPr>
            <w:r>
              <w:rPr>
                <w:rFonts w:ascii="Arial" w:cs="Arial" w:eastAsia="Arial" w:hAnsi="Arial"/>
                <w:b w:val="false"/>
                <w:bCs w:val="false"/>
                <w:sz w:val="18"/>
                <w:szCs w:val="18"/>
              </w:rPr>
              <w:t xml:space="preserve">Immediate escalation to Managing Director; remediation must begin within 30 days regardless of cost or resourcing impact.</w:t>
            </w:r>
          </w:p>
        </w:tc>
      </w:tr>
      <w:tr>
        <w:tc>
          <w:tcPr>
            <w:tcW w:type="dxa" w:w="1800"/>
            <w:shd w:fill="F2F2F2" w:val="clear"/>
            <w:vAlign w:val="center"/>
          </w:tcPr>
          <w:p>
            <w:pPr>
              <w:jc w:val="left"/>
            </w:pPr>
            <w:r>
              <w:rPr>
                <w:rFonts w:ascii="Arial" w:cs="Arial" w:eastAsia="Arial" w:hAnsi="Arial"/>
                <w:b/>
                <w:bCs/>
                <w:sz w:val="18"/>
                <w:szCs w:val="18"/>
              </w:rPr>
              <w:t xml:space="preserve">High (10-15)</w:t>
            </w:r>
          </w:p>
        </w:tc>
        <w:tc>
          <w:tcPr>
            <w:tcW w:type="dxa" w:w="2800"/>
            <w:shd w:fill="F2F2F2" w:val="clear"/>
            <w:vAlign w:val="center"/>
          </w:tcPr>
          <w:p>
            <w:pPr>
              <w:jc w:val="left"/>
            </w:pPr>
            <w:r>
              <w:rPr>
                <w:rFonts w:ascii="Arial" w:cs="Arial" w:eastAsia="Arial" w:hAnsi="Arial"/>
                <w:b w:val="false"/>
                <w:bCs w:val="false"/>
                <w:sz w:val="18"/>
                <w:szCs w:val="18"/>
              </w:rPr>
              <w:t xml:space="preserve">Tolerated only with an active, time-bound treatment plan</w:t>
            </w:r>
          </w:p>
        </w:tc>
        <w:tc>
          <w:tcPr>
            <w:tcW w:type="dxa" w:w="4400"/>
            <w:shd w:fill="F2F2F2" w:val="clear"/>
            <w:vAlign w:val="center"/>
          </w:tcPr>
          <w:p>
            <w:pPr>
              <w:jc w:val="left"/>
            </w:pPr>
            <w:r>
              <w:rPr>
                <w:rFonts w:ascii="Arial" w:cs="Arial" w:eastAsia="Arial" w:hAnsi="Arial"/>
                <w:b w:val="false"/>
                <w:bCs w:val="false"/>
                <w:sz w:val="18"/>
                <w:szCs w:val="18"/>
              </w:rPr>
              <w:t xml:space="preserve">Must appear in the Risk Treatment Plan with an owner and target date within 90 days; Risk Committee monitors monthly.</w:t>
            </w:r>
          </w:p>
        </w:tc>
      </w:tr>
      <w:tr>
        <w:tc>
          <w:tcPr>
            <w:tcW w:type="dxa" w:w="1800"/>
            <w:shd w:fill="FFFFFF" w:val="clear"/>
            <w:vAlign w:val="center"/>
          </w:tcPr>
          <w:p>
            <w:pPr>
              <w:jc w:val="left"/>
            </w:pPr>
            <w:r>
              <w:rPr>
                <w:rFonts w:ascii="Arial" w:cs="Arial" w:eastAsia="Arial" w:hAnsi="Arial"/>
                <w:b/>
                <w:bCs/>
                <w:sz w:val="18"/>
                <w:szCs w:val="18"/>
              </w:rPr>
              <w:t xml:space="preserve">Medium (5-9)</w:t>
            </w:r>
          </w:p>
        </w:tc>
        <w:tc>
          <w:tcPr>
            <w:tcW w:type="dxa" w:w="2800"/>
            <w:shd w:fill="FFFFFF" w:val="clear"/>
            <w:vAlign w:val="center"/>
          </w:tcPr>
          <w:p>
            <w:pPr>
              <w:jc w:val="left"/>
            </w:pPr>
            <w:r>
              <w:rPr>
                <w:rFonts w:ascii="Arial" w:cs="Arial" w:eastAsia="Arial" w:hAnsi="Arial"/>
                <w:b w:val="false"/>
                <w:bCs w:val="false"/>
                <w:sz w:val="18"/>
                <w:szCs w:val="18"/>
              </w:rPr>
              <w:t xml:space="preserve">Tolerated with standard monitoring</w:t>
            </w:r>
          </w:p>
        </w:tc>
        <w:tc>
          <w:tcPr>
            <w:tcW w:type="dxa" w:w="4400"/>
            <w:shd w:fill="FFFFFF" w:val="clear"/>
            <w:vAlign w:val="center"/>
          </w:tcPr>
          <w:p>
            <w:pPr>
              <w:jc w:val="left"/>
            </w:pPr>
            <w:r>
              <w:rPr>
                <w:rFonts w:ascii="Arial" w:cs="Arial" w:eastAsia="Arial" w:hAnsi="Arial"/>
                <w:b w:val="false"/>
                <w:bCs w:val="false"/>
                <w:sz w:val="18"/>
                <w:szCs w:val="18"/>
              </w:rPr>
              <w:t xml:space="preserve">Reviewed at quarterly Risk Committee meetings; treatment plan expected but timeline is flexible.</w:t>
            </w:r>
          </w:p>
        </w:tc>
      </w:tr>
      <w:tr>
        <w:tc>
          <w:tcPr>
            <w:tcW w:type="dxa" w:w="1800"/>
            <w:shd w:fill="F2F2F2" w:val="clear"/>
            <w:vAlign w:val="center"/>
          </w:tcPr>
          <w:p>
            <w:pPr>
              <w:jc w:val="left"/>
            </w:pPr>
            <w:r>
              <w:rPr>
                <w:rFonts w:ascii="Arial" w:cs="Arial" w:eastAsia="Arial" w:hAnsi="Arial"/>
                <w:b/>
                <w:bCs/>
                <w:sz w:val="18"/>
                <w:szCs w:val="18"/>
              </w:rPr>
              <w:t xml:space="preserve">Low (1-4)</w:t>
            </w:r>
          </w:p>
        </w:tc>
        <w:tc>
          <w:tcPr>
            <w:tcW w:type="dxa" w:w="2800"/>
            <w:shd w:fill="F2F2F2" w:val="clear"/>
            <w:vAlign w:val="center"/>
          </w:tcPr>
          <w:p>
            <w:pPr>
              <w:jc w:val="left"/>
            </w:pPr>
            <w:r>
              <w:rPr>
                <w:rFonts w:ascii="Arial" w:cs="Arial" w:eastAsia="Arial" w:hAnsi="Arial"/>
                <w:b w:val="false"/>
                <w:bCs w:val="false"/>
                <w:sz w:val="18"/>
                <w:szCs w:val="18"/>
              </w:rPr>
              <w:t xml:space="preserve">Accepted as normal business risk</w:t>
            </w:r>
          </w:p>
        </w:tc>
        <w:tc>
          <w:tcPr>
            <w:tcW w:type="dxa" w:w="4400"/>
            <w:shd w:fill="F2F2F2" w:val="clear"/>
            <w:vAlign w:val="center"/>
          </w:tcPr>
          <w:p>
            <w:pPr>
              <w:jc w:val="left"/>
            </w:pPr>
            <w:r>
              <w:rPr>
                <w:rFonts w:ascii="Arial" w:cs="Arial" w:eastAsia="Arial" w:hAnsi="Arial"/>
                <w:b w:val="false"/>
                <w:bCs w:val="false"/>
                <w:sz w:val="18"/>
                <w:szCs w:val="18"/>
              </w:rPr>
              <w:t xml:space="preserve">Logged in the Risk Register; reviewed annually or if circumstances change.</w:t>
            </w:r>
          </w:p>
        </w:tc>
      </w:tr>
    </w:tbl>
    <w:p>
      <w:pPr>
        <w:pStyle w:val="Heading1"/>
        <w:spacing w:after="120" w:before="260"/>
      </w:pPr>
      <w:r>
        <w:rPr>
          <w:rFonts w:ascii="Arial" w:cs="Arial" w:eastAsia="Arial" w:hAnsi="Arial"/>
          <w:b/>
          <w:bCs/>
          <w:color w:val="1F3864"/>
          <w:sz w:val="26"/>
          <w:szCs w:val="26"/>
        </w:rPr>
        <w:t xml:space="preserve">4. Applying Appetite to Existing Risks</w:t>
      </w:r>
    </w:p>
    <w:p>
      <w:pPr>
        <w:spacing w:after="140"/>
      </w:pPr>
      <w:r>
        <w:rPr>
          <w:rFonts w:ascii="Arial" w:cs="Arial" w:eastAsia="Arial" w:hAnsi="Arial"/>
          <w:sz w:val="21"/>
          <w:szCs w:val="21"/>
        </w:rPr>
        <w:t xml:space="preserve">The table below demonstrates how appetite explains the urgency already assigned to specific risks in the Risk Register - this is the missing link between a risk's rating and why it was prioritised the way it was:</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1400"/>
        <w:gridCol w:w="2200"/>
        <w:gridCol w:w="2800"/>
      </w:tblGrid>
      <w:tr>
        <w:trPr>
          <w:tblHeader/>
        </w:trPr>
        <w:tc>
          <w:tcPr>
            <w:tcW w:type="dxa" w:w="2600"/>
            <w:shd w:fill="1F3864" w:val="clear"/>
            <w:vAlign w:val="center"/>
          </w:tcPr>
          <w:p>
            <w:pPr>
              <w:jc w:val="center"/>
            </w:pPr>
            <w:r>
              <w:rPr>
                <w:rFonts w:ascii="Arial" w:cs="Arial" w:eastAsia="Arial" w:hAnsi="Arial"/>
                <w:b/>
                <w:bCs/>
                <w:color w:val="FFFFFF"/>
                <w:sz w:val="18"/>
                <w:szCs w:val="18"/>
              </w:rPr>
              <w:t xml:space="preserve">Risk</w:t>
            </w:r>
          </w:p>
        </w:tc>
        <w:tc>
          <w:tcPr>
            <w:tcW w:type="dxa" w:w="1400"/>
            <w:shd w:fill="1F3864" w:val="clear"/>
            <w:vAlign w:val="center"/>
          </w:tcPr>
          <w:p>
            <w:pPr>
              <w:jc w:val="center"/>
            </w:pPr>
            <w:r>
              <w:rPr>
                <w:rFonts w:ascii="Arial" w:cs="Arial" w:eastAsia="Arial" w:hAnsi="Arial"/>
                <w:b/>
                <w:bCs/>
                <w:color w:val="FFFFFF"/>
                <w:sz w:val="18"/>
                <w:szCs w:val="18"/>
              </w:rPr>
              <w:t xml:space="preserve">Rating</w:t>
            </w:r>
          </w:p>
        </w:tc>
        <w:tc>
          <w:tcPr>
            <w:tcW w:type="dxa" w:w="2200"/>
            <w:shd w:fill="1F3864" w:val="clear"/>
            <w:vAlign w:val="center"/>
          </w:tcPr>
          <w:p>
            <w:pPr>
              <w:jc w:val="center"/>
            </w:pPr>
            <w:r>
              <w:rPr>
                <w:rFonts w:ascii="Arial" w:cs="Arial" w:eastAsia="Arial" w:hAnsi="Arial"/>
                <w:b/>
                <w:bCs/>
                <w:color w:val="FFFFFF"/>
                <w:sz w:val="18"/>
                <w:szCs w:val="18"/>
              </w:rPr>
              <w:t xml:space="preserve">Appetite Area</w:t>
            </w:r>
          </w:p>
        </w:tc>
        <w:tc>
          <w:tcPr>
            <w:tcW w:type="dxa" w:w="2800"/>
            <w:shd w:fill="1F3864" w:val="clear"/>
            <w:vAlign w:val="center"/>
          </w:tcPr>
          <w:p>
            <w:pPr>
              <w:jc w:val="center"/>
            </w:pPr>
            <w:r>
              <w:rPr>
                <w:rFonts w:ascii="Arial" w:cs="Arial" w:eastAsia="Arial" w:hAnsi="Arial"/>
                <w:b/>
                <w:bCs/>
                <w:color w:val="FFFFFF"/>
                <w:sz w:val="18"/>
                <w:szCs w:val="18"/>
              </w:rPr>
              <w:t xml:space="preserve">Why This Exceeds Appetite</w:t>
            </w:r>
          </w:p>
        </w:tc>
      </w:tr>
      <w:tr>
        <w:tc>
          <w:tcPr>
            <w:tcW w:type="dxa" w:w="2600"/>
            <w:shd w:fill="FFFFFF" w:val="clear"/>
            <w:vAlign w:val="center"/>
          </w:tcPr>
          <w:p>
            <w:pPr>
              <w:jc w:val="left"/>
            </w:pPr>
            <w:r>
              <w:rPr>
                <w:rFonts w:ascii="Arial" w:cs="Arial" w:eastAsia="Arial" w:hAnsi="Arial"/>
                <w:b/>
                <w:bCs/>
                <w:sz w:val="18"/>
                <w:szCs w:val="18"/>
              </w:rPr>
              <w:t xml:space="preserve">R1 - Client CRM data breach (phishing, no MFA)</w:t>
            </w:r>
          </w:p>
        </w:tc>
        <w:tc>
          <w:tcPr>
            <w:tcW w:type="dxa" w:w="1400"/>
            <w:shd w:fill="FFFFFF" w:val="clear"/>
            <w:vAlign w:val="center"/>
          </w:tcPr>
          <w:p>
            <w:pPr>
              <w:jc w:val="center"/>
            </w:pPr>
            <w:r>
              <w:rPr>
                <w:rFonts w:ascii="Arial" w:cs="Arial" w:eastAsia="Arial" w:hAnsi="Arial"/>
                <w:b/>
                <w:bCs/>
                <w:sz w:val="18"/>
                <w:szCs w:val="18"/>
              </w:rPr>
              <w:t xml:space="preserve">Critical</w:t>
            </w:r>
          </w:p>
        </w:tc>
        <w:tc>
          <w:tcPr>
            <w:tcW w:type="dxa" w:w="2200"/>
            <w:shd w:fill="FFFFFF" w:val="clear"/>
            <w:vAlign w:val="center"/>
          </w:tcPr>
          <w:p>
            <w:pPr>
              <w:jc w:val="left"/>
            </w:pPr>
            <w:r>
              <w:rPr>
                <w:rFonts w:ascii="Arial" w:cs="Arial" w:eastAsia="Arial" w:hAnsi="Arial"/>
                <w:b w:val="false"/>
                <w:bCs w:val="false"/>
                <w:sz w:val="18"/>
                <w:szCs w:val="18"/>
              </w:rPr>
              <w:t xml:space="preserve">Cybersecurity (Low) + Regulatory (Very Low)</w:t>
            </w:r>
          </w:p>
        </w:tc>
        <w:tc>
          <w:tcPr>
            <w:tcW w:type="dxa" w:w="2800"/>
            <w:shd w:fill="FFFFFF" w:val="clear"/>
            <w:vAlign w:val="center"/>
          </w:tcPr>
          <w:p>
            <w:pPr>
              <w:jc w:val="left"/>
            </w:pPr>
            <w:r>
              <w:rPr>
                <w:rFonts w:ascii="Arial" w:cs="Arial" w:eastAsia="Arial" w:hAnsi="Arial"/>
                <w:b w:val="false"/>
                <w:bCs w:val="false"/>
                <w:sz w:val="18"/>
                <w:szCs w:val="18"/>
              </w:rPr>
              <w:t xml:space="preserve">A Critical rating in an area with Very Low/Low appetite means this risk is automatically outside tolerance - it cannot simply be logged and monitored; it requires immediate treatment.</w:t>
            </w:r>
          </w:p>
        </w:tc>
      </w:tr>
      <w:tr>
        <w:tc>
          <w:tcPr>
            <w:tcW w:type="dxa" w:w="2600"/>
            <w:shd w:fill="F2F2F2" w:val="clear"/>
            <w:vAlign w:val="center"/>
          </w:tcPr>
          <w:p>
            <w:pPr>
              <w:jc w:val="left"/>
            </w:pPr>
            <w:r>
              <w:rPr>
                <w:rFonts w:ascii="Arial" w:cs="Arial" w:eastAsia="Arial" w:hAnsi="Arial"/>
                <w:b/>
                <w:bCs/>
                <w:sz w:val="18"/>
                <w:szCs w:val="18"/>
              </w:rPr>
              <w:t xml:space="preserve">R5 - POPIA non-compliance</w:t>
            </w:r>
          </w:p>
        </w:tc>
        <w:tc>
          <w:tcPr>
            <w:tcW w:type="dxa" w:w="1400"/>
            <w:shd w:fill="F2F2F2" w:val="clear"/>
            <w:vAlign w:val="center"/>
          </w:tcPr>
          <w:p>
            <w:pPr>
              <w:jc w:val="center"/>
            </w:pPr>
            <w:r>
              <w:rPr>
                <w:rFonts w:ascii="Arial" w:cs="Arial" w:eastAsia="Arial" w:hAnsi="Arial"/>
                <w:b/>
                <w:bCs/>
                <w:sz w:val="18"/>
                <w:szCs w:val="18"/>
              </w:rPr>
              <w:t xml:space="preserve">Critical</w:t>
            </w:r>
          </w:p>
        </w:tc>
        <w:tc>
          <w:tcPr>
            <w:tcW w:type="dxa" w:w="2200"/>
            <w:shd w:fill="F2F2F2" w:val="clear"/>
            <w:vAlign w:val="center"/>
          </w:tcPr>
          <w:p>
            <w:pPr>
              <w:jc w:val="left"/>
            </w:pPr>
            <w:r>
              <w:rPr>
                <w:rFonts w:ascii="Arial" w:cs="Arial" w:eastAsia="Arial" w:hAnsi="Arial"/>
                <w:b w:val="false"/>
                <w:bCs w:val="false"/>
                <w:sz w:val="18"/>
                <w:szCs w:val="18"/>
              </w:rPr>
              <w:t xml:space="preserve">Regulatory Compliance (Very Low)</w:t>
            </w:r>
          </w:p>
        </w:tc>
        <w:tc>
          <w:tcPr>
            <w:tcW w:type="dxa" w:w="2800"/>
            <w:shd w:fill="F2F2F2" w:val="clear"/>
            <w:vAlign w:val="center"/>
          </w:tcPr>
          <w:p>
            <w:pPr>
              <w:jc w:val="left"/>
            </w:pPr>
            <w:r>
              <w:rPr>
                <w:rFonts w:ascii="Arial" w:cs="Arial" w:eastAsia="Arial" w:hAnsi="Arial"/>
                <w:b w:val="false"/>
                <w:bCs w:val="false"/>
                <w:sz w:val="18"/>
                <w:szCs w:val="18"/>
              </w:rPr>
              <w:t xml:space="preserve">Any rating above Low in this area breaches appetite by definition, since the organization's stated appetite for regulatory risk is Very Low.</w:t>
            </w:r>
          </w:p>
        </w:tc>
      </w:tr>
      <w:tr>
        <w:tc>
          <w:tcPr>
            <w:tcW w:type="dxa" w:w="2600"/>
            <w:shd w:fill="FFFFFF" w:val="clear"/>
            <w:vAlign w:val="center"/>
          </w:tcPr>
          <w:p>
            <w:pPr>
              <w:jc w:val="left"/>
            </w:pPr>
            <w:r>
              <w:rPr>
                <w:rFonts w:ascii="Arial" w:cs="Arial" w:eastAsia="Arial" w:hAnsi="Arial"/>
                <w:b/>
                <w:bCs/>
                <w:sz w:val="18"/>
                <w:szCs w:val="18"/>
              </w:rPr>
              <w:t xml:space="preserve">R13 - Reputational risk (social media complaints)</w:t>
            </w:r>
          </w:p>
        </w:tc>
        <w:tc>
          <w:tcPr>
            <w:tcW w:type="dxa" w:w="1400"/>
            <w:shd w:fill="FFFFFF" w:val="clear"/>
            <w:vAlign w:val="center"/>
          </w:tcPr>
          <w:p>
            <w:pPr>
              <w:jc w:val="center"/>
            </w:pPr>
            <w:r>
              <w:rPr>
                <w:rFonts w:ascii="Arial" w:cs="Arial" w:eastAsia="Arial" w:hAnsi="Arial"/>
                <w:b/>
                <w:bCs/>
                <w:sz w:val="18"/>
                <w:szCs w:val="18"/>
              </w:rPr>
              <w:t xml:space="preserve">Medium</w:t>
            </w:r>
          </w:p>
        </w:tc>
        <w:tc>
          <w:tcPr>
            <w:tcW w:type="dxa" w:w="2200"/>
            <w:shd w:fill="FFFFFF" w:val="clear"/>
            <w:vAlign w:val="center"/>
          </w:tcPr>
          <w:p>
            <w:pPr>
              <w:jc w:val="left"/>
            </w:pPr>
            <w:r>
              <w:rPr>
                <w:rFonts w:ascii="Arial" w:cs="Arial" w:eastAsia="Arial" w:hAnsi="Arial"/>
                <w:b w:val="false"/>
                <w:bCs w:val="false"/>
                <w:sz w:val="18"/>
                <w:szCs w:val="18"/>
              </w:rPr>
              <w:t xml:space="preserve">Reputational (Low)</w:t>
            </w:r>
          </w:p>
        </w:tc>
        <w:tc>
          <w:tcPr>
            <w:tcW w:type="dxa" w:w="2800"/>
            <w:shd w:fill="FFFFFF" w:val="clear"/>
            <w:vAlign w:val="center"/>
          </w:tcPr>
          <w:p>
            <w:pPr>
              <w:jc w:val="left"/>
            </w:pPr>
            <w:r>
              <w:rPr>
                <w:rFonts w:ascii="Arial" w:cs="Arial" w:eastAsia="Arial" w:hAnsi="Arial"/>
                <w:b w:val="false"/>
                <w:bCs w:val="false"/>
                <w:sz w:val="18"/>
                <w:szCs w:val="18"/>
              </w:rPr>
              <w:t xml:space="preserve">A Medium rating in a Low-appetite area is above tolerance but not at Critical urgency - consistent with its 90-day (not 30-day) treatment timeline.</w:t>
            </w:r>
          </w:p>
        </w:tc>
      </w:tr>
      <w:tr>
        <w:tc>
          <w:tcPr>
            <w:tcW w:type="dxa" w:w="2600"/>
            <w:shd w:fill="F2F2F2" w:val="clear"/>
            <w:vAlign w:val="center"/>
          </w:tcPr>
          <w:p>
            <w:pPr>
              <w:jc w:val="left"/>
            </w:pPr>
            <w:r>
              <w:rPr>
                <w:rFonts w:ascii="Arial" w:cs="Arial" w:eastAsia="Arial" w:hAnsi="Arial"/>
                <w:b/>
                <w:bCs/>
                <w:sz w:val="18"/>
                <w:szCs w:val="18"/>
              </w:rPr>
              <w:t xml:space="preserve">R14 - Key-person risk (single Compliance Officer)</w:t>
            </w:r>
          </w:p>
        </w:tc>
        <w:tc>
          <w:tcPr>
            <w:tcW w:type="dxa" w:w="1400"/>
            <w:shd w:fill="F2F2F2" w:val="clear"/>
            <w:vAlign w:val="center"/>
          </w:tcPr>
          <w:p>
            <w:pPr>
              <w:jc w:val="center"/>
            </w:pPr>
            <w:r>
              <w:rPr>
                <w:rFonts w:ascii="Arial" w:cs="Arial" w:eastAsia="Arial" w:hAnsi="Arial"/>
                <w:b/>
                <w:bCs/>
                <w:sz w:val="18"/>
                <w:szCs w:val="18"/>
              </w:rPr>
              <w:t xml:space="preserve">Medium</w:t>
            </w:r>
          </w:p>
        </w:tc>
        <w:tc>
          <w:tcPr>
            <w:tcW w:type="dxa" w:w="2200"/>
            <w:shd w:fill="F2F2F2" w:val="clear"/>
            <w:vAlign w:val="center"/>
          </w:tcPr>
          <w:p>
            <w:pPr>
              <w:jc w:val="left"/>
            </w:pPr>
            <w:r>
              <w:rPr>
                <w:rFonts w:ascii="Arial" w:cs="Arial" w:eastAsia="Arial" w:hAnsi="Arial"/>
                <w:b w:val="false"/>
                <w:bCs w:val="false"/>
                <w:sz w:val="18"/>
                <w:szCs w:val="18"/>
              </w:rPr>
              <w:t xml:space="preserve">Operational (Medium)</w:t>
            </w:r>
          </w:p>
        </w:tc>
        <w:tc>
          <w:tcPr>
            <w:tcW w:type="dxa" w:w="2800"/>
            <w:shd w:fill="F2F2F2" w:val="clear"/>
            <w:vAlign w:val="center"/>
          </w:tcPr>
          <w:p>
            <w:pPr>
              <w:jc w:val="left"/>
            </w:pPr>
            <w:r>
              <w:rPr>
                <w:rFonts w:ascii="Arial" w:cs="Arial" w:eastAsia="Arial" w:hAnsi="Arial"/>
                <w:b w:val="false"/>
                <w:bCs w:val="false"/>
                <w:sz w:val="18"/>
                <w:szCs w:val="18"/>
              </w:rPr>
              <w:t xml:space="preserve">A Medium rating in a Medium-appetite area is within tolerance, which is why R14 is treated on a standard rather than urgent timeline despite being a real gap.</w:t>
            </w:r>
          </w:p>
        </w:tc>
      </w:tr>
    </w:tbl>
    <w:p>
      <w:pPr>
        <w:pStyle w:val="Heading1"/>
        <w:spacing w:after="120" w:before="260"/>
      </w:pPr>
      <w:r>
        <w:rPr>
          <w:rFonts w:ascii="Arial" w:cs="Arial" w:eastAsia="Arial" w:hAnsi="Arial"/>
          <w:b/>
          <w:bCs/>
          <w:color w:val="1F3864"/>
          <w:sz w:val="26"/>
          <w:szCs w:val="26"/>
        </w:rPr>
        <w:t xml:space="preserve">5. Governance</w:t>
      </w:r>
    </w:p>
    <w:p>
      <w:pPr>
        <w:spacing w:after="140"/>
      </w:pPr>
      <w:r>
        <w:rPr>
          <w:rFonts w:ascii="Arial" w:cs="Arial" w:eastAsia="Arial" w:hAnsi="Arial"/>
          <w:sz w:val="21"/>
          <w:szCs w:val="21"/>
        </w:rPr>
        <w:t xml:space="preserve">This statement is approved by the Board (represented by the Managing Director for a company of this size) and reviewed annually, or immediately following any material change in the regulatory environment, business strategy, or a significant risk event. The Risk Committee (see Governance Charter) is responsible for confirming that risk ratings and treatment timelines in the Risk Register remain consistent with this statement.</w:t>
      </w:r>
    </w:p>
    <w:p>
      <w:pPr>
        <w:spacing w:after="140"/>
      </w:pPr>
      <w:r>
        <w:rPr>
          <w:rFonts w:ascii="Arial" w:cs="Arial" w:eastAsia="Arial" w:hAnsi="Arial"/>
          <w:sz w:val="21"/>
          <w:szCs w:val="21"/>
        </w:rPr>
        <w:t xml:space="preserve">Any risk rated above its stated appetite level, and not yet under active treatment, must be escalated to the Risk Committee at the next scheduled meeting, or immediately if rated Critical.</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Happy Insurance Brokers — Risk Appetite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2026-08-18T10:31:26.401Z</dcterms:created>
  <dcterms:modified xsi:type="dcterms:W3CDTF">2026-08-18T10:31:26.424Z</dcterms:modified>
</cp:coreProperties>
</file>

<file path=docProps/custom.xml><?xml version="1.0" encoding="utf-8"?>
<Properties xmlns="http://schemas.openxmlformats.org/officeDocument/2006/custom-properties" xmlns:vt="http://schemas.openxmlformats.org/officeDocument/2006/docPropsVTypes"/>
</file>