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F3864"/>
          <w:sz w:val="36"/>
          <w:szCs w:val="36"/>
        </w:rPr>
        <w:t xml:space="preserve">ISO/IEC 27001:2022 Gap Assessment</w:t>
      </w:r>
    </w:p>
    <w:p>
      <w:pPr>
        <w:spacing w:after="240"/>
      </w:pPr>
      <w:r>
        <w:rPr>
          <w:rFonts w:ascii="Arial" w:cs="Arial" w:eastAsia="Arial" w:hAnsi="Arial"/>
          <w:i/>
          <w:iCs/>
          <w:color w:val="595959"/>
          <w:sz w:val="20"/>
          <w:szCs w:val="20"/>
        </w:rPr>
        <w:t xml:space="preserve">Happy Insurance Brokers (Pty) Ltd — Fictional FSP | Prepared by: Compliance Officer | Date: August 2026</w:t>
      </w:r>
    </w:p>
    <w:p>
      <w:pPr>
        <w:pStyle w:val="Heading1"/>
        <w:spacing w:after="120" w:before="260"/>
      </w:pPr>
      <w:r>
        <w:rPr>
          <w:rFonts w:ascii="Arial" w:cs="Arial" w:eastAsia="Arial" w:hAnsi="Arial"/>
          <w:b/>
          <w:bCs/>
          <w:color w:val="1F3864"/>
          <w:sz w:val="26"/>
          <w:szCs w:val="26"/>
        </w:rPr>
        <w:t xml:space="preserve">1. Purpose &amp; Scope</w:t>
      </w:r>
    </w:p>
    <w:p>
      <w:pPr>
        <w:spacing w:after="140"/>
      </w:pPr>
      <w:r>
        <w:rPr>
          <w:rFonts w:ascii="Arial" w:cs="Arial" w:eastAsia="Arial" w:hAnsi="Arial"/>
          <w:sz w:val="21"/>
          <w:szCs w:val="21"/>
        </w:rPr>
        <w:t xml:space="preserve">This Gap Assessment evaluates Happy Insurance Brokers' current information security posture against all 93 controls in ISO/IEC 27001:2022 Annex A. It builds directly on the organization's Risk Register and ISO 27001 Control Mapping produced in August 2026, extending that risk-led view into a full, control-by-control assessment suitable for ISMS planning and certification readiness.</w:t>
      </w:r>
    </w:p>
    <w:p>
      <w:pPr>
        <w:spacing w:after="140"/>
      </w:pPr>
      <w:r>
        <w:rPr>
          <w:rFonts w:ascii="Arial" w:cs="Arial" w:eastAsia="Arial" w:hAnsi="Arial"/>
          <w:sz w:val="21"/>
          <w:szCs w:val="21"/>
        </w:rPr>
        <w:t xml:space="preserve">Scope covers all four Annex A themes: Organizational (37 controls), People (8 controls), Physical (14 controls), and Technological (34 controls). Nine controls were assessed as Not Applicable, reflecting that the brokerage does not develop software in-house and instead uses commercial/SaaS systems (CRM and policy administration platform) — a scoping decision consistent with a single-site brokerage of this size.</w:t>
      </w:r>
    </w:p>
    <w:p>
      <w:pPr>
        <w:pStyle w:val="Heading1"/>
        <w:spacing w:after="120" w:before="260"/>
      </w:pPr>
      <w:r>
        <w:rPr>
          <w:rFonts w:ascii="Arial" w:cs="Arial" w:eastAsia="Arial" w:hAnsi="Arial"/>
          <w:b/>
          <w:bCs/>
          <w:color w:val="1F3864"/>
          <w:sz w:val="26"/>
          <w:szCs w:val="26"/>
        </w:rPr>
        <w:t xml:space="preserve">2. Current State Assessment</w:t>
      </w:r>
    </w:p>
    <w:p>
      <w:pPr>
        <w:spacing w:after="140"/>
      </w:pPr>
      <w:r>
        <w:rPr>
          <w:rFonts w:ascii="Arial" w:cs="Arial" w:eastAsia="Arial" w:hAnsi="Arial"/>
          <w:sz w:val="21"/>
          <w:szCs w:val="21"/>
        </w:rPr>
        <w:t xml:space="preserve">Happy Insurance Brokers currently operates without a formal Information Security Management System (ISMS). Security practices exist informally — driven by individual judgment (the IT Manager, the Compliance Officer) rather than documented policy — which is typical of an organization that has not yet undertaken a structured ISO 27001 initiative.</w:t>
      </w:r>
    </w:p>
    <w:p>
      <w:pPr>
        <w:spacing w:after="140"/>
      </w:pPr>
      <w:r>
        <w:rPr>
          <w:rFonts w:ascii="Arial" w:cs="Arial" w:eastAsia="Arial" w:hAnsi="Arial"/>
          <w:sz w:val="21"/>
          <w:szCs w:val="21"/>
        </w:rPr>
        <w:t xml:space="preserve">Across the 84 applicable controls (93 total, less 9 Not Applicable), the assessment found:</w:t>
      </w:r>
    </w:p>
    <w:p>
      <w:pPr>
        <w:pStyle w:val="ListParagraph"/>
        <w:numPr>
          <w:ilvl w:val="0"/>
          <w:numId w:val="1"/>
        </w:numPr>
        <w:spacing w:after="80"/>
      </w:pPr>
      <w:r>
        <w:rPr>
          <w:rFonts w:ascii="Arial" w:cs="Arial" w:eastAsia="Arial" w:hAnsi="Arial"/>
          <w:sz w:val="21"/>
          <w:szCs w:val="21"/>
        </w:rPr>
        <w:t xml:space="preserve">3 controls (4%) fully Implemented — largely baseline physical/HR controls (building access, cabling, confidentiality clauses) that pre-date any formal security initiative.</w:t>
      </w:r>
    </w:p>
    <w:p>
      <w:pPr>
        <w:pStyle w:val="ListParagraph"/>
        <w:numPr>
          <w:ilvl w:val="0"/>
          <w:numId w:val="1"/>
        </w:numPr>
        <w:spacing w:after="80"/>
      </w:pPr>
      <w:r>
        <w:rPr>
          <w:rFonts w:ascii="Arial" w:cs="Arial" w:eastAsia="Arial" w:hAnsi="Arial"/>
          <w:sz w:val="21"/>
          <w:szCs w:val="21"/>
        </w:rPr>
        <w:t xml:space="preserve">17 controls (20%) Partially Implemented — practices exist but are inconsistent, undocumented, or not technically enforced (e.g. a password policy that exists on paper but isn't enforced via Active Directory).</w:t>
      </w:r>
    </w:p>
    <w:p>
      <w:pPr>
        <w:pStyle w:val="ListParagraph"/>
        <w:numPr>
          <w:ilvl w:val="0"/>
          <w:numId w:val="1"/>
        </w:numPr>
        <w:spacing w:after="80"/>
      </w:pPr>
      <w:r>
        <w:rPr>
          <w:rFonts w:ascii="Arial" w:cs="Arial" w:eastAsia="Arial" w:hAnsi="Arial"/>
          <w:sz w:val="21"/>
          <w:szCs w:val="21"/>
        </w:rPr>
        <w:t xml:space="preserve">64 controls (76%) Not Implemented — the majority of Annex A, reflecting the absence of a formal ISMS rather than any single point failure.</w:t>
      </w:r>
    </w:p>
    <w:p>
      <w:pPr>
        <w:spacing w:after="140"/>
      </w:pPr>
      <w:r>
        <w:rPr>
          <w:rFonts w:ascii="Arial" w:cs="Arial" w:eastAsia="Arial" w:hAnsi="Arial"/>
          <w:sz w:val="21"/>
          <w:szCs w:val="21"/>
        </w:rPr>
        <w:t xml:space="preserve">This produces an overall ISMS maturity score of 14%, calculated by giving full credit for Implemented controls and half credit for Partially Implemented controls, against the 84 applicable controls. A score at this level is consistent with an organization that has good informal practices and strong regulatory knowledge (FAIS/POPIA/TCF) among senior staff, but has not yet translated that into a documented, auditable management system — the same pattern identified across the Risk Register findings.</w:t>
      </w:r>
    </w:p>
    <w:p>
      <w:pPr>
        <w:spacing w:after="140"/>
      </w:pPr>
      <w:r>
        <w:rPr>
          <w:rFonts w:ascii="Arial" w:cs="Arial" w:eastAsia="Arial" w:hAnsi="Arial"/>
          <w:sz w:val="21"/>
          <w:szCs w:val="21"/>
        </w:rPr>
        <w:t xml:space="preserve">The gaps are not evenly distributed. Organizational controls (A.5) show zero fully-implemented controls out of 37 — the most significant finding of this assessment, since Organizational controls include foundational items (policy, incident response, records protection, PII protection) that other controls depend on. Technological controls (A.8) show the widest spread, with several controls partially in place (antivirus, TLS) but critical gaps in authentication, backup, and monitoring.</w:t>
      </w:r>
    </w:p>
    <w:p>
      <w:pPr>
        <w:pStyle w:val="Heading1"/>
        <w:spacing w:after="120" w:before="260"/>
      </w:pPr>
      <w:r>
        <w:rPr>
          <w:rFonts w:ascii="Arial" w:cs="Arial" w:eastAsia="Arial" w:hAnsi="Arial"/>
          <w:b/>
          <w:bCs/>
          <w:color w:val="1F3864"/>
          <w:sz w:val="26"/>
          <w:szCs w:val="26"/>
        </w:rPr>
        <w:t xml:space="preserve">3. Key Gap Themes</w:t>
      </w:r>
    </w:p>
    <w:p>
      <w:pPr>
        <w:pStyle w:val="ListParagraph"/>
        <w:numPr>
          <w:ilvl w:val="0"/>
          <w:numId w:val="1"/>
        </w:numPr>
        <w:spacing w:after="80"/>
      </w:pPr>
      <w:r>
        <w:rPr>
          <w:rFonts w:ascii="Arial" w:cs="Arial" w:eastAsia="Arial" w:hAnsi="Arial"/>
          <w:sz w:val="21"/>
          <w:szCs w:val="21"/>
        </w:rPr>
        <w:t xml:space="preserve">Authentication &amp; access control — no MFA anywhere in the environment; passwords not technically enforced; no distinction between standard and privileged accounts (A.5.15, A.5.17, A.8.2, A.8.5).</w:t>
      </w:r>
    </w:p>
    <w:p>
      <w:pPr>
        <w:pStyle w:val="ListParagraph"/>
        <w:numPr>
          <w:ilvl w:val="0"/>
          <w:numId w:val="1"/>
        </w:numPr>
        <w:spacing w:after="80"/>
      </w:pPr>
      <w:r>
        <w:rPr>
          <w:rFonts w:ascii="Arial" w:cs="Arial" w:eastAsia="Arial" w:hAnsi="Arial"/>
          <w:sz w:val="21"/>
          <w:szCs w:val="21"/>
        </w:rPr>
        <w:t xml:space="preserve">Data protection &amp; POPIA alignment — no retention/disposal policy, no registered Information Officer duties, no formal PII handling policy (A.5.33, A.5.34, A.8.10).</w:t>
      </w:r>
    </w:p>
    <w:p>
      <w:pPr>
        <w:pStyle w:val="ListParagraph"/>
        <w:numPr>
          <w:ilvl w:val="0"/>
          <w:numId w:val="1"/>
        </w:numPr>
        <w:spacing w:after="80"/>
      </w:pPr>
      <w:r>
        <w:rPr>
          <w:rFonts w:ascii="Arial" w:cs="Arial" w:eastAsia="Arial" w:hAnsi="Arial"/>
          <w:sz w:val="21"/>
          <w:szCs w:val="21"/>
        </w:rPr>
        <w:t xml:space="preserve">Incident readiness — no incident response plan, no defined escalation path, no post-incident review process (A.5.24-A.5.28).</w:t>
      </w:r>
    </w:p>
    <w:p>
      <w:pPr>
        <w:pStyle w:val="ListParagraph"/>
        <w:numPr>
          <w:ilvl w:val="0"/>
          <w:numId w:val="1"/>
        </w:numPr>
        <w:spacing w:after="80"/>
      </w:pPr>
      <w:r>
        <w:rPr>
          <w:rFonts w:ascii="Arial" w:cs="Arial" w:eastAsia="Arial" w:hAnsi="Arial"/>
          <w:sz w:val="21"/>
          <w:szCs w:val="21"/>
        </w:rPr>
        <w:t xml:space="preserve">Backup &amp; continuity — backups are ad hoc and untested; no UPS/generator; no documented BCP (A.8.13, A.5.29, A.5.30, A.7.11).</w:t>
      </w:r>
    </w:p>
    <w:p>
      <w:pPr>
        <w:pStyle w:val="ListParagraph"/>
        <w:numPr>
          <w:ilvl w:val="0"/>
          <w:numId w:val="1"/>
        </w:numPr>
        <w:spacing w:after="80"/>
      </w:pPr>
      <w:r>
        <w:rPr>
          <w:rFonts w:ascii="Arial" w:cs="Arial" w:eastAsia="Arial" w:hAnsi="Arial"/>
          <w:sz w:val="21"/>
          <w:szCs w:val="21"/>
        </w:rPr>
        <w:t xml:space="preserve">Governance foundation — no top-level information security policy exists to anchor any of the above (A.5.1); this is the single highest-leverage gap to close first.</w:t>
      </w:r>
    </w:p>
    <w:p>
      <w:pPr>
        <w:pStyle w:val="Heading1"/>
        <w:spacing w:after="120" w:before="260"/>
      </w:pPr>
      <w:r>
        <w:rPr>
          <w:rFonts w:ascii="Arial" w:cs="Arial" w:eastAsia="Arial" w:hAnsi="Arial"/>
          <w:b/>
          <w:bCs/>
          <w:color w:val="1F3864"/>
          <w:sz w:val="26"/>
          <w:szCs w:val="26"/>
        </w:rPr>
        <w:t xml:space="preserve">4. Recommendations</w:t>
      </w:r>
    </w:p>
    <w:p>
      <w:pPr>
        <w:spacing w:after="140"/>
      </w:pPr>
      <w:r>
        <w:rPr>
          <w:rFonts w:ascii="Arial" w:cs="Arial" w:eastAsia="Arial" w:hAnsi="Arial"/>
          <w:sz w:val="21"/>
          <w:szCs w:val="21"/>
        </w:rPr>
        <w:t xml:space="preserve">Recommendations are prioritised using the same Critical/High/Medium/Low scale applied in the Risk Register, so remediation effort tracks directly against business risk rather than treating all 93 controls as equally urgent.</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2000"/>
        <w:gridCol w:w="5000"/>
      </w:tblGrid>
      <w:tr>
        <w:trPr>
          <w:tblHeader/>
        </w:trPr>
        <w:tc>
          <w:tcPr>
            <w:tcW w:type="dxa" w:w="2000"/>
            <w:shd w:fill="1F3864" w:val="clear"/>
            <w:vAlign w:val="center"/>
          </w:tcPr>
          <w:p>
            <w:pPr>
              <w:jc w:val="center"/>
            </w:pPr>
            <w:r>
              <w:rPr>
                <w:rFonts w:ascii="Arial" w:cs="Arial" w:eastAsia="Arial" w:hAnsi="Arial"/>
                <w:b/>
                <w:bCs/>
                <w:color w:val="FFFFFF"/>
                <w:sz w:val="18"/>
                <w:szCs w:val="18"/>
              </w:rPr>
              <w:t xml:space="preserve">Priority</w:t>
            </w:r>
          </w:p>
        </w:tc>
        <w:tc>
          <w:tcPr>
            <w:tcW w:type="dxa" w:w="2000"/>
            <w:shd w:fill="1F3864" w:val="clear"/>
            <w:vAlign w:val="center"/>
          </w:tcPr>
          <w:p>
            <w:pPr>
              <w:jc w:val="center"/>
            </w:pPr>
            <w:r>
              <w:rPr>
                <w:rFonts w:ascii="Arial" w:cs="Arial" w:eastAsia="Arial" w:hAnsi="Arial"/>
                <w:b/>
                <w:bCs/>
                <w:color w:val="FFFFFF"/>
                <w:sz w:val="18"/>
                <w:szCs w:val="18"/>
              </w:rPr>
              <w:t xml:space="preserve">Count</w:t>
            </w:r>
          </w:p>
        </w:tc>
        <w:tc>
          <w:tcPr>
            <w:tcW w:type="dxa" w:w="5000"/>
            <w:shd w:fill="1F3864" w:val="clear"/>
            <w:vAlign w:val="center"/>
          </w:tcPr>
          <w:p>
            <w:pPr>
              <w:jc w:val="center"/>
            </w:pPr>
            <w:r>
              <w:rPr>
                <w:rFonts w:ascii="Arial" w:cs="Arial" w:eastAsia="Arial" w:hAnsi="Arial"/>
                <w:b/>
                <w:bCs/>
                <w:color w:val="FFFFFF"/>
                <w:sz w:val="18"/>
                <w:szCs w:val="18"/>
              </w:rPr>
              <w:t xml:space="preserve">Target Resolution Window</w:t>
            </w:r>
          </w:p>
        </w:tc>
      </w:tr>
      <w:tr>
        <w:tc>
          <w:tcPr>
            <w:tcW w:type="dxa" w:w="2000"/>
            <w:shd w:fill="FF9999" w:val="clear"/>
            <w:vAlign w:val="center"/>
          </w:tcPr>
          <w:p>
            <w:pPr>
              <w:jc w:val="center"/>
            </w:pPr>
            <w:r>
              <w:rPr>
                <w:rFonts w:ascii="Arial" w:cs="Arial" w:eastAsia="Arial" w:hAnsi="Arial"/>
                <w:b/>
                <w:bCs/>
                <w:sz w:val="18"/>
                <w:szCs w:val="18"/>
              </w:rPr>
              <w:t xml:space="preserve">Critical</w:t>
            </w:r>
          </w:p>
        </w:tc>
        <w:tc>
          <w:tcPr>
            <w:tcW w:type="dxa" w:w="2000"/>
            <w:shd w:fill="FF9999" w:val="clear"/>
            <w:vAlign w:val="center"/>
          </w:tcPr>
          <w:p>
            <w:pPr>
              <w:jc w:val="center"/>
            </w:pPr>
            <w:r>
              <w:rPr>
                <w:rFonts w:ascii="Arial" w:cs="Arial" w:eastAsia="Arial" w:hAnsi="Arial"/>
                <w:b w:val="false"/>
                <w:bCs w:val="false"/>
                <w:sz w:val="18"/>
                <w:szCs w:val="18"/>
              </w:rPr>
              <w:t xml:space="preserve">9</w:t>
            </w:r>
          </w:p>
        </w:tc>
        <w:tc>
          <w:tcPr>
            <w:tcW w:type="dxa" w:w="5000"/>
            <w:shd w:fill="FF9999" w:val="clear"/>
            <w:vAlign w:val="center"/>
          </w:tcPr>
          <w:p>
            <w:pPr>
              <w:jc w:val="left"/>
            </w:pPr>
            <w:r>
              <w:rPr>
                <w:rFonts w:ascii="Arial" w:cs="Arial" w:eastAsia="Arial" w:hAnsi="Arial"/>
                <w:b w:val="false"/>
                <w:bCs w:val="false"/>
                <w:sz w:val="18"/>
                <w:szCs w:val="18"/>
              </w:rPr>
              <w:t xml:space="preserve">0-30 days</w:t>
            </w:r>
          </w:p>
        </w:tc>
      </w:tr>
      <w:tr>
        <w:tc>
          <w:tcPr>
            <w:tcW w:type="dxa" w:w="2000"/>
            <w:shd w:fill="F8CBAD" w:val="clear"/>
            <w:vAlign w:val="center"/>
          </w:tcPr>
          <w:p>
            <w:pPr>
              <w:jc w:val="center"/>
            </w:pPr>
            <w:r>
              <w:rPr>
                <w:rFonts w:ascii="Arial" w:cs="Arial" w:eastAsia="Arial" w:hAnsi="Arial"/>
                <w:b/>
                <w:bCs/>
                <w:sz w:val="18"/>
                <w:szCs w:val="18"/>
              </w:rPr>
              <w:t xml:space="preserve">High</w:t>
            </w:r>
          </w:p>
        </w:tc>
        <w:tc>
          <w:tcPr>
            <w:tcW w:type="dxa" w:w="2000"/>
            <w:shd w:fill="F8CBAD" w:val="clear"/>
            <w:vAlign w:val="center"/>
          </w:tcPr>
          <w:p>
            <w:pPr>
              <w:jc w:val="center"/>
            </w:pPr>
            <w:r>
              <w:rPr>
                <w:rFonts w:ascii="Arial" w:cs="Arial" w:eastAsia="Arial" w:hAnsi="Arial"/>
                <w:b w:val="false"/>
                <w:bCs w:val="false"/>
                <w:sz w:val="18"/>
                <w:szCs w:val="18"/>
              </w:rPr>
              <w:t xml:space="preserve">25</w:t>
            </w:r>
          </w:p>
        </w:tc>
        <w:tc>
          <w:tcPr>
            <w:tcW w:type="dxa" w:w="5000"/>
            <w:shd w:fill="F8CBAD" w:val="clear"/>
            <w:vAlign w:val="center"/>
          </w:tcPr>
          <w:p>
            <w:pPr>
              <w:jc w:val="left"/>
            </w:pPr>
            <w:r>
              <w:rPr>
                <w:rFonts w:ascii="Arial" w:cs="Arial" w:eastAsia="Arial" w:hAnsi="Arial"/>
                <w:b w:val="false"/>
                <w:bCs w:val="false"/>
                <w:sz w:val="18"/>
                <w:szCs w:val="18"/>
              </w:rPr>
              <w:t xml:space="preserve">30-90 days</w:t>
            </w:r>
          </w:p>
        </w:tc>
      </w:tr>
      <w:tr>
        <w:tc>
          <w:tcPr>
            <w:tcW w:type="dxa" w:w="2000"/>
            <w:shd w:fill="FFE699" w:val="clear"/>
            <w:vAlign w:val="center"/>
          </w:tcPr>
          <w:p>
            <w:pPr>
              <w:jc w:val="center"/>
            </w:pPr>
            <w:r>
              <w:rPr>
                <w:rFonts w:ascii="Arial" w:cs="Arial" w:eastAsia="Arial" w:hAnsi="Arial"/>
                <w:b/>
                <w:bCs/>
                <w:sz w:val="18"/>
                <w:szCs w:val="18"/>
              </w:rPr>
              <w:t xml:space="preserve">Medium</w:t>
            </w:r>
          </w:p>
        </w:tc>
        <w:tc>
          <w:tcPr>
            <w:tcW w:type="dxa" w:w="2000"/>
            <w:shd w:fill="FFE699" w:val="clear"/>
            <w:vAlign w:val="center"/>
          </w:tcPr>
          <w:p>
            <w:pPr>
              <w:jc w:val="center"/>
            </w:pPr>
            <w:r>
              <w:rPr>
                <w:rFonts w:ascii="Arial" w:cs="Arial" w:eastAsia="Arial" w:hAnsi="Arial"/>
                <w:b w:val="false"/>
                <w:bCs w:val="false"/>
                <w:sz w:val="18"/>
                <w:szCs w:val="18"/>
              </w:rPr>
              <w:t xml:space="preserve">32</w:t>
            </w:r>
          </w:p>
        </w:tc>
        <w:tc>
          <w:tcPr>
            <w:tcW w:type="dxa" w:w="5000"/>
            <w:shd w:fill="FFE699" w:val="clear"/>
            <w:vAlign w:val="center"/>
          </w:tcPr>
          <w:p>
            <w:pPr>
              <w:jc w:val="left"/>
            </w:pPr>
            <w:r>
              <w:rPr>
                <w:rFonts w:ascii="Arial" w:cs="Arial" w:eastAsia="Arial" w:hAnsi="Arial"/>
                <w:b w:val="false"/>
                <w:bCs w:val="false"/>
                <w:sz w:val="18"/>
                <w:szCs w:val="18"/>
              </w:rPr>
              <w:t xml:space="preserve">90-180 days</w:t>
            </w:r>
          </w:p>
        </w:tc>
      </w:tr>
      <w:tr>
        <w:tc>
          <w:tcPr>
            <w:tcW w:type="dxa" w:w="2000"/>
            <w:shd w:fill="C6E0B4" w:val="clear"/>
            <w:vAlign w:val="center"/>
          </w:tcPr>
          <w:p>
            <w:pPr>
              <w:jc w:val="center"/>
            </w:pPr>
            <w:r>
              <w:rPr>
                <w:rFonts w:ascii="Arial" w:cs="Arial" w:eastAsia="Arial" w:hAnsi="Arial"/>
                <w:b/>
                <w:bCs/>
                <w:sz w:val="18"/>
                <w:szCs w:val="18"/>
              </w:rPr>
              <w:t xml:space="preserve">Low</w:t>
            </w:r>
          </w:p>
        </w:tc>
        <w:tc>
          <w:tcPr>
            <w:tcW w:type="dxa" w:w="2000"/>
            <w:shd w:fill="C6E0B4" w:val="clear"/>
            <w:vAlign w:val="center"/>
          </w:tcPr>
          <w:p>
            <w:pPr>
              <w:jc w:val="center"/>
            </w:pPr>
            <w:r>
              <w:rPr>
                <w:rFonts w:ascii="Arial" w:cs="Arial" w:eastAsia="Arial" w:hAnsi="Arial"/>
                <w:b w:val="false"/>
                <w:bCs w:val="false"/>
                <w:sz w:val="18"/>
                <w:szCs w:val="18"/>
              </w:rPr>
              <w:t xml:space="preserve">19</w:t>
            </w:r>
          </w:p>
        </w:tc>
        <w:tc>
          <w:tcPr>
            <w:tcW w:type="dxa" w:w="5000"/>
            <w:shd w:fill="C6E0B4" w:val="clear"/>
            <w:vAlign w:val="center"/>
          </w:tcPr>
          <w:p>
            <w:pPr>
              <w:jc w:val="left"/>
            </w:pPr>
            <w:r>
              <w:rPr>
                <w:rFonts w:ascii="Arial" w:cs="Arial" w:eastAsia="Arial" w:hAnsi="Arial"/>
                <w:b w:val="false"/>
                <w:bCs w:val="false"/>
                <w:sz w:val="18"/>
                <w:szCs w:val="18"/>
              </w:rPr>
              <w:t xml:space="preserve">180+ days / continuous improvement</w:t>
            </w:r>
          </w:p>
        </w:tc>
      </w:tr>
    </w:tbl>
    <w:p>
      <w:pPr>
        <w:spacing w:after="100" w:before="200"/>
      </w:pPr>
      <w:r>
        <w:rPr>
          <w:rFonts w:ascii="Arial" w:cs="Arial" w:eastAsia="Arial" w:hAnsi="Arial"/>
          <w:sz w:val="21"/>
          <w:szCs w:val="21"/>
        </w:rPr>
        <w:t xml:space="preserve">Full control-by-control recommendations, current state, and identified gaps are provided in the accompanying Gap Assessment workbook (</w:t>
      </w:r>
      <w:r>
        <w:rPr>
          <w:rFonts w:ascii="Arial" w:cs="Arial" w:eastAsia="Arial" w:hAnsi="Arial"/>
          <w:b/>
          <w:bCs/>
          <w:sz w:val="21"/>
          <w:szCs w:val="21"/>
        </w:rPr>
        <w:t xml:space="preserve">Happy_Insurance_Brokers_ISO27001_Gap_Assessment.xlsx</w:t>
      </w:r>
      <w:r>
        <w:rPr>
          <w:rFonts w:ascii="Arial" w:cs="Arial" w:eastAsia="Arial" w:hAnsi="Arial"/>
          <w:sz w:val="21"/>
          <w:szCs w:val="21"/>
        </w:rPr>
        <w:t xml:space="preserve">), which includes a dashboard summary and the full 93-control assessment.</w:t>
      </w:r>
    </w:p>
    <w:p>
      <w:pPr>
        <w:pStyle w:val="Heading1"/>
        <w:spacing w:after="120" w:before="260"/>
      </w:pPr>
      <w:r>
        <w:rPr>
          <w:rFonts w:ascii="Arial" w:cs="Arial" w:eastAsia="Arial" w:hAnsi="Arial"/>
          <w:b/>
          <w:bCs/>
          <w:color w:val="1F3864"/>
          <w:sz w:val="26"/>
          <w:szCs w:val="26"/>
        </w:rPr>
        <w:t xml:space="preserve">5. Remediation Roadmap</w:t>
      </w:r>
    </w:p>
    <w:p>
      <w:pPr>
        <w:spacing w:after="140"/>
      </w:pPr>
      <w:r>
        <w:rPr>
          <w:rFonts w:ascii="Arial" w:cs="Arial" w:eastAsia="Arial" w:hAnsi="Arial"/>
          <w:sz w:val="21"/>
          <w:szCs w:val="21"/>
        </w:rPr>
        <w:t xml:space="preserve">The roadmap below sequences remediation into four phases, prioritising Critical and high-risk gaps first, consistent with the Risk Register's top-rated risks (client data breach, POPIA non-compliance, ransomware, and business continuity).</w:t>
      </w:r>
    </w:p>
    <w:p>
      <w:pPr>
        <w:pStyle w:val="Heading2"/>
        <w:spacing w:after="100" w:before="200"/>
      </w:pPr>
      <w:r>
        <w:rPr>
          <w:rFonts w:ascii="Arial" w:cs="Arial" w:eastAsia="Arial" w:hAnsi="Arial"/>
          <w:b/>
          <w:bCs/>
          <w:color w:val="1F3864"/>
          <w:sz w:val="22"/>
          <w:szCs w:val="22"/>
        </w:rPr>
        <w:t xml:space="preserve">Phase 1 — Foundation &amp; Critical Gaps (0-30 days)</w:t>
      </w:r>
    </w:p>
    <w:p>
      <w:pPr>
        <w:spacing w:after="140"/>
      </w:pPr>
      <w:r>
        <w:rPr>
          <w:rFonts w:ascii="Arial" w:cs="Arial" w:eastAsia="Arial" w:hAnsi="Arial"/>
          <w:i/>
          <w:iCs/>
          <w:color w:val="595959"/>
          <w:sz w:val="19"/>
          <w:szCs w:val="19"/>
        </w:rPr>
        <w:t xml:space="preserve">Addresses the 9 controls rated Critical — the gaps with the most direct link to a POPIA breach, FSCA sanction, or operational failure if left unaddressed.</w:t>
      </w:r>
    </w:p>
    <w:tbl>
      <w:tblPr>
        <w:tblW w:type="dxa" w:w="9200"/>
        <w:tblBorders>
          <w:top w:val="single" w:color="BFBFBF" w:sz="2"/>
          <w:left w:val="single" w:color="BFBFBF" w:sz="2"/>
          <w:bottom w:val="single" w:color="BFBFBF" w:sz="2"/>
          <w:right w:val="single" w:color="BFBFBF" w:sz="2"/>
          <w:insideH w:val="single" w:color="BFBFBF" w:sz="2"/>
          <w:insideV w:val="single" w:color="BFBFBF" w:sz="2"/>
        </w:tblBorders>
      </w:tblPr>
      <w:tblGrid>
        <w:gridCol w:w="1400"/>
        <w:gridCol w:w="3200"/>
        <w:gridCol w:w="4600"/>
      </w:tblGrid>
      <w:tr>
        <w:trPr>
          <w:tblHeader/>
        </w:trPr>
        <w:tc>
          <w:tcPr>
            <w:tcW w:type="dxa" w:w="1400"/>
            <w:shd w:fill="1F3864" w:val="clear"/>
            <w:vAlign w:val="center"/>
          </w:tcPr>
          <w:p>
            <w:pPr>
              <w:jc w:val="center"/>
            </w:pPr>
            <w:r>
              <w:rPr>
                <w:rFonts w:ascii="Arial" w:cs="Arial" w:eastAsia="Arial" w:hAnsi="Arial"/>
                <w:b/>
                <w:bCs/>
                <w:color w:val="FFFFFF"/>
                <w:sz w:val="18"/>
                <w:szCs w:val="18"/>
              </w:rPr>
              <w:t xml:space="preserve">Control(s)</w:t>
            </w:r>
          </w:p>
        </w:tc>
        <w:tc>
          <w:tcPr>
            <w:tcW w:type="dxa" w:w="3200"/>
            <w:shd w:fill="1F3864" w:val="clear"/>
            <w:vAlign w:val="center"/>
          </w:tcPr>
          <w:p>
            <w:pPr>
              <w:jc w:val="center"/>
            </w:pPr>
            <w:r>
              <w:rPr>
                <w:rFonts w:ascii="Arial" w:cs="Arial" w:eastAsia="Arial" w:hAnsi="Arial"/>
                <w:b/>
                <w:bCs/>
                <w:color w:val="FFFFFF"/>
                <w:sz w:val="18"/>
                <w:szCs w:val="18"/>
              </w:rPr>
              <w:t xml:space="preserve">Area</w:t>
            </w:r>
          </w:p>
        </w:tc>
        <w:tc>
          <w:tcPr>
            <w:tcW w:type="dxa" w:w="4600"/>
            <w:shd w:fill="1F3864" w:val="clear"/>
            <w:vAlign w:val="center"/>
          </w:tcPr>
          <w:p>
            <w:pPr>
              <w:jc w:val="center"/>
            </w:pPr>
            <w:r>
              <w:rPr>
                <w:rFonts w:ascii="Arial" w:cs="Arial" w:eastAsia="Arial" w:hAnsi="Arial"/>
                <w:b/>
                <w:bCs/>
                <w:color w:val="FFFFFF"/>
                <w:sz w:val="18"/>
                <w:szCs w:val="18"/>
              </w:rPr>
              <w:t xml:space="preserve">Action</w:t>
            </w:r>
          </w:p>
        </w:tc>
      </w:tr>
      <w:tr>
        <w:tc>
          <w:tcPr>
            <w:tcW w:type="dxa" w:w="1400"/>
            <w:shd w:fill="FFFFFF" w:val="clear"/>
            <w:vAlign w:val="center"/>
          </w:tcPr>
          <w:p>
            <w:pPr>
              <w:jc w:val="center"/>
            </w:pPr>
            <w:r>
              <w:rPr>
                <w:rFonts w:ascii="Arial" w:cs="Arial" w:eastAsia="Arial" w:hAnsi="Arial"/>
                <w:b/>
                <w:bCs/>
                <w:sz w:val="18"/>
                <w:szCs w:val="18"/>
              </w:rPr>
              <w:t xml:space="preserve">5.1</w:t>
            </w:r>
          </w:p>
        </w:tc>
        <w:tc>
          <w:tcPr>
            <w:tcW w:type="dxa" w:w="3200"/>
            <w:shd w:fill="FFFFFF" w:val="clear"/>
            <w:vAlign w:val="center"/>
          </w:tcPr>
          <w:p>
            <w:pPr>
              <w:jc w:val="left"/>
            </w:pPr>
            <w:r>
              <w:rPr>
                <w:rFonts w:ascii="Arial" w:cs="Arial" w:eastAsia="Arial" w:hAnsi="Arial"/>
                <w:b w:val="false"/>
                <w:bCs w:val="false"/>
                <w:sz w:val="18"/>
                <w:szCs w:val="18"/>
              </w:rPr>
              <w:t xml:space="preserve">Policies for information security</w:t>
            </w:r>
          </w:p>
        </w:tc>
        <w:tc>
          <w:tcPr>
            <w:tcW w:type="dxa" w:w="4600"/>
            <w:shd w:fill="FFFFFF" w:val="clear"/>
            <w:vAlign w:val="center"/>
          </w:tcPr>
          <w:p>
            <w:pPr>
              <w:jc w:val="left"/>
            </w:pPr>
            <w:r>
              <w:rPr>
                <w:rFonts w:ascii="Arial" w:cs="Arial" w:eastAsia="Arial" w:hAnsi="Arial"/>
                <w:b w:val="false"/>
                <w:bCs w:val="false"/>
                <w:sz w:val="18"/>
                <w:szCs w:val="18"/>
              </w:rPr>
              <w:t xml:space="preserve">Draft and board-approve a top-level Information Security Policy</w:t>
            </w:r>
          </w:p>
        </w:tc>
      </w:tr>
      <w:tr>
        <w:tc>
          <w:tcPr>
            <w:tcW w:type="dxa" w:w="1400"/>
            <w:shd w:fill="F2F2F2" w:val="clear"/>
            <w:vAlign w:val="center"/>
          </w:tcPr>
          <w:p>
            <w:pPr>
              <w:jc w:val="center"/>
            </w:pPr>
            <w:r>
              <w:rPr>
                <w:rFonts w:ascii="Arial" w:cs="Arial" w:eastAsia="Arial" w:hAnsi="Arial"/>
                <w:b/>
                <w:bCs/>
                <w:sz w:val="18"/>
                <w:szCs w:val="18"/>
              </w:rPr>
              <w:t xml:space="preserve">5.15 / 8.5</w:t>
            </w:r>
          </w:p>
        </w:tc>
        <w:tc>
          <w:tcPr>
            <w:tcW w:type="dxa" w:w="3200"/>
            <w:shd w:fill="F2F2F2" w:val="clear"/>
            <w:vAlign w:val="center"/>
          </w:tcPr>
          <w:p>
            <w:pPr>
              <w:jc w:val="left"/>
            </w:pPr>
            <w:r>
              <w:rPr>
                <w:rFonts w:ascii="Arial" w:cs="Arial" w:eastAsia="Arial" w:hAnsi="Arial"/>
                <w:b w:val="false"/>
                <w:bCs w:val="false"/>
                <w:sz w:val="18"/>
                <w:szCs w:val="18"/>
              </w:rPr>
              <w:t xml:space="preserve">Access control / Secure authentication</w:t>
            </w:r>
          </w:p>
        </w:tc>
        <w:tc>
          <w:tcPr>
            <w:tcW w:type="dxa" w:w="4600"/>
            <w:shd w:fill="F2F2F2" w:val="clear"/>
            <w:vAlign w:val="center"/>
          </w:tcPr>
          <w:p>
            <w:pPr>
              <w:jc w:val="left"/>
            </w:pPr>
            <w:r>
              <w:rPr>
                <w:rFonts w:ascii="Arial" w:cs="Arial" w:eastAsia="Arial" w:hAnsi="Arial"/>
                <w:b w:val="false"/>
                <w:bCs w:val="false"/>
                <w:sz w:val="18"/>
                <w:szCs w:val="18"/>
              </w:rPr>
              <w:t xml:space="preserve">Enforce MFA on CRM, email, and all remote access</w:t>
            </w:r>
          </w:p>
        </w:tc>
      </w:tr>
      <w:tr>
        <w:tc>
          <w:tcPr>
            <w:tcW w:type="dxa" w:w="1400"/>
            <w:shd w:fill="FFFFFF" w:val="clear"/>
            <w:vAlign w:val="center"/>
          </w:tcPr>
          <w:p>
            <w:pPr>
              <w:jc w:val="center"/>
            </w:pPr>
            <w:r>
              <w:rPr>
                <w:rFonts w:ascii="Arial" w:cs="Arial" w:eastAsia="Arial" w:hAnsi="Arial"/>
                <w:b/>
                <w:bCs/>
                <w:sz w:val="18"/>
                <w:szCs w:val="18"/>
              </w:rPr>
              <w:t xml:space="preserve">5.33 / 5.34</w:t>
            </w:r>
          </w:p>
        </w:tc>
        <w:tc>
          <w:tcPr>
            <w:tcW w:type="dxa" w:w="3200"/>
            <w:shd w:fill="FFFFFF" w:val="clear"/>
            <w:vAlign w:val="center"/>
          </w:tcPr>
          <w:p>
            <w:pPr>
              <w:jc w:val="left"/>
            </w:pPr>
            <w:r>
              <w:rPr>
                <w:rFonts w:ascii="Arial" w:cs="Arial" w:eastAsia="Arial" w:hAnsi="Arial"/>
                <w:b w:val="false"/>
                <w:bCs w:val="false"/>
                <w:sz w:val="18"/>
                <w:szCs w:val="18"/>
              </w:rPr>
              <w:t xml:space="preserve">Protection of records / Privacy and protection of PII</w:t>
            </w:r>
          </w:p>
        </w:tc>
        <w:tc>
          <w:tcPr>
            <w:tcW w:type="dxa" w:w="4600"/>
            <w:shd w:fill="FFFFFF" w:val="clear"/>
            <w:vAlign w:val="center"/>
          </w:tcPr>
          <w:p>
            <w:pPr>
              <w:jc w:val="left"/>
            </w:pPr>
            <w:r>
              <w:rPr>
                <w:rFonts w:ascii="Arial" w:cs="Arial" w:eastAsia="Arial" w:hAnsi="Arial"/>
                <w:b w:val="false"/>
                <w:bCs w:val="false"/>
                <w:sz w:val="18"/>
                <w:szCs w:val="18"/>
              </w:rPr>
              <w:t xml:space="preserve">Implement POPIA-aligned retention &amp; disposal policy; register Information Officer duties</w:t>
            </w:r>
          </w:p>
        </w:tc>
      </w:tr>
      <w:tr>
        <w:tc>
          <w:tcPr>
            <w:tcW w:type="dxa" w:w="1400"/>
            <w:shd w:fill="F2F2F2" w:val="clear"/>
            <w:vAlign w:val="center"/>
          </w:tcPr>
          <w:p>
            <w:pPr>
              <w:jc w:val="center"/>
            </w:pPr>
            <w:r>
              <w:rPr>
                <w:rFonts w:ascii="Arial" w:cs="Arial" w:eastAsia="Arial" w:hAnsi="Arial"/>
                <w:b/>
                <w:bCs/>
                <w:sz w:val="18"/>
                <w:szCs w:val="18"/>
              </w:rPr>
              <w:t xml:space="preserve">8.10</w:t>
            </w:r>
          </w:p>
        </w:tc>
        <w:tc>
          <w:tcPr>
            <w:tcW w:type="dxa" w:w="3200"/>
            <w:shd w:fill="F2F2F2" w:val="clear"/>
            <w:vAlign w:val="center"/>
          </w:tcPr>
          <w:p>
            <w:pPr>
              <w:jc w:val="left"/>
            </w:pPr>
            <w:r>
              <w:rPr>
                <w:rFonts w:ascii="Arial" w:cs="Arial" w:eastAsia="Arial" w:hAnsi="Arial"/>
                <w:b w:val="false"/>
                <w:bCs w:val="false"/>
                <w:sz w:val="18"/>
                <w:szCs w:val="18"/>
              </w:rPr>
              <w:t xml:space="preserve">Information deletion</w:t>
            </w:r>
          </w:p>
        </w:tc>
        <w:tc>
          <w:tcPr>
            <w:tcW w:type="dxa" w:w="4600"/>
            <w:shd w:fill="F2F2F2" w:val="clear"/>
            <w:vAlign w:val="center"/>
          </w:tcPr>
          <w:p>
            <w:pPr>
              <w:jc w:val="left"/>
            </w:pPr>
            <w:r>
              <w:rPr>
                <w:rFonts w:ascii="Arial" w:cs="Arial" w:eastAsia="Arial" w:hAnsi="Arial"/>
                <w:b w:val="false"/>
                <w:bCs w:val="false"/>
                <w:sz w:val="18"/>
                <w:szCs w:val="18"/>
              </w:rPr>
              <w:t xml:space="preserve">Implement data deletion procedures aligned to the retention schedule</w:t>
            </w:r>
          </w:p>
        </w:tc>
      </w:tr>
      <w:tr>
        <w:tc>
          <w:tcPr>
            <w:tcW w:type="dxa" w:w="1400"/>
            <w:shd w:fill="FFFFFF" w:val="clear"/>
            <w:vAlign w:val="center"/>
          </w:tcPr>
          <w:p>
            <w:pPr>
              <w:jc w:val="center"/>
            </w:pPr>
            <w:r>
              <w:rPr>
                <w:rFonts w:ascii="Arial" w:cs="Arial" w:eastAsia="Arial" w:hAnsi="Arial"/>
                <w:b/>
                <w:bCs/>
                <w:sz w:val="18"/>
                <w:szCs w:val="18"/>
              </w:rPr>
              <w:t xml:space="preserve">8.13</w:t>
            </w:r>
          </w:p>
        </w:tc>
        <w:tc>
          <w:tcPr>
            <w:tcW w:type="dxa" w:w="3200"/>
            <w:shd w:fill="FFFFFF" w:val="clear"/>
            <w:vAlign w:val="center"/>
          </w:tcPr>
          <w:p>
            <w:pPr>
              <w:jc w:val="left"/>
            </w:pPr>
            <w:r>
              <w:rPr>
                <w:rFonts w:ascii="Arial" w:cs="Arial" w:eastAsia="Arial" w:hAnsi="Arial"/>
                <w:b w:val="false"/>
                <w:bCs w:val="false"/>
                <w:sz w:val="18"/>
                <w:szCs w:val="18"/>
              </w:rPr>
              <w:t xml:space="preserve">Backup</w:t>
            </w:r>
          </w:p>
        </w:tc>
        <w:tc>
          <w:tcPr>
            <w:tcW w:type="dxa" w:w="4600"/>
            <w:shd w:fill="FFFFFF" w:val="clear"/>
            <w:vAlign w:val="center"/>
          </w:tcPr>
          <w:p>
            <w:pPr>
              <w:jc w:val="left"/>
            </w:pPr>
            <w:r>
              <w:rPr>
                <w:rFonts w:ascii="Arial" w:cs="Arial" w:eastAsia="Arial" w:hAnsi="Arial"/>
                <w:b w:val="false"/>
                <w:bCs w:val="false"/>
                <w:sz w:val="18"/>
                <w:szCs w:val="18"/>
              </w:rPr>
              <w:t xml:space="preserve">Implement automated, encrypted, offsite backups with restore testing</w:t>
            </w:r>
          </w:p>
        </w:tc>
      </w:tr>
      <w:tr>
        <w:tc>
          <w:tcPr>
            <w:tcW w:type="dxa" w:w="1400"/>
            <w:shd w:fill="F2F2F2" w:val="clear"/>
            <w:vAlign w:val="center"/>
          </w:tcPr>
          <w:p>
            <w:pPr>
              <w:jc w:val="center"/>
            </w:pPr>
            <w:r>
              <w:rPr>
                <w:rFonts w:ascii="Arial" w:cs="Arial" w:eastAsia="Arial" w:hAnsi="Arial"/>
                <w:b/>
                <w:bCs/>
                <w:sz w:val="18"/>
                <w:szCs w:val="18"/>
              </w:rPr>
              <w:t xml:space="preserve">5.24 / 5.26</w:t>
            </w:r>
          </w:p>
        </w:tc>
        <w:tc>
          <w:tcPr>
            <w:tcW w:type="dxa" w:w="3200"/>
            <w:shd w:fill="F2F2F2" w:val="clear"/>
            <w:vAlign w:val="center"/>
          </w:tcPr>
          <w:p>
            <w:pPr>
              <w:jc w:val="left"/>
            </w:pPr>
            <w:r>
              <w:rPr>
                <w:rFonts w:ascii="Arial" w:cs="Arial" w:eastAsia="Arial" w:hAnsi="Arial"/>
                <w:b w:val="false"/>
                <w:bCs w:val="false"/>
                <w:sz w:val="18"/>
                <w:szCs w:val="18"/>
              </w:rPr>
              <w:t xml:space="preserve">Incident management planning / Response to incidents</w:t>
            </w:r>
          </w:p>
        </w:tc>
        <w:tc>
          <w:tcPr>
            <w:tcW w:type="dxa" w:w="4600"/>
            <w:shd w:fill="F2F2F2" w:val="clear"/>
            <w:vAlign w:val="center"/>
          </w:tcPr>
          <w:p>
            <w:pPr>
              <w:jc w:val="left"/>
            </w:pPr>
            <w:r>
              <w:rPr>
                <w:rFonts w:ascii="Arial" w:cs="Arial" w:eastAsia="Arial" w:hAnsi="Arial"/>
                <w:b w:val="false"/>
                <w:bCs w:val="false"/>
                <w:sz w:val="18"/>
                <w:szCs w:val="18"/>
              </w:rPr>
              <w:t xml:space="preserve">Draft and test a baseline incident response plan</w:t>
            </w:r>
          </w:p>
        </w:tc>
      </w:tr>
    </w:tbl>
    <w:p>
      <w:pPr>
        <w:pStyle w:val="Heading2"/>
        <w:spacing w:after="100" w:before="200"/>
      </w:pPr>
      <w:r>
        <w:rPr>
          <w:rFonts w:ascii="Arial" w:cs="Arial" w:eastAsia="Arial" w:hAnsi="Arial"/>
          <w:b/>
          <w:bCs/>
          <w:color w:val="1F3864"/>
          <w:sz w:val="22"/>
          <w:szCs w:val="22"/>
        </w:rPr>
        <w:t xml:space="preserve">Phase 2 — High-Priority Access &amp; Infrastructure Gaps (30-90 days)</w:t>
      </w:r>
    </w:p>
    <w:p>
      <w:pPr>
        <w:spacing w:after="140"/>
      </w:pPr>
      <w:r>
        <w:rPr>
          <w:rFonts w:ascii="Arial" w:cs="Arial" w:eastAsia="Arial" w:hAnsi="Arial"/>
          <w:i/>
          <w:iCs/>
          <w:color w:val="595959"/>
          <w:sz w:val="19"/>
          <w:szCs w:val="19"/>
        </w:rPr>
        <w:t xml:space="preserve">Addresses the highest-impact items among the 25 High-priority controls — primarily access control, endpoint security, and monitoring gaps.</w:t>
      </w:r>
    </w:p>
    <w:tbl>
      <w:tblPr>
        <w:tblW w:type="dxa" w:w="9200"/>
        <w:tblBorders>
          <w:top w:val="single" w:color="BFBFBF" w:sz="2"/>
          <w:left w:val="single" w:color="BFBFBF" w:sz="2"/>
          <w:bottom w:val="single" w:color="BFBFBF" w:sz="2"/>
          <w:right w:val="single" w:color="BFBFBF" w:sz="2"/>
          <w:insideH w:val="single" w:color="BFBFBF" w:sz="2"/>
          <w:insideV w:val="single" w:color="BFBFBF" w:sz="2"/>
        </w:tblBorders>
      </w:tblPr>
      <w:tblGrid>
        <w:gridCol w:w="1400"/>
        <w:gridCol w:w="3200"/>
        <w:gridCol w:w="4600"/>
      </w:tblGrid>
      <w:tr>
        <w:trPr>
          <w:tblHeader/>
        </w:trPr>
        <w:tc>
          <w:tcPr>
            <w:tcW w:type="dxa" w:w="1400"/>
            <w:shd w:fill="1F3864" w:val="clear"/>
            <w:vAlign w:val="center"/>
          </w:tcPr>
          <w:p>
            <w:pPr>
              <w:jc w:val="center"/>
            </w:pPr>
            <w:r>
              <w:rPr>
                <w:rFonts w:ascii="Arial" w:cs="Arial" w:eastAsia="Arial" w:hAnsi="Arial"/>
                <w:b/>
                <w:bCs/>
                <w:color w:val="FFFFFF"/>
                <w:sz w:val="18"/>
                <w:szCs w:val="18"/>
              </w:rPr>
              <w:t xml:space="preserve">Control(s)</w:t>
            </w:r>
          </w:p>
        </w:tc>
        <w:tc>
          <w:tcPr>
            <w:tcW w:type="dxa" w:w="3200"/>
            <w:shd w:fill="1F3864" w:val="clear"/>
            <w:vAlign w:val="center"/>
          </w:tcPr>
          <w:p>
            <w:pPr>
              <w:jc w:val="center"/>
            </w:pPr>
            <w:r>
              <w:rPr>
                <w:rFonts w:ascii="Arial" w:cs="Arial" w:eastAsia="Arial" w:hAnsi="Arial"/>
                <w:b/>
                <w:bCs/>
                <w:color w:val="FFFFFF"/>
                <w:sz w:val="18"/>
                <w:szCs w:val="18"/>
              </w:rPr>
              <w:t xml:space="preserve">Area</w:t>
            </w:r>
          </w:p>
        </w:tc>
        <w:tc>
          <w:tcPr>
            <w:tcW w:type="dxa" w:w="4600"/>
            <w:shd w:fill="1F3864" w:val="clear"/>
            <w:vAlign w:val="center"/>
          </w:tcPr>
          <w:p>
            <w:pPr>
              <w:jc w:val="center"/>
            </w:pPr>
            <w:r>
              <w:rPr>
                <w:rFonts w:ascii="Arial" w:cs="Arial" w:eastAsia="Arial" w:hAnsi="Arial"/>
                <w:b/>
                <w:bCs/>
                <w:color w:val="FFFFFF"/>
                <w:sz w:val="18"/>
                <w:szCs w:val="18"/>
              </w:rPr>
              <w:t xml:space="preserve">Action</w:t>
            </w:r>
          </w:p>
        </w:tc>
      </w:tr>
      <w:tr>
        <w:tc>
          <w:tcPr>
            <w:tcW w:type="dxa" w:w="1400"/>
            <w:shd w:fill="FFFFFF" w:val="clear"/>
            <w:vAlign w:val="center"/>
          </w:tcPr>
          <w:p>
            <w:pPr>
              <w:jc w:val="center"/>
            </w:pPr>
            <w:r>
              <w:rPr>
                <w:rFonts w:ascii="Arial" w:cs="Arial" w:eastAsia="Arial" w:hAnsi="Arial"/>
                <w:b/>
                <w:bCs/>
                <w:sz w:val="18"/>
                <w:szCs w:val="18"/>
              </w:rPr>
              <w:t xml:space="preserve">5.2 / 5.16 / 5.17</w:t>
            </w:r>
          </w:p>
        </w:tc>
        <w:tc>
          <w:tcPr>
            <w:tcW w:type="dxa" w:w="3200"/>
            <w:shd w:fill="FFFFFF" w:val="clear"/>
            <w:vAlign w:val="center"/>
          </w:tcPr>
          <w:p>
            <w:pPr>
              <w:jc w:val="left"/>
            </w:pPr>
            <w:r>
              <w:rPr>
                <w:rFonts w:ascii="Arial" w:cs="Arial" w:eastAsia="Arial" w:hAnsi="Arial"/>
                <w:b w:val="false"/>
                <w:bCs w:val="false"/>
                <w:sz w:val="18"/>
                <w:szCs w:val="18"/>
              </w:rPr>
              <w:t xml:space="preserve">Roles &amp; responsibilities / Identity management / Authentication information</w:t>
            </w:r>
          </w:p>
        </w:tc>
        <w:tc>
          <w:tcPr>
            <w:tcW w:type="dxa" w:w="4600"/>
            <w:shd w:fill="FFFFFF" w:val="clear"/>
            <w:vAlign w:val="center"/>
          </w:tcPr>
          <w:p>
            <w:pPr>
              <w:jc w:val="left"/>
            </w:pPr>
            <w:r>
              <w:rPr>
                <w:rFonts w:ascii="Arial" w:cs="Arial" w:eastAsia="Arial" w:hAnsi="Arial"/>
                <w:b w:val="false"/>
                <w:bCs w:val="false"/>
                <w:sz w:val="18"/>
                <w:szCs w:val="18"/>
              </w:rPr>
              <w:t xml:space="preserve">Document RACI; enforce strong password policy; formalize identity lifecycle</w:t>
            </w:r>
          </w:p>
        </w:tc>
      </w:tr>
      <w:tr>
        <w:tc>
          <w:tcPr>
            <w:tcW w:type="dxa" w:w="1400"/>
            <w:shd w:fill="F2F2F2" w:val="clear"/>
            <w:vAlign w:val="center"/>
          </w:tcPr>
          <w:p>
            <w:pPr>
              <w:jc w:val="center"/>
            </w:pPr>
            <w:r>
              <w:rPr>
                <w:rFonts w:ascii="Arial" w:cs="Arial" w:eastAsia="Arial" w:hAnsi="Arial"/>
                <w:b/>
                <w:bCs/>
                <w:sz w:val="18"/>
                <w:szCs w:val="18"/>
              </w:rPr>
              <w:t xml:space="preserve">5.9 / 5.12</w:t>
            </w:r>
          </w:p>
        </w:tc>
        <w:tc>
          <w:tcPr>
            <w:tcW w:type="dxa" w:w="3200"/>
            <w:shd w:fill="F2F2F2" w:val="clear"/>
            <w:vAlign w:val="center"/>
          </w:tcPr>
          <w:p>
            <w:pPr>
              <w:jc w:val="left"/>
            </w:pPr>
            <w:r>
              <w:rPr>
                <w:rFonts w:ascii="Arial" w:cs="Arial" w:eastAsia="Arial" w:hAnsi="Arial"/>
                <w:b w:val="false"/>
                <w:bCs w:val="false"/>
                <w:sz w:val="18"/>
                <w:szCs w:val="18"/>
              </w:rPr>
              <w:t xml:space="preserve">Asset inventory / Data classification</w:t>
            </w:r>
          </w:p>
        </w:tc>
        <w:tc>
          <w:tcPr>
            <w:tcW w:type="dxa" w:w="4600"/>
            <w:shd w:fill="F2F2F2" w:val="clear"/>
            <w:vAlign w:val="center"/>
          </w:tcPr>
          <w:p>
            <w:pPr>
              <w:jc w:val="left"/>
            </w:pPr>
            <w:r>
              <w:rPr>
                <w:rFonts w:ascii="Arial" w:cs="Arial" w:eastAsia="Arial" w:hAnsi="Arial"/>
                <w:b w:val="false"/>
                <w:bCs w:val="false"/>
                <w:sz w:val="18"/>
                <w:szCs w:val="18"/>
              </w:rPr>
              <w:t xml:space="preserve">Build asset register; implement data classification scheme</w:t>
            </w:r>
          </w:p>
        </w:tc>
      </w:tr>
      <w:tr>
        <w:tc>
          <w:tcPr>
            <w:tcW w:type="dxa" w:w="1400"/>
            <w:shd w:fill="FFFFFF" w:val="clear"/>
            <w:vAlign w:val="center"/>
          </w:tcPr>
          <w:p>
            <w:pPr>
              <w:jc w:val="center"/>
            </w:pPr>
            <w:r>
              <w:rPr>
                <w:rFonts w:ascii="Arial" w:cs="Arial" w:eastAsia="Arial" w:hAnsi="Arial"/>
                <w:b/>
                <w:bCs/>
                <w:sz w:val="18"/>
                <w:szCs w:val="18"/>
              </w:rPr>
              <w:t xml:space="preserve">8.1 / 8.2 / 8.3</w:t>
            </w:r>
          </w:p>
        </w:tc>
        <w:tc>
          <w:tcPr>
            <w:tcW w:type="dxa" w:w="3200"/>
            <w:shd w:fill="FFFFFF" w:val="clear"/>
            <w:vAlign w:val="center"/>
          </w:tcPr>
          <w:p>
            <w:pPr>
              <w:jc w:val="left"/>
            </w:pPr>
            <w:r>
              <w:rPr>
                <w:rFonts w:ascii="Arial" w:cs="Arial" w:eastAsia="Arial" w:hAnsi="Arial"/>
                <w:b w:val="false"/>
                <w:bCs w:val="false"/>
                <w:sz w:val="18"/>
                <w:szCs w:val="18"/>
              </w:rPr>
              <w:t xml:space="preserve">User endpoint devices / Privileged access / Access restriction</w:t>
            </w:r>
          </w:p>
        </w:tc>
        <w:tc>
          <w:tcPr>
            <w:tcW w:type="dxa" w:w="4600"/>
            <w:shd w:fill="FFFFFF" w:val="clear"/>
            <w:vAlign w:val="center"/>
          </w:tcPr>
          <w:p>
            <w:pPr>
              <w:jc w:val="left"/>
            </w:pPr>
            <w:r>
              <w:rPr>
                <w:rFonts w:ascii="Arial" w:cs="Arial" w:eastAsia="Arial" w:hAnsi="Arial"/>
                <w:b w:val="false"/>
                <w:bCs w:val="false"/>
                <w:sz w:val="18"/>
                <w:szCs w:val="18"/>
              </w:rPr>
              <w:t xml:space="preserve">Endpoint hardening baseline; separate privileged accounts; role-based access</w:t>
            </w:r>
          </w:p>
        </w:tc>
      </w:tr>
      <w:tr>
        <w:tc>
          <w:tcPr>
            <w:tcW w:type="dxa" w:w="1400"/>
            <w:shd w:fill="F2F2F2" w:val="clear"/>
            <w:vAlign w:val="center"/>
          </w:tcPr>
          <w:p>
            <w:pPr>
              <w:jc w:val="center"/>
            </w:pPr>
            <w:r>
              <w:rPr>
                <w:rFonts w:ascii="Arial" w:cs="Arial" w:eastAsia="Arial" w:hAnsi="Arial"/>
                <w:b/>
                <w:bCs/>
                <w:sz w:val="18"/>
                <w:szCs w:val="18"/>
              </w:rPr>
              <w:t xml:space="preserve">8.7 / 8.8</w:t>
            </w:r>
          </w:p>
        </w:tc>
        <w:tc>
          <w:tcPr>
            <w:tcW w:type="dxa" w:w="3200"/>
            <w:shd w:fill="F2F2F2" w:val="clear"/>
            <w:vAlign w:val="center"/>
          </w:tcPr>
          <w:p>
            <w:pPr>
              <w:jc w:val="left"/>
            </w:pPr>
            <w:r>
              <w:rPr>
                <w:rFonts w:ascii="Arial" w:cs="Arial" w:eastAsia="Arial" w:hAnsi="Arial"/>
                <w:b w:val="false"/>
                <w:bCs w:val="false"/>
                <w:sz w:val="18"/>
                <w:szCs w:val="18"/>
              </w:rPr>
              <w:t xml:space="preserve">Malware protection / Vulnerability management</w:t>
            </w:r>
          </w:p>
        </w:tc>
        <w:tc>
          <w:tcPr>
            <w:tcW w:type="dxa" w:w="4600"/>
            <w:shd w:fill="F2F2F2" w:val="clear"/>
            <w:vAlign w:val="center"/>
          </w:tcPr>
          <w:p>
            <w:pPr>
              <w:jc w:val="left"/>
            </w:pPr>
            <w:r>
              <w:rPr>
                <w:rFonts w:ascii="Arial" w:cs="Arial" w:eastAsia="Arial" w:hAnsi="Arial"/>
                <w:b w:val="false"/>
                <w:bCs w:val="false"/>
                <w:sz w:val="18"/>
                <w:szCs w:val="18"/>
              </w:rPr>
              <w:t xml:space="preserve">Deploy EDR; implement centralized patch management (30-day SLA)</w:t>
            </w:r>
          </w:p>
        </w:tc>
      </w:tr>
      <w:tr>
        <w:tc>
          <w:tcPr>
            <w:tcW w:type="dxa" w:w="1400"/>
            <w:shd w:fill="FFFFFF" w:val="clear"/>
            <w:vAlign w:val="center"/>
          </w:tcPr>
          <w:p>
            <w:pPr>
              <w:jc w:val="center"/>
            </w:pPr>
            <w:r>
              <w:rPr>
                <w:rFonts w:ascii="Arial" w:cs="Arial" w:eastAsia="Arial" w:hAnsi="Arial"/>
                <w:b/>
                <w:bCs/>
                <w:sz w:val="18"/>
                <w:szCs w:val="18"/>
              </w:rPr>
              <w:t xml:space="preserve">7.9 / 6.7</w:t>
            </w:r>
          </w:p>
        </w:tc>
        <w:tc>
          <w:tcPr>
            <w:tcW w:type="dxa" w:w="3200"/>
            <w:shd w:fill="FFFFFF" w:val="clear"/>
            <w:vAlign w:val="center"/>
          </w:tcPr>
          <w:p>
            <w:pPr>
              <w:jc w:val="left"/>
            </w:pPr>
            <w:r>
              <w:rPr>
                <w:rFonts w:ascii="Arial" w:cs="Arial" w:eastAsia="Arial" w:hAnsi="Arial"/>
                <w:b w:val="false"/>
                <w:bCs w:val="false"/>
                <w:sz w:val="18"/>
                <w:szCs w:val="18"/>
              </w:rPr>
              <w:t xml:space="preserve">Security of assets off-premises / Remote working</w:t>
            </w:r>
          </w:p>
        </w:tc>
        <w:tc>
          <w:tcPr>
            <w:tcW w:type="dxa" w:w="4600"/>
            <w:shd w:fill="FFFFFF" w:val="clear"/>
            <w:vAlign w:val="center"/>
          </w:tcPr>
          <w:p>
            <w:pPr>
              <w:jc w:val="left"/>
            </w:pPr>
            <w:r>
              <w:rPr>
                <w:rFonts w:ascii="Arial" w:cs="Arial" w:eastAsia="Arial" w:hAnsi="Arial"/>
                <w:b w:val="false"/>
                <w:bCs w:val="false"/>
                <w:sz w:val="18"/>
                <w:szCs w:val="18"/>
              </w:rPr>
              <w:t xml:space="preserve">Full-disk encryption and MDM for all laptops before next off-site use</w:t>
            </w:r>
          </w:p>
        </w:tc>
      </w:tr>
      <w:tr>
        <w:tc>
          <w:tcPr>
            <w:tcW w:type="dxa" w:w="1400"/>
            <w:shd w:fill="F2F2F2" w:val="clear"/>
            <w:vAlign w:val="center"/>
          </w:tcPr>
          <w:p>
            <w:pPr>
              <w:jc w:val="center"/>
            </w:pPr>
            <w:r>
              <w:rPr>
                <w:rFonts w:ascii="Arial" w:cs="Arial" w:eastAsia="Arial" w:hAnsi="Arial"/>
                <w:b/>
                <w:bCs/>
                <w:sz w:val="18"/>
                <w:szCs w:val="18"/>
              </w:rPr>
              <w:t xml:space="preserve">8.15 / 8.16</w:t>
            </w:r>
          </w:p>
        </w:tc>
        <w:tc>
          <w:tcPr>
            <w:tcW w:type="dxa" w:w="3200"/>
            <w:shd w:fill="F2F2F2" w:val="clear"/>
            <w:vAlign w:val="center"/>
          </w:tcPr>
          <w:p>
            <w:pPr>
              <w:jc w:val="left"/>
            </w:pPr>
            <w:r>
              <w:rPr>
                <w:rFonts w:ascii="Arial" w:cs="Arial" w:eastAsia="Arial" w:hAnsi="Arial"/>
                <w:b w:val="false"/>
                <w:bCs w:val="false"/>
                <w:sz w:val="18"/>
                <w:szCs w:val="18"/>
              </w:rPr>
              <w:t xml:space="preserve">Logging / Monitoring activities</w:t>
            </w:r>
          </w:p>
        </w:tc>
        <w:tc>
          <w:tcPr>
            <w:tcW w:type="dxa" w:w="4600"/>
            <w:shd w:fill="F2F2F2" w:val="clear"/>
            <w:vAlign w:val="center"/>
          </w:tcPr>
          <w:p>
            <w:pPr>
              <w:jc w:val="left"/>
            </w:pPr>
            <w:r>
              <w:rPr>
                <w:rFonts w:ascii="Arial" w:cs="Arial" w:eastAsia="Arial" w:hAnsi="Arial"/>
                <w:b w:val="false"/>
                <w:bCs w:val="false"/>
                <w:sz w:val="18"/>
                <w:szCs w:val="18"/>
              </w:rPr>
              <w:t xml:space="preserve">Enable centralized logging; implement basic alerting on financial systems</w:t>
            </w:r>
          </w:p>
        </w:tc>
      </w:tr>
    </w:tbl>
    <w:p>
      <w:pPr>
        <w:pStyle w:val="Heading2"/>
        <w:spacing w:after="100" w:before="200"/>
      </w:pPr>
      <w:r>
        <w:rPr>
          <w:rFonts w:ascii="Arial" w:cs="Arial" w:eastAsia="Arial" w:hAnsi="Arial"/>
          <w:b/>
          <w:bCs/>
          <w:color w:val="1F3864"/>
          <w:sz w:val="22"/>
          <w:szCs w:val="22"/>
        </w:rPr>
        <w:t xml:space="preserve">Phase 3 — Network, Continuity &amp; Remaining High-Priority Items (90-180 days)</w:t>
      </w:r>
    </w:p>
    <w:p>
      <w:pPr>
        <w:spacing w:after="140"/>
      </w:pPr>
      <w:r>
        <w:rPr>
          <w:rFonts w:ascii="Arial" w:cs="Arial" w:eastAsia="Arial" w:hAnsi="Arial"/>
          <w:i/>
          <w:iCs/>
          <w:color w:val="595959"/>
          <w:sz w:val="19"/>
          <w:szCs w:val="19"/>
        </w:rPr>
        <w:t xml:space="preserve">Addresses network segmentation, business continuity infrastructure, and the remaining High-priority controls not covered in Phase 2.</w:t>
      </w:r>
    </w:p>
    <w:tbl>
      <w:tblPr>
        <w:tblW w:type="dxa" w:w="9200"/>
        <w:tblBorders>
          <w:top w:val="single" w:color="BFBFBF" w:sz="2"/>
          <w:left w:val="single" w:color="BFBFBF" w:sz="2"/>
          <w:bottom w:val="single" w:color="BFBFBF" w:sz="2"/>
          <w:right w:val="single" w:color="BFBFBF" w:sz="2"/>
          <w:insideH w:val="single" w:color="BFBFBF" w:sz="2"/>
          <w:insideV w:val="single" w:color="BFBFBF" w:sz="2"/>
        </w:tblBorders>
      </w:tblPr>
      <w:tblGrid>
        <w:gridCol w:w="1400"/>
        <w:gridCol w:w="3200"/>
        <w:gridCol w:w="4600"/>
      </w:tblGrid>
      <w:tr>
        <w:trPr>
          <w:tblHeader/>
        </w:trPr>
        <w:tc>
          <w:tcPr>
            <w:tcW w:type="dxa" w:w="1400"/>
            <w:shd w:fill="1F3864" w:val="clear"/>
            <w:vAlign w:val="center"/>
          </w:tcPr>
          <w:p>
            <w:pPr>
              <w:jc w:val="center"/>
            </w:pPr>
            <w:r>
              <w:rPr>
                <w:rFonts w:ascii="Arial" w:cs="Arial" w:eastAsia="Arial" w:hAnsi="Arial"/>
                <w:b/>
                <w:bCs/>
                <w:color w:val="FFFFFF"/>
                <w:sz w:val="18"/>
                <w:szCs w:val="18"/>
              </w:rPr>
              <w:t xml:space="preserve">Control(s)</w:t>
            </w:r>
          </w:p>
        </w:tc>
        <w:tc>
          <w:tcPr>
            <w:tcW w:type="dxa" w:w="3200"/>
            <w:shd w:fill="1F3864" w:val="clear"/>
            <w:vAlign w:val="center"/>
          </w:tcPr>
          <w:p>
            <w:pPr>
              <w:jc w:val="center"/>
            </w:pPr>
            <w:r>
              <w:rPr>
                <w:rFonts w:ascii="Arial" w:cs="Arial" w:eastAsia="Arial" w:hAnsi="Arial"/>
                <w:b/>
                <w:bCs/>
                <w:color w:val="FFFFFF"/>
                <w:sz w:val="18"/>
                <w:szCs w:val="18"/>
              </w:rPr>
              <w:t xml:space="preserve">Area</w:t>
            </w:r>
          </w:p>
        </w:tc>
        <w:tc>
          <w:tcPr>
            <w:tcW w:type="dxa" w:w="4600"/>
            <w:shd w:fill="1F3864" w:val="clear"/>
            <w:vAlign w:val="center"/>
          </w:tcPr>
          <w:p>
            <w:pPr>
              <w:jc w:val="center"/>
            </w:pPr>
            <w:r>
              <w:rPr>
                <w:rFonts w:ascii="Arial" w:cs="Arial" w:eastAsia="Arial" w:hAnsi="Arial"/>
                <w:b/>
                <w:bCs/>
                <w:color w:val="FFFFFF"/>
                <w:sz w:val="18"/>
                <w:szCs w:val="18"/>
              </w:rPr>
              <w:t xml:space="preserve">Action</w:t>
            </w:r>
          </w:p>
        </w:tc>
      </w:tr>
      <w:tr>
        <w:tc>
          <w:tcPr>
            <w:tcW w:type="dxa" w:w="1400"/>
            <w:shd w:fill="FFFFFF" w:val="clear"/>
            <w:vAlign w:val="center"/>
          </w:tcPr>
          <w:p>
            <w:pPr>
              <w:jc w:val="center"/>
            </w:pPr>
            <w:r>
              <w:rPr>
                <w:rFonts w:ascii="Arial" w:cs="Arial" w:eastAsia="Arial" w:hAnsi="Arial"/>
                <w:b/>
                <w:bCs/>
                <w:sz w:val="18"/>
                <w:szCs w:val="18"/>
              </w:rPr>
              <w:t xml:space="preserve">8.20 / 8.22</w:t>
            </w:r>
          </w:p>
        </w:tc>
        <w:tc>
          <w:tcPr>
            <w:tcW w:type="dxa" w:w="3200"/>
            <w:shd w:fill="FFFFFF" w:val="clear"/>
            <w:vAlign w:val="center"/>
          </w:tcPr>
          <w:p>
            <w:pPr>
              <w:jc w:val="left"/>
            </w:pPr>
            <w:r>
              <w:rPr>
                <w:rFonts w:ascii="Arial" w:cs="Arial" w:eastAsia="Arial" w:hAnsi="Arial"/>
                <w:b w:val="false"/>
                <w:bCs w:val="false"/>
                <w:sz w:val="18"/>
                <w:szCs w:val="18"/>
              </w:rPr>
              <w:t xml:space="preserve">Networks security / Segregation of networks</w:t>
            </w:r>
          </w:p>
        </w:tc>
        <w:tc>
          <w:tcPr>
            <w:tcW w:type="dxa" w:w="4600"/>
            <w:shd w:fill="FFFFFF" w:val="clear"/>
            <w:vAlign w:val="center"/>
          </w:tcPr>
          <w:p>
            <w:pPr>
              <w:jc w:val="left"/>
            </w:pPr>
            <w:r>
              <w:rPr>
                <w:rFonts w:ascii="Arial" w:cs="Arial" w:eastAsia="Arial" w:hAnsi="Arial"/>
                <w:b w:val="false"/>
                <w:bCs w:val="false"/>
                <w:sz w:val="18"/>
                <w:szCs w:val="18"/>
              </w:rPr>
              <w:t xml:space="preserve">Deploy business-grade firewall; segment staff/guest/server networks</w:t>
            </w:r>
          </w:p>
        </w:tc>
      </w:tr>
      <w:tr>
        <w:tc>
          <w:tcPr>
            <w:tcW w:type="dxa" w:w="1400"/>
            <w:shd w:fill="F2F2F2" w:val="clear"/>
            <w:vAlign w:val="center"/>
          </w:tcPr>
          <w:p>
            <w:pPr>
              <w:jc w:val="center"/>
            </w:pPr>
            <w:r>
              <w:rPr>
                <w:rFonts w:ascii="Arial" w:cs="Arial" w:eastAsia="Arial" w:hAnsi="Arial"/>
                <w:b/>
                <w:bCs/>
                <w:sz w:val="18"/>
                <w:szCs w:val="18"/>
              </w:rPr>
              <w:t xml:space="preserve">8.24</w:t>
            </w:r>
          </w:p>
        </w:tc>
        <w:tc>
          <w:tcPr>
            <w:tcW w:type="dxa" w:w="3200"/>
            <w:shd w:fill="F2F2F2" w:val="clear"/>
            <w:vAlign w:val="center"/>
          </w:tcPr>
          <w:p>
            <w:pPr>
              <w:jc w:val="left"/>
            </w:pPr>
            <w:r>
              <w:rPr>
                <w:rFonts w:ascii="Arial" w:cs="Arial" w:eastAsia="Arial" w:hAnsi="Arial"/>
                <w:b w:val="false"/>
                <w:bCs w:val="false"/>
                <w:sz w:val="18"/>
                <w:szCs w:val="18"/>
              </w:rPr>
              <w:t xml:space="preserve">Use of cryptography</w:t>
            </w:r>
          </w:p>
        </w:tc>
        <w:tc>
          <w:tcPr>
            <w:tcW w:type="dxa" w:w="4600"/>
            <w:shd w:fill="F2F2F2" w:val="clear"/>
            <w:vAlign w:val="center"/>
          </w:tcPr>
          <w:p>
            <w:pPr>
              <w:jc w:val="left"/>
            </w:pPr>
            <w:r>
              <w:rPr>
                <w:rFonts w:ascii="Arial" w:cs="Arial" w:eastAsia="Arial" w:hAnsi="Arial"/>
                <w:b w:val="false"/>
                <w:bCs w:val="false"/>
                <w:sz w:val="18"/>
                <w:szCs w:val="18"/>
              </w:rPr>
              <w:t xml:space="preserve">Extend encryption to backups (at rest and in transit)</w:t>
            </w:r>
          </w:p>
        </w:tc>
      </w:tr>
      <w:tr>
        <w:tc>
          <w:tcPr>
            <w:tcW w:type="dxa" w:w="1400"/>
            <w:shd w:fill="FFFFFF" w:val="clear"/>
            <w:vAlign w:val="center"/>
          </w:tcPr>
          <w:p>
            <w:pPr>
              <w:jc w:val="center"/>
            </w:pPr>
            <w:r>
              <w:rPr>
                <w:rFonts w:ascii="Arial" w:cs="Arial" w:eastAsia="Arial" w:hAnsi="Arial"/>
                <w:b/>
                <w:bCs/>
                <w:sz w:val="18"/>
                <w:szCs w:val="18"/>
              </w:rPr>
              <w:t xml:space="preserve">5.29 / 5.30 / 7.11</w:t>
            </w:r>
          </w:p>
        </w:tc>
        <w:tc>
          <w:tcPr>
            <w:tcW w:type="dxa" w:w="3200"/>
            <w:shd w:fill="FFFFFF" w:val="clear"/>
            <w:vAlign w:val="center"/>
          </w:tcPr>
          <w:p>
            <w:pPr>
              <w:jc w:val="left"/>
            </w:pPr>
            <w:r>
              <w:rPr>
                <w:rFonts w:ascii="Arial" w:cs="Arial" w:eastAsia="Arial" w:hAnsi="Arial"/>
                <w:b w:val="false"/>
                <w:bCs w:val="false"/>
                <w:sz w:val="18"/>
                <w:szCs w:val="18"/>
              </w:rPr>
              <w:t xml:space="preserve">Security during disruption / ICT continuity / Supporting utilities</w:t>
            </w:r>
          </w:p>
        </w:tc>
        <w:tc>
          <w:tcPr>
            <w:tcW w:type="dxa" w:w="4600"/>
            <w:shd w:fill="FFFFFF" w:val="clear"/>
            <w:vAlign w:val="center"/>
          </w:tcPr>
          <w:p>
            <w:pPr>
              <w:jc w:val="left"/>
            </w:pPr>
            <w:r>
              <w:rPr>
                <w:rFonts w:ascii="Arial" w:cs="Arial" w:eastAsia="Arial" w:hAnsi="Arial"/>
                <w:b w:val="false"/>
                <w:bCs w:val="false"/>
                <w:sz w:val="18"/>
                <w:szCs w:val="18"/>
              </w:rPr>
              <w:t xml:space="preserve">Install UPS/generator; document and test a Business Continuity Plan</w:t>
            </w:r>
          </w:p>
        </w:tc>
      </w:tr>
      <w:tr>
        <w:tc>
          <w:tcPr>
            <w:tcW w:type="dxa" w:w="1400"/>
            <w:shd w:fill="F2F2F2" w:val="clear"/>
            <w:vAlign w:val="center"/>
          </w:tcPr>
          <w:p>
            <w:pPr>
              <w:jc w:val="center"/>
            </w:pPr>
            <w:r>
              <w:rPr>
                <w:rFonts w:ascii="Arial" w:cs="Arial" w:eastAsia="Arial" w:hAnsi="Arial"/>
                <w:b/>
                <w:bCs/>
                <w:sz w:val="18"/>
                <w:szCs w:val="18"/>
              </w:rPr>
              <w:t xml:space="preserve">5.31</w:t>
            </w:r>
          </w:p>
        </w:tc>
        <w:tc>
          <w:tcPr>
            <w:tcW w:type="dxa" w:w="3200"/>
            <w:shd w:fill="F2F2F2" w:val="clear"/>
            <w:vAlign w:val="center"/>
          </w:tcPr>
          <w:p>
            <w:pPr>
              <w:jc w:val="left"/>
            </w:pPr>
            <w:r>
              <w:rPr>
                <w:rFonts w:ascii="Arial" w:cs="Arial" w:eastAsia="Arial" w:hAnsi="Arial"/>
                <w:b w:val="false"/>
                <w:bCs w:val="false"/>
                <w:sz w:val="18"/>
                <w:szCs w:val="18"/>
              </w:rPr>
              <w:t xml:space="preserve">Legal, statutory, regulatory and contractual requirements</w:t>
            </w:r>
          </w:p>
        </w:tc>
        <w:tc>
          <w:tcPr>
            <w:tcW w:type="dxa" w:w="4600"/>
            <w:shd w:fill="F2F2F2" w:val="clear"/>
            <w:vAlign w:val="center"/>
          </w:tcPr>
          <w:p>
            <w:pPr>
              <w:jc w:val="left"/>
            </w:pPr>
            <w:r>
              <w:rPr>
                <w:rFonts w:ascii="Arial" w:cs="Arial" w:eastAsia="Arial" w:hAnsi="Arial"/>
                <w:b w:val="false"/>
                <w:bCs w:val="false"/>
                <w:sz w:val="18"/>
                <w:szCs w:val="18"/>
              </w:rPr>
              <w:t xml:space="preserve">Build a compliance obligations register (FAIS, POPIA, TCF)</w:t>
            </w:r>
          </w:p>
        </w:tc>
      </w:tr>
      <w:tr>
        <w:tc>
          <w:tcPr>
            <w:tcW w:type="dxa" w:w="1400"/>
            <w:shd w:fill="FFFFFF" w:val="clear"/>
            <w:vAlign w:val="center"/>
          </w:tcPr>
          <w:p>
            <w:pPr>
              <w:jc w:val="center"/>
            </w:pPr>
            <w:r>
              <w:rPr>
                <w:rFonts w:ascii="Arial" w:cs="Arial" w:eastAsia="Arial" w:hAnsi="Arial"/>
                <w:b/>
                <w:bCs/>
                <w:sz w:val="18"/>
                <w:szCs w:val="18"/>
              </w:rPr>
              <w:t xml:space="preserve">5.37</w:t>
            </w:r>
          </w:p>
        </w:tc>
        <w:tc>
          <w:tcPr>
            <w:tcW w:type="dxa" w:w="3200"/>
            <w:shd w:fill="FFFFFF" w:val="clear"/>
            <w:vAlign w:val="center"/>
          </w:tcPr>
          <w:p>
            <w:pPr>
              <w:jc w:val="left"/>
            </w:pPr>
            <w:r>
              <w:rPr>
                <w:rFonts w:ascii="Arial" w:cs="Arial" w:eastAsia="Arial" w:hAnsi="Arial"/>
                <w:b w:val="false"/>
                <w:bCs w:val="false"/>
                <w:sz w:val="18"/>
                <w:szCs w:val="18"/>
              </w:rPr>
              <w:t xml:space="preserve">Documented operating procedures</w:t>
            </w:r>
          </w:p>
        </w:tc>
        <w:tc>
          <w:tcPr>
            <w:tcW w:type="dxa" w:w="4600"/>
            <w:shd w:fill="FFFFFF" w:val="clear"/>
            <w:vAlign w:val="center"/>
          </w:tcPr>
          <w:p>
            <w:pPr>
              <w:jc w:val="left"/>
            </w:pPr>
            <w:r>
              <w:rPr>
                <w:rFonts w:ascii="Arial" w:cs="Arial" w:eastAsia="Arial" w:hAnsi="Arial"/>
                <w:b w:val="false"/>
                <w:bCs w:val="false"/>
                <w:sz w:val="18"/>
                <w:szCs w:val="18"/>
              </w:rPr>
              <w:t xml:space="preserve">Document SOPs for key IT and compliance tasks (reduces key-person risk)</w:t>
            </w:r>
          </w:p>
        </w:tc>
      </w:tr>
      <w:tr>
        <w:tc>
          <w:tcPr>
            <w:tcW w:type="dxa" w:w="1400"/>
            <w:shd w:fill="F2F2F2" w:val="clear"/>
            <w:vAlign w:val="center"/>
          </w:tcPr>
          <w:p>
            <w:pPr>
              <w:jc w:val="center"/>
            </w:pPr>
            <w:r>
              <w:rPr>
                <w:rFonts w:ascii="Arial" w:cs="Arial" w:eastAsia="Arial" w:hAnsi="Arial"/>
                <w:b/>
                <w:bCs/>
                <w:sz w:val="18"/>
                <w:szCs w:val="18"/>
              </w:rPr>
              <w:t xml:space="preserve">6.3</w:t>
            </w:r>
          </w:p>
        </w:tc>
        <w:tc>
          <w:tcPr>
            <w:tcW w:type="dxa" w:w="3200"/>
            <w:shd w:fill="F2F2F2" w:val="clear"/>
            <w:vAlign w:val="center"/>
          </w:tcPr>
          <w:p>
            <w:pPr>
              <w:jc w:val="left"/>
            </w:pPr>
            <w:r>
              <w:rPr>
                <w:rFonts w:ascii="Arial" w:cs="Arial" w:eastAsia="Arial" w:hAnsi="Arial"/>
                <w:b w:val="false"/>
                <w:bCs w:val="false"/>
                <w:sz w:val="18"/>
                <w:szCs w:val="18"/>
              </w:rPr>
              <w:t xml:space="preserve">Security awareness, education and training</w:t>
            </w:r>
          </w:p>
        </w:tc>
        <w:tc>
          <w:tcPr>
            <w:tcW w:type="dxa" w:w="4600"/>
            <w:shd w:fill="F2F2F2" w:val="clear"/>
            <w:vAlign w:val="center"/>
          </w:tcPr>
          <w:p>
            <w:pPr>
              <w:jc w:val="left"/>
            </w:pPr>
            <w:r>
              <w:rPr>
                <w:rFonts w:ascii="Arial" w:cs="Arial" w:eastAsia="Arial" w:hAnsi="Arial"/>
                <w:b w:val="false"/>
                <w:bCs w:val="false"/>
                <w:sz w:val="18"/>
                <w:szCs w:val="18"/>
              </w:rPr>
              <w:t xml:space="preserve">Implement structured onboarding and annual refresher training</w:t>
            </w:r>
          </w:p>
        </w:tc>
      </w:tr>
    </w:tbl>
    <w:p>
      <w:pPr>
        <w:pStyle w:val="Heading2"/>
        <w:spacing w:after="100" w:before="200"/>
      </w:pPr>
      <w:r>
        <w:rPr>
          <w:rFonts w:ascii="Arial" w:cs="Arial" w:eastAsia="Arial" w:hAnsi="Arial"/>
          <w:b/>
          <w:bCs/>
          <w:color w:val="1F3864"/>
          <w:sz w:val="22"/>
          <w:szCs w:val="22"/>
        </w:rPr>
        <w:t xml:space="preserve">Phase 4 — Medium/Low Priority &amp; Continuous Improvement (180+ days)</w:t>
      </w:r>
    </w:p>
    <w:p>
      <w:pPr>
        <w:spacing w:after="140"/>
      </w:pPr>
      <w:r>
        <w:rPr>
          <w:rFonts w:ascii="Arial" w:cs="Arial" w:eastAsia="Arial" w:hAnsi="Arial"/>
          <w:i/>
          <w:iCs/>
          <w:color w:val="595959"/>
          <w:sz w:val="19"/>
          <w:szCs w:val="19"/>
        </w:rPr>
        <w:t xml:space="preserve">Addresses the remaining 32 Medium and 19 Low-priority controls, plus establishes ongoing governance so maturity continues to improve after the initial remediation push.</w:t>
      </w:r>
    </w:p>
    <w:tbl>
      <w:tblPr>
        <w:tblW w:type="dxa" w:w="9200"/>
        <w:tblBorders>
          <w:top w:val="single" w:color="BFBFBF" w:sz="2"/>
          <w:left w:val="single" w:color="BFBFBF" w:sz="2"/>
          <w:bottom w:val="single" w:color="BFBFBF" w:sz="2"/>
          <w:right w:val="single" w:color="BFBFBF" w:sz="2"/>
          <w:insideH w:val="single" w:color="BFBFBF" w:sz="2"/>
          <w:insideV w:val="single" w:color="BFBFBF" w:sz="2"/>
        </w:tblBorders>
      </w:tblPr>
      <w:tblGrid>
        <w:gridCol w:w="1400"/>
        <w:gridCol w:w="3200"/>
        <w:gridCol w:w="4600"/>
      </w:tblGrid>
      <w:tr>
        <w:trPr>
          <w:tblHeader/>
        </w:trPr>
        <w:tc>
          <w:tcPr>
            <w:tcW w:type="dxa" w:w="1400"/>
            <w:shd w:fill="1F3864" w:val="clear"/>
            <w:vAlign w:val="center"/>
          </w:tcPr>
          <w:p>
            <w:pPr>
              <w:jc w:val="center"/>
            </w:pPr>
            <w:r>
              <w:rPr>
                <w:rFonts w:ascii="Arial" w:cs="Arial" w:eastAsia="Arial" w:hAnsi="Arial"/>
                <w:b/>
                <w:bCs/>
                <w:color w:val="FFFFFF"/>
                <w:sz w:val="18"/>
                <w:szCs w:val="18"/>
              </w:rPr>
              <w:t xml:space="preserve">Control(s)</w:t>
            </w:r>
          </w:p>
        </w:tc>
        <w:tc>
          <w:tcPr>
            <w:tcW w:type="dxa" w:w="3200"/>
            <w:shd w:fill="1F3864" w:val="clear"/>
            <w:vAlign w:val="center"/>
          </w:tcPr>
          <w:p>
            <w:pPr>
              <w:jc w:val="center"/>
            </w:pPr>
            <w:r>
              <w:rPr>
                <w:rFonts w:ascii="Arial" w:cs="Arial" w:eastAsia="Arial" w:hAnsi="Arial"/>
                <w:b/>
                <w:bCs/>
                <w:color w:val="FFFFFF"/>
                <w:sz w:val="18"/>
                <w:szCs w:val="18"/>
              </w:rPr>
              <w:t xml:space="preserve">Area</w:t>
            </w:r>
          </w:p>
        </w:tc>
        <w:tc>
          <w:tcPr>
            <w:tcW w:type="dxa" w:w="4600"/>
            <w:shd w:fill="1F3864" w:val="clear"/>
            <w:vAlign w:val="center"/>
          </w:tcPr>
          <w:p>
            <w:pPr>
              <w:jc w:val="center"/>
            </w:pPr>
            <w:r>
              <w:rPr>
                <w:rFonts w:ascii="Arial" w:cs="Arial" w:eastAsia="Arial" w:hAnsi="Arial"/>
                <w:b/>
                <w:bCs/>
                <w:color w:val="FFFFFF"/>
                <w:sz w:val="18"/>
                <w:szCs w:val="18"/>
              </w:rPr>
              <w:t xml:space="preserve">Action</w:t>
            </w:r>
          </w:p>
        </w:tc>
      </w:tr>
      <w:tr>
        <w:tc>
          <w:tcPr>
            <w:tcW w:type="dxa" w:w="1400"/>
            <w:shd w:fill="FFFFFF" w:val="clear"/>
            <w:vAlign w:val="center"/>
          </w:tcPr>
          <w:p>
            <w:pPr>
              <w:jc w:val="center"/>
            </w:pPr>
            <w:r>
              <w:rPr>
                <w:rFonts w:ascii="Arial" w:cs="Arial" w:eastAsia="Arial" w:hAnsi="Arial"/>
                <w:b/>
                <w:bCs/>
                <w:sz w:val="18"/>
                <w:szCs w:val="18"/>
              </w:rPr>
              <w:t xml:space="preserve">5.19-5.23</w:t>
            </w:r>
          </w:p>
        </w:tc>
        <w:tc>
          <w:tcPr>
            <w:tcW w:type="dxa" w:w="3200"/>
            <w:shd w:fill="FFFFFF" w:val="clear"/>
            <w:vAlign w:val="center"/>
          </w:tcPr>
          <w:p>
            <w:pPr>
              <w:jc w:val="left"/>
            </w:pPr>
            <w:r>
              <w:rPr>
                <w:rFonts w:ascii="Arial" w:cs="Arial" w:eastAsia="Arial" w:hAnsi="Arial"/>
                <w:b w:val="false"/>
                <w:bCs w:val="false"/>
                <w:sz w:val="18"/>
                <w:szCs w:val="18"/>
              </w:rPr>
              <w:t xml:space="preserve">Supplier relationship controls</w:t>
            </w:r>
          </w:p>
        </w:tc>
        <w:tc>
          <w:tcPr>
            <w:tcW w:type="dxa" w:w="4600"/>
            <w:shd w:fill="FFFFFF" w:val="clear"/>
            <w:vAlign w:val="center"/>
          </w:tcPr>
          <w:p>
            <w:pPr>
              <w:jc w:val="left"/>
            </w:pPr>
            <w:r>
              <w:rPr>
                <w:rFonts w:ascii="Arial" w:cs="Arial" w:eastAsia="Arial" w:hAnsi="Arial"/>
                <w:b w:val="false"/>
                <w:bCs w:val="false"/>
                <w:sz w:val="18"/>
                <w:szCs w:val="18"/>
              </w:rPr>
              <w:t xml:space="preserve">Implement vendor due-diligence process and standard security contract clauses</w:t>
            </w:r>
          </w:p>
        </w:tc>
      </w:tr>
      <w:tr>
        <w:tc>
          <w:tcPr>
            <w:tcW w:type="dxa" w:w="1400"/>
            <w:shd w:fill="F2F2F2" w:val="clear"/>
            <w:vAlign w:val="center"/>
          </w:tcPr>
          <w:p>
            <w:pPr>
              <w:jc w:val="center"/>
            </w:pPr>
            <w:r>
              <w:rPr>
                <w:rFonts w:ascii="Arial" w:cs="Arial" w:eastAsia="Arial" w:hAnsi="Arial"/>
                <w:b/>
                <w:bCs/>
                <w:sz w:val="18"/>
                <w:szCs w:val="18"/>
              </w:rPr>
              <w:t xml:space="preserve">5.3</w:t>
            </w:r>
          </w:p>
        </w:tc>
        <w:tc>
          <w:tcPr>
            <w:tcW w:type="dxa" w:w="3200"/>
            <w:shd w:fill="F2F2F2" w:val="clear"/>
            <w:vAlign w:val="center"/>
          </w:tcPr>
          <w:p>
            <w:pPr>
              <w:jc w:val="left"/>
            </w:pPr>
            <w:r>
              <w:rPr>
                <w:rFonts w:ascii="Arial" w:cs="Arial" w:eastAsia="Arial" w:hAnsi="Arial"/>
                <w:b w:val="false"/>
                <w:bCs w:val="false"/>
                <w:sz w:val="18"/>
                <w:szCs w:val="18"/>
              </w:rPr>
              <w:t xml:space="preserve">Segregation of duties</w:t>
            </w:r>
          </w:p>
        </w:tc>
        <w:tc>
          <w:tcPr>
            <w:tcW w:type="dxa" w:w="4600"/>
            <w:shd w:fill="F2F2F2" w:val="clear"/>
            <w:vAlign w:val="center"/>
          </w:tcPr>
          <w:p>
            <w:pPr>
              <w:jc w:val="left"/>
            </w:pPr>
            <w:r>
              <w:rPr>
                <w:rFonts w:ascii="Arial" w:cs="Arial" w:eastAsia="Arial" w:hAnsi="Arial"/>
                <w:b w:val="false"/>
                <w:bCs w:val="false"/>
                <w:sz w:val="18"/>
                <w:szCs w:val="18"/>
              </w:rPr>
              <w:t xml:space="preserve">Fully automate claims assessment/approval separation</w:t>
            </w:r>
          </w:p>
        </w:tc>
      </w:tr>
      <w:tr>
        <w:tc>
          <w:tcPr>
            <w:tcW w:type="dxa" w:w="1400"/>
            <w:shd w:fill="FFFFFF" w:val="clear"/>
            <w:vAlign w:val="center"/>
          </w:tcPr>
          <w:p>
            <w:pPr>
              <w:jc w:val="center"/>
            </w:pPr>
            <w:r>
              <w:rPr>
                <w:rFonts w:ascii="Arial" w:cs="Arial" w:eastAsia="Arial" w:hAnsi="Arial"/>
                <w:b/>
                <w:bCs/>
                <w:sz w:val="18"/>
                <w:szCs w:val="18"/>
              </w:rPr>
              <w:t xml:space="preserve">7.1-7.14 (remaining)</w:t>
            </w:r>
          </w:p>
        </w:tc>
        <w:tc>
          <w:tcPr>
            <w:tcW w:type="dxa" w:w="3200"/>
            <w:shd w:fill="FFFFFF" w:val="clear"/>
            <w:vAlign w:val="center"/>
          </w:tcPr>
          <w:p>
            <w:pPr>
              <w:jc w:val="left"/>
            </w:pPr>
            <w:r>
              <w:rPr>
                <w:rFonts w:ascii="Arial" w:cs="Arial" w:eastAsia="Arial" w:hAnsi="Arial"/>
                <w:b w:val="false"/>
                <w:bCs w:val="false"/>
                <w:sz w:val="18"/>
                <w:szCs w:val="18"/>
              </w:rPr>
              <w:t xml:space="preserve">Remaining physical controls</w:t>
            </w:r>
          </w:p>
        </w:tc>
        <w:tc>
          <w:tcPr>
            <w:tcW w:type="dxa" w:w="4600"/>
            <w:shd w:fill="FFFFFF" w:val="clear"/>
            <w:vAlign w:val="center"/>
          </w:tcPr>
          <w:p>
            <w:pPr>
              <w:jc w:val="left"/>
            </w:pPr>
            <w:r>
              <w:rPr>
                <w:rFonts w:ascii="Arial" w:cs="Arial" w:eastAsia="Arial" w:hAnsi="Arial"/>
                <w:b w:val="false"/>
                <w:bCs w:val="false"/>
                <w:sz w:val="18"/>
                <w:szCs w:val="18"/>
              </w:rPr>
              <w:t xml:space="preserve">Clear desk policy, secure equipment siting, certified disposal process</w:t>
            </w:r>
          </w:p>
        </w:tc>
      </w:tr>
      <w:tr>
        <w:tc>
          <w:tcPr>
            <w:tcW w:type="dxa" w:w="1400"/>
            <w:shd w:fill="F2F2F2" w:val="clear"/>
            <w:vAlign w:val="center"/>
          </w:tcPr>
          <w:p>
            <w:pPr>
              <w:jc w:val="center"/>
            </w:pPr>
            <w:r>
              <w:rPr>
                <w:rFonts w:ascii="Arial" w:cs="Arial" w:eastAsia="Arial" w:hAnsi="Arial"/>
                <w:b/>
                <w:bCs/>
                <w:sz w:val="18"/>
                <w:szCs w:val="18"/>
              </w:rPr>
              <w:t xml:space="preserve">8.9 / 8.19 / 8.32</w:t>
            </w:r>
          </w:p>
        </w:tc>
        <w:tc>
          <w:tcPr>
            <w:tcW w:type="dxa" w:w="3200"/>
            <w:shd w:fill="F2F2F2" w:val="clear"/>
            <w:vAlign w:val="center"/>
          </w:tcPr>
          <w:p>
            <w:pPr>
              <w:jc w:val="left"/>
            </w:pPr>
            <w:r>
              <w:rPr>
                <w:rFonts w:ascii="Arial" w:cs="Arial" w:eastAsia="Arial" w:hAnsi="Arial"/>
                <w:b w:val="false"/>
                <w:bCs w:val="false"/>
                <w:sz w:val="18"/>
                <w:szCs w:val="18"/>
              </w:rPr>
              <w:t xml:space="preserve">Configuration management / Software installation / Change management</w:t>
            </w:r>
          </w:p>
        </w:tc>
        <w:tc>
          <w:tcPr>
            <w:tcW w:type="dxa" w:w="4600"/>
            <w:shd w:fill="F2F2F2" w:val="clear"/>
            <w:vAlign w:val="center"/>
          </w:tcPr>
          <w:p>
            <w:pPr>
              <w:jc w:val="left"/>
            </w:pPr>
            <w:r>
              <w:rPr>
                <w:rFonts w:ascii="Arial" w:cs="Arial" w:eastAsia="Arial" w:hAnsi="Arial"/>
                <w:b w:val="false"/>
                <w:bCs w:val="false"/>
                <w:sz w:val="18"/>
                <w:szCs w:val="18"/>
              </w:rPr>
              <w:t xml:space="preserve">Define secure configuration baselines; lightweight change management process</w:t>
            </w:r>
          </w:p>
        </w:tc>
      </w:tr>
      <w:tr>
        <w:tc>
          <w:tcPr>
            <w:tcW w:type="dxa" w:w="1400"/>
            <w:shd w:fill="FFFFFF" w:val="clear"/>
            <w:vAlign w:val="center"/>
          </w:tcPr>
          <w:p>
            <w:pPr>
              <w:jc w:val="center"/>
            </w:pPr>
            <w:r>
              <w:rPr>
                <w:rFonts w:ascii="Arial" w:cs="Arial" w:eastAsia="Arial" w:hAnsi="Arial"/>
                <w:b/>
                <w:bCs/>
                <w:sz w:val="18"/>
                <w:szCs w:val="18"/>
              </w:rPr>
              <w:t xml:space="preserve">5.35</w:t>
            </w:r>
          </w:p>
        </w:tc>
        <w:tc>
          <w:tcPr>
            <w:tcW w:type="dxa" w:w="3200"/>
            <w:shd w:fill="FFFFFF" w:val="clear"/>
            <w:vAlign w:val="center"/>
          </w:tcPr>
          <w:p>
            <w:pPr>
              <w:jc w:val="left"/>
            </w:pPr>
            <w:r>
              <w:rPr>
                <w:rFonts w:ascii="Arial" w:cs="Arial" w:eastAsia="Arial" w:hAnsi="Arial"/>
                <w:b w:val="false"/>
                <w:bCs w:val="false"/>
                <w:sz w:val="18"/>
                <w:szCs w:val="18"/>
              </w:rPr>
              <w:t xml:space="preserve">Independent review of information security</w:t>
            </w:r>
          </w:p>
        </w:tc>
        <w:tc>
          <w:tcPr>
            <w:tcW w:type="dxa" w:w="4600"/>
            <w:shd w:fill="FFFFFF" w:val="clear"/>
            <w:vAlign w:val="center"/>
          </w:tcPr>
          <w:p>
            <w:pPr>
              <w:jc w:val="left"/>
            </w:pPr>
            <w:r>
              <w:rPr>
                <w:rFonts w:ascii="Arial" w:cs="Arial" w:eastAsia="Arial" w:hAnsi="Arial"/>
                <w:b w:val="false"/>
                <w:bCs w:val="false"/>
                <w:sz w:val="18"/>
                <w:szCs w:val="18"/>
              </w:rPr>
              <w:t xml:space="preserve">Commission first annual independent ISMS review once Phases 1-3 are complete</w:t>
            </w:r>
          </w:p>
        </w:tc>
      </w:tr>
      <w:tr>
        <w:tc>
          <w:tcPr>
            <w:tcW w:type="dxa" w:w="1400"/>
            <w:shd w:fill="F2F2F2" w:val="clear"/>
            <w:vAlign w:val="center"/>
          </w:tcPr>
          <w:p>
            <w:pPr>
              <w:jc w:val="center"/>
            </w:pPr>
            <w:r>
              <w:rPr>
                <w:rFonts w:ascii="Arial" w:cs="Arial" w:eastAsia="Arial" w:hAnsi="Arial"/>
                <w:b/>
                <w:bCs/>
                <w:sz w:val="18"/>
                <w:szCs w:val="18"/>
              </w:rPr>
              <w:t xml:space="preserve">Ongoing</w:t>
            </w:r>
          </w:p>
        </w:tc>
        <w:tc>
          <w:tcPr>
            <w:tcW w:type="dxa" w:w="3200"/>
            <w:shd w:fill="F2F2F2" w:val="clear"/>
            <w:vAlign w:val="center"/>
          </w:tcPr>
          <w:p>
            <w:pPr>
              <w:jc w:val="left"/>
            </w:pPr>
            <w:r>
              <w:rPr>
                <w:rFonts w:ascii="Arial" w:cs="Arial" w:eastAsia="Arial" w:hAnsi="Arial"/>
                <w:b w:val="false"/>
                <w:bCs w:val="false"/>
                <w:sz w:val="18"/>
                <w:szCs w:val="18"/>
              </w:rPr>
              <w:t xml:space="preserve">Governance</w:t>
            </w:r>
          </w:p>
        </w:tc>
        <w:tc>
          <w:tcPr>
            <w:tcW w:type="dxa" w:w="4600"/>
            <w:shd w:fill="F2F2F2" w:val="clear"/>
            <w:vAlign w:val="center"/>
          </w:tcPr>
          <w:p>
            <w:pPr>
              <w:jc w:val="left"/>
            </w:pPr>
            <w:r>
              <w:rPr>
                <w:rFonts w:ascii="Arial" w:cs="Arial" w:eastAsia="Arial" w:hAnsi="Arial"/>
                <w:b w:val="false"/>
                <w:bCs w:val="false"/>
                <w:sz w:val="18"/>
                <w:szCs w:val="18"/>
              </w:rPr>
              <w:t xml:space="preserve">Quarterly review of this Gap Assessment; re-score maturity annually</w:t>
            </w:r>
          </w:p>
        </w:tc>
      </w:tr>
    </w:tbl>
    <w:p>
      <w:pPr>
        <w:pStyle w:val="Heading1"/>
        <w:spacing w:after="120" w:before="260"/>
      </w:pPr>
      <w:r>
        <w:rPr>
          <w:rFonts w:ascii="Arial" w:cs="Arial" w:eastAsia="Arial" w:hAnsi="Arial"/>
          <w:b/>
          <w:bCs/>
          <w:color w:val="1F3864"/>
          <w:sz w:val="26"/>
          <w:szCs w:val="26"/>
        </w:rPr>
        <w:t xml:space="preserve">6. Governance &amp; Next Steps</w:t>
      </w:r>
    </w:p>
    <w:p>
      <w:pPr>
        <w:pStyle w:val="ListParagraph"/>
        <w:numPr>
          <w:ilvl w:val="0"/>
          <w:numId w:val="1"/>
        </w:numPr>
        <w:spacing w:after="80"/>
      </w:pPr>
      <w:r>
        <w:rPr>
          <w:rFonts w:ascii="Arial" w:cs="Arial" w:eastAsia="Arial" w:hAnsi="Arial"/>
          <w:sz w:val="21"/>
          <w:szCs w:val="21"/>
        </w:rPr>
        <w:t xml:space="preserve">This Gap Assessment should be re-run in full after Phase 2 completes (approx. month 3) to confirm maturity has genuinely improved, not just that tasks were closed.</w:t>
      </w:r>
    </w:p>
    <w:p>
      <w:pPr>
        <w:pStyle w:val="ListParagraph"/>
        <w:numPr>
          <w:ilvl w:val="0"/>
          <w:numId w:val="1"/>
        </w:numPr>
        <w:spacing w:after="80"/>
      </w:pPr>
      <w:r>
        <w:rPr>
          <w:rFonts w:ascii="Arial" w:cs="Arial" w:eastAsia="Arial" w:hAnsi="Arial"/>
          <w:sz w:val="21"/>
          <w:szCs w:val="21"/>
        </w:rPr>
        <w:t xml:space="preserve">The Compliance Officer owns this document; each phase's action items should be assigned individual owners and tracked to the same cadence as the Risk Treatment Plan.</w:t>
      </w:r>
    </w:p>
    <w:p>
      <w:pPr>
        <w:pStyle w:val="ListParagraph"/>
        <w:numPr>
          <w:ilvl w:val="0"/>
          <w:numId w:val="1"/>
        </w:numPr>
        <w:spacing w:after="80"/>
      </w:pPr>
      <w:r>
        <w:rPr>
          <w:rFonts w:ascii="Arial" w:cs="Arial" w:eastAsia="Arial" w:hAnsi="Arial"/>
          <w:sz w:val="21"/>
          <w:szCs w:val="21"/>
        </w:rPr>
        <w:t xml:space="preserve">Once Phases 1-3 are substantially complete, an independent readiness review (A.5.35) is recommended before considering formal ISO 27001 certification.</w:t>
      </w:r>
    </w:p>
    <w:p>
      <w:pPr>
        <w:pStyle w:val="ListParagraph"/>
        <w:numPr>
          <w:ilvl w:val="0"/>
          <w:numId w:val="1"/>
        </w:numPr>
        <w:spacing w:after="80"/>
      </w:pPr>
      <w:r>
        <w:rPr>
          <w:rFonts w:ascii="Arial" w:cs="Arial" w:eastAsia="Arial" w:hAnsi="Arial"/>
          <w:sz w:val="21"/>
          <w:szCs w:val="21"/>
        </w:rPr>
        <w:t xml:space="preserve">This assessment, the Risk Register, the ISO 27001 Control Mapping, and the Risk Treatment Plan together form a coherent, defensible ISMS planning package — each document should be kept in sync as controls are implemented.</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Happy Insurance Brokers — ISO 27001 Gap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2026-08-16T19:24:30.150Z</dcterms:created>
  <dcterms:modified xsi:type="dcterms:W3CDTF">2026-08-16T19:24:30.160Z</dcterms:modified>
</cp:coreProperties>
</file>

<file path=docProps/custom.xml><?xml version="1.0" encoding="utf-8"?>
<Properties xmlns="http://schemas.openxmlformats.org/officeDocument/2006/custom-properties" xmlns:vt="http://schemas.openxmlformats.org/officeDocument/2006/docPropsVTypes"/>
</file>