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F3864"/>
          <w:sz w:val="36"/>
          <w:szCs w:val="36"/>
        </w:rPr>
        <w:t xml:space="preserve">Information Security Policy Suite</w:t>
      </w:r>
    </w:p>
    <w:p>
      <w:pPr>
        <w:spacing w:after="100"/>
      </w:pPr>
      <w:r>
        <w:rPr>
          <w:rFonts w:ascii="Arial" w:cs="Arial" w:eastAsia="Arial" w:hAnsi="Arial"/>
          <w:i/>
          <w:iCs/>
          <w:color w:val="595959"/>
          <w:sz w:val="20"/>
          <w:szCs w:val="20"/>
        </w:rPr>
        <w:t xml:space="preserve">Happy Insurance Brokers (Pty) Ltd — Fictional FSP | Approved by: Managing Director | Date: August 2026</w:t>
      </w:r>
    </w:p>
    <w:p>
      <w:pPr>
        <w:spacing w:after="140"/>
      </w:pPr>
      <w:r>
        <w:rPr>
          <w:rFonts w:ascii="Arial" w:cs="Arial" w:eastAsia="Arial" w:hAnsi="Arial"/>
          <w:sz w:val="21"/>
          <w:szCs w:val="21"/>
        </w:rPr>
        <w:t xml:space="preserve">This suite contains four core policies referenced throughout the organization's Risk Register, ISO 27001 Gap Assessment, and Incident Response Playbook: Acceptable Use, Password, Data Classification, and Incident Response. Each policy follows a consistent structure (Purpose, Scope, Policy Statements, Roles &amp; Responsibilities, Enforcement) for ease of audit and staff reference.</w:t>
      </w:r>
    </w:p>
    <w:p>
      <w:pPr>
        <w:pStyle w:val="Heading1"/>
        <w:spacing w:after="100" w:before="0"/>
      </w:pPr>
      <w:r>
        <w:rPr>
          <w:rFonts w:ascii="Arial" w:cs="Arial" w:eastAsia="Arial" w:hAnsi="Arial"/>
          <w:b/>
          <w:bCs/>
          <w:color w:val="1F3864"/>
          <w:sz w:val="30"/>
          <w:szCs w:val="30"/>
        </w:rPr>
        <w:t xml:space="preserve">1. Acceptable Use Policy</w:t>
      </w:r>
    </w:p>
    <w:p>
      <w:pPr>
        <w:spacing w:after="40"/>
      </w:pPr>
      <w:r>
        <w:rPr>
          <w:rFonts w:ascii="Arial" w:cs="Arial" w:eastAsia="Arial" w:hAnsi="Arial"/>
          <w:b/>
          <w:bCs/>
          <w:sz w:val="19"/>
          <w:szCs w:val="19"/>
        </w:rPr>
        <w:t xml:space="preserve">Document No.: </w:t>
      </w:r>
      <w:r>
        <w:rPr>
          <w:rFonts w:ascii="Arial" w:cs="Arial" w:eastAsia="Arial" w:hAnsi="Arial"/>
          <w:sz w:val="19"/>
          <w:szCs w:val="19"/>
        </w:rPr>
        <w:t xml:space="preserve">POL-001</w:t>
      </w:r>
    </w:p>
    <w:p>
      <w:pPr>
        <w:spacing w:after="40"/>
      </w:pPr>
      <w:r>
        <w:rPr>
          <w:rFonts w:ascii="Arial" w:cs="Arial" w:eastAsia="Arial" w:hAnsi="Arial"/>
          <w:b/>
          <w:bCs/>
          <w:sz w:val="19"/>
          <w:szCs w:val="19"/>
        </w:rPr>
        <w:t xml:space="preserve">Owner: </w:t>
      </w:r>
      <w:r>
        <w:rPr>
          <w:rFonts w:ascii="Arial" w:cs="Arial" w:eastAsia="Arial" w:hAnsi="Arial"/>
          <w:sz w:val="19"/>
          <w:szCs w:val="19"/>
        </w:rPr>
        <w:t xml:space="preserve">IT Manager</w:t>
      </w:r>
    </w:p>
    <w:p>
      <w:pPr>
        <w:spacing w:after="40"/>
      </w:pPr>
      <w:r>
        <w:rPr>
          <w:rFonts w:ascii="Arial" w:cs="Arial" w:eastAsia="Arial" w:hAnsi="Arial"/>
          <w:b/>
          <w:bCs/>
          <w:sz w:val="19"/>
          <w:szCs w:val="19"/>
        </w:rPr>
        <w:t xml:space="preserve">Effective Date: </w:t>
      </w:r>
      <w:r>
        <w:rPr>
          <w:rFonts w:ascii="Arial" w:cs="Arial" w:eastAsia="Arial" w:hAnsi="Arial"/>
          <w:sz w:val="19"/>
          <w:szCs w:val="19"/>
        </w:rPr>
        <w:t xml:space="preserve">August 2026</w:t>
      </w:r>
    </w:p>
    <w:p>
      <w:pPr>
        <w:spacing w:after="40"/>
      </w:pPr>
      <w:r>
        <w:rPr>
          <w:rFonts w:ascii="Arial" w:cs="Arial" w:eastAsia="Arial" w:hAnsi="Arial"/>
          <w:b/>
          <w:bCs/>
          <w:sz w:val="19"/>
          <w:szCs w:val="19"/>
        </w:rPr>
        <w:t xml:space="preserve">Review Cycle: </w:t>
      </w:r>
      <w:r>
        <w:rPr>
          <w:rFonts w:ascii="Arial" w:cs="Arial" w:eastAsia="Arial" w:hAnsi="Arial"/>
          <w:sz w:val="19"/>
          <w:szCs w:val="19"/>
        </w:rPr>
        <w:t xml:space="preserve">Annual</w:t>
      </w:r>
    </w:p>
    <w:p>
      <w:pPr>
        <w:spacing w:after="40"/>
      </w:pPr>
      <w:r>
        <w:rPr>
          <w:rFonts w:ascii="Arial" w:cs="Arial" w:eastAsia="Arial" w:hAnsi="Arial"/>
          <w:b/>
          <w:bCs/>
          <w:sz w:val="19"/>
          <w:szCs w:val="19"/>
        </w:rPr>
        <w:t xml:space="preserve">Applies To: </w:t>
      </w:r>
      <w:r>
        <w:rPr>
          <w:rFonts w:ascii="Arial" w:cs="Arial" w:eastAsia="Arial" w:hAnsi="Arial"/>
          <w:sz w:val="19"/>
          <w:szCs w:val="19"/>
        </w:rPr>
        <w:t xml:space="preserve">All employees, contractors, and third parties with access to Happy Insurance Brokers systems or data</w:t>
      </w:r>
    </w:p>
    <w:p>
      <w:pPr>
        <w:spacing w:after="120" w:before="120"/>
      </w:pPr>
      <w:r>
        <w:rPr>
          <w:rFonts w:ascii="Arial" w:cs="Arial" w:eastAsia="Arial" w:hAnsi="Arial"/>
          <w:sz w:val="2"/>
          <w:szCs w:val="2"/>
        </w:rPr>
        <w:t xml:space="preserve"/>
      </w:r>
    </w:p>
    <w:p>
      <w:pPr>
        <w:pStyle w:val="Heading2"/>
        <w:spacing w:after="100" w:before="200"/>
      </w:pPr>
      <w:r>
        <w:rPr>
          <w:rFonts w:ascii="Arial" w:cs="Arial" w:eastAsia="Arial" w:hAnsi="Arial"/>
          <w:b/>
          <w:bCs/>
          <w:color w:val="1F3864"/>
          <w:sz w:val="22"/>
          <w:szCs w:val="22"/>
        </w:rPr>
        <w:t xml:space="preserve">1.1 Purpose</w:t>
      </w:r>
    </w:p>
    <w:p>
      <w:pPr>
        <w:spacing w:after="140"/>
      </w:pPr>
      <w:r>
        <w:rPr>
          <w:rFonts w:ascii="Arial" w:cs="Arial" w:eastAsia="Arial" w:hAnsi="Arial"/>
          <w:sz w:val="21"/>
          <w:szCs w:val="21"/>
        </w:rPr>
        <w:t xml:space="preserve">This policy defines acceptable use of Happy Insurance Brokers' information systems, devices, and data by all staff, ensuring systems are used appropriately, securely, and in line with the organization's legal and regulatory obligations under FAIS and POPIA.</w:t>
      </w:r>
    </w:p>
    <w:p>
      <w:pPr>
        <w:pStyle w:val="Heading2"/>
        <w:spacing w:after="100" w:before="200"/>
      </w:pPr>
      <w:r>
        <w:rPr>
          <w:rFonts w:ascii="Arial" w:cs="Arial" w:eastAsia="Arial" w:hAnsi="Arial"/>
          <w:b/>
          <w:bCs/>
          <w:color w:val="1F3864"/>
          <w:sz w:val="22"/>
          <w:szCs w:val="22"/>
        </w:rPr>
        <w:t xml:space="preserve">1.2 Scope</w:t>
      </w:r>
    </w:p>
    <w:p>
      <w:pPr>
        <w:spacing w:after="140"/>
      </w:pPr>
      <w:r>
        <w:rPr>
          <w:rFonts w:ascii="Arial" w:cs="Arial" w:eastAsia="Arial" w:hAnsi="Arial"/>
          <w:sz w:val="21"/>
          <w:szCs w:val="21"/>
        </w:rPr>
        <w:t xml:space="preserve">Applies to all company-owned and company-managed devices (laptops, phones), accounts (email, CRM, policy administration system), and networks, whether accessed on-premises or remotely.</w:t>
      </w:r>
    </w:p>
    <w:p>
      <w:pPr>
        <w:pStyle w:val="Heading2"/>
        <w:spacing w:after="100" w:before="200"/>
      </w:pPr>
      <w:r>
        <w:rPr>
          <w:rFonts w:ascii="Arial" w:cs="Arial" w:eastAsia="Arial" w:hAnsi="Arial"/>
          <w:b/>
          <w:bCs/>
          <w:color w:val="1F3864"/>
          <w:sz w:val="22"/>
          <w:szCs w:val="22"/>
        </w:rPr>
        <w:t xml:space="preserve">1.3 Policy Statements</w:t>
      </w:r>
    </w:p>
    <w:p>
      <w:pPr>
        <w:pStyle w:val="ListParagraph"/>
        <w:numPr>
          <w:ilvl w:val="0"/>
          <w:numId w:val="1"/>
        </w:numPr>
        <w:spacing w:after="80"/>
      </w:pPr>
      <w:r>
        <w:rPr>
          <w:rFonts w:ascii="Arial" w:cs="Arial" w:eastAsia="Arial" w:hAnsi="Arial"/>
          <w:sz w:val="21"/>
          <w:szCs w:val="21"/>
        </w:rPr>
        <w:t xml:space="preserve">Company systems and devices must be used primarily for business purposes; incidental personal use is permitted provided it does not interfere with work duties or violate this policy.</w:t>
      </w:r>
    </w:p>
    <w:p>
      <w:pPr>
        <w:pStyle w:val="ListParagraph"/>
        <w:numPr>
          <w:ilvl w:val="0"/>
          <w:numId w:val="1"/>
        </w:numPr>
        <w:spacing w:after="80"/>
      </w:pPr>
      <w:r>
        <w:rPr>
          <w:rFonts w:ascii="Arial" w:cs="Arial" w:eastAsia="Arial" w:hAnsi="Arial"/>
          <w:sz w:val="21"/>
          <w:szCs w:val="21"/>
        </w:rPr>
        <w:t xml:space="preserve">Users must not share login credentials, use another person's account, or attempt to access data or systems outside their authorized role.</w:t>
      </w:r>
    </w:p>
    <w:p>
      <w:pPr>
        <w:pStyle w:val="ListParagraph"/>
        <w:numPr>
          <w:ilvl w:val="0"/>
          <w:numId w:val="1"/>
        </w:numPr>
        <w:spacing w:after="80"/>
      </w:pPr>
      <w:r>
        <w:rPr>
          <w:rFonts w:ascii="Arial" w:cs="Arial" w:eastAsia="Arial" w:hAnsi="Arial"/>
          <w:sz w:val="21"/>
          <w:szCs w:val="21"/>
        </w:rPr>
        <w:t xml:space="preserve">Client data accessed via the CRM or policy administration system must not be copied to personal devices, personal email, or unauthorized cloud storage.</w:t>
      </w:r>
    </w:p>
    <w:p>
      <w:pPr>
        <w:pStyle w:val="ListParagraph"/>
        <w:numPr>
          <w:ilvl w:val="0"/>
          <w:numId w:val="1"/>
        </w:numPr>
        <w:spacing w:after="80"/>
      </w:pPr>
      <w:r>
        <w:rPr>
          <w:rFonts w:ascii="Arial" w:cs="Arial" w:eastAsia="Arial" w:hAnsi="Arial"/>
          <w:sz w:val="21"/>
          <w:szCs w:val="21"/>
        </w:rPr>
        <w:t xml:space="preserve">Users must not install unauthorized software on company devices without IT Manager approval (see ISO 27001 control A.8.19).</w:t>
      </w:r>
    </w:p>
    <w:p>
      <w:pPr>
        <w:pStyle w:val="ListParagraph"/>
        <w:numPr>
          <w:ilvl w:val="0"/>
          <w:numId w:val="1"/>
        </w:numPr>
        <w:spacing w:after="80"/>
      </w:pPr>
      <w:r>
        <w:rPr>
          <w:rFonts w:ascii="Arial" w:cs="Arial" w:eastAsia="Arial" w:hAnsi="Arial"/>
          <w:sz w:val="21"/>
          <w:szCs w:val="21"/>
        </w:rPr>
        <w:t xml:space="preserve">Use of company systems to view, store, or distribute unlawful, offensive, or discriminatory material is strictly prohibited.</w:t>
      </w:r>
    </w:p>
    <w:p>
      <w:pPr>
        <w:pStyle w:val="ListParagraph"/>
        <w:numPr>
          <w:ilvl w:val="0"/>
          <w:numId w:val="1"/>
        </w:numPr>
        <w:spacing w:after="80"/>
      </w:pPr>
      <w:r>
        <w:rPr>
          <w:rFonts w:ascii="Arial" w:cs="Arial" w:eastAsia="Arial" w:hAnsi="Arial"/>
          <w:sz w:val="21"/>
          <w:szCs w:val="21"/>
        </w:rPr>
        <w:t xml:space="preserve">Removable storage media (USB drives) may only be used with IT Manager approval and must be scanned for malware before use.</w:t>
      </w:r>
    </w:p>
    <w:p>
      <w:pPr>
        <w:pStyle w:val="ListParagraph"/>
        <w:numPr>
          <w:ilvl w:val="0"/>
          <w:numId w:val="1"/>
        </w:numPr>
        <w:spacing w:after="80"/>
      </w:pPr>
      <w:r>
        <w:rPr>
          <w:rFonts w:ascii="Arial" w:cs="Arial" w:eastAsia="Arial" w:hAnsi="Arial"/>
          <w:sz w:val="21"/>
          <w:szCs w:val="21"/>
        </w:rPr>
        <w:t xml:space="preserve">Staff must lock their screen when away from their desk and log out of shared systems at the end of each session.</w:t>
      </w:r>
    </w:p>
    <w:p>
      <w:pPr>
        <w:pStyle w:val="Heading2"/>
        <w:spacing w:after="100" w:before="200"/>
      </w:pPr>
      <w:r>
        <w:rPr>
          <w:rFonts w:ascii="Arial" w:cs="Arial" w:eastAsia="Arial" w:hAnsi="Arial"/>
          <w:b/>
          <w:bCs/>
          <w:color w:val="1F3864"/>
          <w:sz w:val="22"/>
          <w:szCs w:val="22"/>
        </w:rPr>
        <w:t xml:space="preserve">1.4 Roles &amp; Responsibilities</w:t>
      </w:r>
    </w:p>
    <w:p>
      <w:pPr>
        <w:pStyle w:val="ListParagraph"/>
        <w:numPr>
          <w:ilvl w:val="0"/>
          <w:numId w:val="1"/>
        </w:numPr>
        <w:spacing w:after="80"/>
      </w:pPr>
      <w:r>
        <w:rPr>
          <w:rFonts w:ascii="Arial" w:cs="Arial" w:eastAsia="Arial" w:hAnsi="Arial"/>
          <w:sz w:val="21"/>
          <w:szCs w:val="21"/>
        </w:rPr>
        <w:t xml:space="preserve">All staff: comply with this policy and report suspected violations.</w:t>
      </w:r>
    </w:p>
    <w:p>
      <w:pPr>
        <w:pStyle w:val="ListParagraph"/>
        <w:numPr>
          <w:ilvl w:val="0"/>
          <w:numId w:val="1"/>
        </w:numPr>
        <w:spacing w:after="80"/>
      </w:pPr>
      <w:r>
        <w:rPr>
          <w:rFonts w:ascii="Arial" w:cs="Arial" w:eastAsia="Arial" w:hAnsi="Arial"/>
          <w:sz w:val="21"/>
          <w:szCs w:val="21"/>
        </w:rPr>
        <w:t xml:space="preserve">IT Manager: enforce technical controls supporting this policy (e.g. software restrictions) and investigate reported violations.</w:t>
      </w:r>
    </w:p>
    <w:p>
      <w:pPr>
        <w:pStyle w:val="ListParagraph"/>
        <w:numPr>
          <w:ilvl w:val="0"/>
          <w:numId w:val="1"/>
        </w:numPr>
        <w:spacing w:after="80"/>
      </w:pPr>
      <w:r>
        <w:rPr>
          <w:rFonts w:ascii="Arial" w:cs="Arial" w:eastAsia="Arial" w:hAnsi="Arial"/>
          <w:sz w:val="21"/>
          <w:szCs w:val="21"/>
        </w:rPr>
        <w:t xml:space="preserve">Compliance Officer: review this policy annually and align it with FAIS/POPIA requirements.</w:t>
      </w:r>
    </w:p>
    <w:p>
      <w:pPr>
        <w:pStyle w:val="Heading2"/>
        <w:spacing w:after="100" w:before="200"/>
      </w:pPr>
      <w:r>
        <w:rPr>
          <w:rFonts w:ascii="Arial" w:cs="Arial" w:eastAsia="Arial" w:hAnsi="Arial"/>
          <w:b/>
          <w:bCs/>
          <w:color w:val="1F3864"/>
          <w:sz w:val="22"/>
          <w:szCs w:val="22"/>
        </w:rPr>
        <w:t xml:space="preserve">1.5 Enforcement</w:t>
      </w:r>
    </w:p>
    <w:p>
      <w:pPr>
        <w:spacing w:after="140"/>
      </w:pPr>
      <w:r>
        <w:rPr>
          <w:rFonts w:ascii="Arial" w:cs="Arial" w:eastAsia="Arial" w:hAnsi="Arial"/>
          <w:sz w:val="21"/>
          <w:szCs w:val="21"/>
        </w:rPr>
        <w:t xml:space="preserve">Violations of this policy may result in disciplinary action up to and including termination, in line with the company's HR disciplinary process, and may be reported to relevant authorities where unlawful activity is suspected.</w:t>
      </w:r>
    </w:p>
    <w:p>
      <w:r>
        <w:br w:type="page"/>
      </w:r>
    </w:p>
    <w:p>
      <w:pPr>
        <w:pStyle w:val="Heading1"/>
        <w:spacing w:after="100" w:before="0"/>
      </w:pPr>
      <w:r>
        <w:rPr>
          <w:rFonts w:ascii="Arial" w:cs="Arial" w:eastAsia="Arial" w:hAnsi="Arial"/>
          <w:b/>
          <w:bCs/>
          <w:color w:val="1F3864"/>
          <w:sz w:val="30"/>
          <w:szCs w:val="30"/>
        </w:rPr>
        <w:t xml:space="preserve">2. Password Policy</w:t>
      </w:r>
    </w:p>
    <w:p>
      <w:pPr>
        <w:spacing w:after="40"/>
      </w:pPr>
      <w:r>
        <w:rPr>
          <w:rFonts w:ascii="Arial" w:cs="Arial" w:eastAsia="Arial" w:hAnsi="Arial"/>
          <w:b/>
          <w:bCs/>
          <w:sz w:val="19"/>
          <w:szCs w:val="19"/>
        </w:rPr>
        <w:t xml:space="preserve">Document No.: </w:t>
      </w:r>
      <w:r>
        <w:rPr>
          <w:rFonts w:ascii="Arial" w:cs="Arial" w:eastAsia="Arial" w:hAnsi="Arial"/>
          <w:sz w:val="19"/>
          <w:szCs w:val="19"/>
        </w:rPr>
        <w:t xml:space="preserve">POL-002</w:t>
      </w:r>
    </w:p>
    <w:p>
      <w:pPr>
        <w:spacing w:after="40"/>
      </w:pPr>
      <w:r>
        <w:rPr>
          <w:rFonts w:ascii="Arial" w:cs="Arial" w:eastAsia="Arial" w:hAnsi="Arial"/>
          <w:b/>
          <w:bCs/>
          <w:sz w:val="19"/>
          <w:szCs w:val="19"/>
        </w:rPr>
        <w:t xml:space="preserve">Owner: </w:t>
      </w:r>
      <w:r>
        <w:rPr>
          <w:rFonts w:ascii="Arial" w:cs="Arial" w:eastAsia="Arial" w:hAnsi="Arial"/>
          <w:sz w:val="19"/>
          <w:szCs w:val="19"/>
        </w:rPr>
        <w:t xml:space="preserve">IT Manager</w:t>
      </w:r>
    </w:p>
    <w:p>
      <w:pPr>
        <w:spacing w:after="40"/>
      </w:pPr>
      <w:r>
        <w:rPr>
          <w:rFonts w:ascii="Arial" w:cs="Arial" w:eastAsia="Arial" w:hAnsi="Arial"/>
          <w:b/>
          <w:bCs/>
          <w:sz w:val="19"/>
          <w:szCs w:val="19"/>
        </w:rPr>
        <w:t xml:space="preserve">Effective Date: </w:t>
      </w:r>
      <w:r>
        <w:rPr>
          <w:rFonts w:ascii="Arial" w:cs="Arial" w:eastAsia="Arial" w:hAnsi="Arial"/>
          <w:sz w:val="19"/>
          <w:szCs w:val="19"/>
        </w:rPr>
        <w:t xml:space="preserve">August 2026</w:t>
      </w:r>
    </w:p>
    <w:p>
      <w:pPr>
        <w:spacing w:after="40"/>
      </w:pPr>
      <w:r>
        <w:rPr>
          <w:rFonts w:ascii="Arial" w:cs="Arial" w:eastAsia="Arial" w:hAnsi="Arial"/>
          <w:b/>
          <w:bCs/>
          <w:sz w:val="19"/>
          <w:szCs w:val="19"/>
        </w:rPr>
        <w:t xml:space="preserve">Review Cycle: </w:t>
      </w:r>
      <w:r>
        <w:rPr>
          <w:rFonts w:ascii="Arial" w:cs="Arial" w:eastAsia="Arial" w:hAnsi="Arial"/>
          <w:sz w:val="19"/>
          <w:szCs w:val="19"/>
        </w:rPr>
        <w:t xml:space="preserve">Annual</w:t>
      </w:r>
    </w:p>
    <w:p>
      <w:pPr>
        <w:spacing w:after="40"/>
      </w:pPr>
      <w:r>
        <w:rPr>
          <w:rFonts w:ascii="Arial" w:cs="Arial" w:eastAsia="Arial" w:hAnsi="Arial"/>
          <w:b/>
          <w:bCs/>
          <w:sz w:val="19"/>
          <w:szCs w:val="19"/>
        </w:rPr>
        <w:t xml:space="preserve">Applies To: </w:t>
      </w:r>
      <w:r>
        <w:rPr>
          <w:rFonts w:ascii="Arial" w:cs="Arial" w:eastAsia="Arial" w:hAnsi="Arial"/>
          <w:sz w:val="19"/>
          <w:szCs w:val="19"/>
        </w:rPr>
        <w:t xml:space="preserve">All employees, contractors, and third parties with access to Happy Insurance Brokers systems or data</w:t>
      </w:r>
    </w:p>
    <w:p>
      <w:pPr>
        <w:spacing w:after="120" w:before="120"/>
      </w:pPr>
      <w:r>
        <w:rPr>
          <w:rFonts w:ascii="Arial" w:cs="Arial" w:eastAsia="Arial" w:hAnsi="Arial"/>
          <w:sz w:val="2"/>
          <w:szCs w:val="2"/>
        </w:rPr>
        <w:t xml:space="preserve"/>
      </w:r>
    </w:p>
    <w:p>
      <w:pPr>
        <w:pStyle w:val="Heading2"/>
        <w:spacing w:after="100" w:before="200"/>
      </w:pPr>
      <w:r>
        <w:rPr>
          <w:rFonts w:ascii="Arial" w:cs="Arial" w:eastAsia="Arial" w:hAnsi="Arial"/>
          <w:b/>
          <w:bCs/>
          <w:color w:val="1F3864"/>
          <w:sz w:val="22"/>
          <w:szCs w:val="22"/>
        </w:rPr>
        <w:t xml:space="preserve">2.1 Purpose</w:t>
      </w:r>
    </w:p>
    <w:p>
      <w:pPr>
        <w:spacing w:after="140"/>
      </w:pPr>
      <w:r>
        <w:rPr>
          <w:rFonts w:ascii="Arial" w:cs="Arial" w:eastAsia="Arial" w:hAnsi="Arial"/>
          <w:sz w:val="21"/>
          <w:szCs w:val="21"/>
        </w:rPr>
        <w:t xml:space="preserve">This policy establishes minimum requirements for creating, managing, and protecting passwords and other authentication credentials used to access Happy Insurance Brokers systems, directly addressing the weak authentication gaps identified in the Risk Register (R1, R3) and ISO 27001 Gap Assessment (A.5.17, A.8.5).</w:t>
      </w:r>
    </w:p>
    <w:p>
      <w:pPr>
        <w:pStyle w:val="Heading2"/>
        <w:spacing w:after="100" w:before="200"/>
      </w:pPr>
      <w:r>
        <w:rPr>
          <w:rFonts w:ascii="Arial" w:cs="Arial" w:eastAsia="Arial" w:hAnsi="Arial"/>
          <w:b/>
          <w:bCs/>
          <w:color w:val="1F3864"/>
          <w:sz w:val="22"/>
          <w:szCs w:val="22"/>
        </w:rPr>
        <w:t xml:space="preserve">2.2 Scope</w:t>
      </w:r>
    </w:p>
    <w:p>
      <w:pPr>
        <w:spacing w:after="140"/>
      </w:pPr>
      <w:r>
        <w:rPr>
          <w:rFonts w:ascii="Arial" w:cs="Arial" w:eastAsia="Arial" w:hAnsi="Arial"/>
          <w:sz w:val="21"/>
          <w:szCs w:val="21"/>
        </w:rPr>
        <w:t xml:space="preserve">Applies to all passwords used to access company systems, including the CRM, email, policy administration system, and any administrative/privileged accounts.</w:t>
      </w:r>
    </w:p>
    <w:p>
      <w:pPr>
        <w:pStyle w:val="Heading2"/>
        <w:spacing w:after="100" w:before="200"/>
      </w:pPr>
      <w:r>
        <w:rPr>
          <w:rFonts w:ascii="Arial" w:cs="Arial" w:eastAsia="Arial" w:hAnsi="Arial"/>
          <w:b/>
          <w:bCs/>
          <w:color w:val="1F3864"/>
          <w:sz w:val="22"/>
          <w:szCs w:val="22"/>
        </w:rPr>
        <w:t xml:space="preserve">2.3 Policy Statements</w:t>
      </w:r>
    </w:p>
    <w:p>
      <w:pPr>
        <w:pStyle w:val="ListParagraph"/>
        <w:numPr>
          <w:ilvl w:val="0"/>
          <w:numId w:val="1"/>
        </w:numPr>
        <w:spacing w:after="80"/>
      </w:pPr>
      <w:r>
        <w:rPr>
          <w:rFonts w:ascii="Arial" w:cs="Arial" w:eastAsia="Arial" w:hAnsi="Arial"/>
          <w:sz w:val="21"/>
          <w:szCs w:val="21"/>
        </w:rPr>
        <w:t xml:space="preserve">Passwords must be a minimum of 12 characters and combine uppercase, lowercase, numbers, and special characters.</w:t>
      </w:r>
    </w:p>
    <w:p>
      <w:pPr>
        <w:pStyle w:val="ListParagraph"/>
        <w:numPr>
          <w:ilvl w:val="0"/>
          <w:numId w:val="1"/>
        </w:numPr>
        <w:spacing w:after="80"/>
      </w:pPr>
      <w:r>
        <w:rPr>
          <w:rFonts w:ascii="Arial" w:cs="Arial" w:eastAsia="Arial" w:hAnsi="Arial"/>
          <w:sz w:val="21"/>
          <w:szCs w:val="21"/>
        </w:rPr>
        <w:t xml:space="preserve">Multi-factor authentication (MFA) is mandatory on the CRM, email, and any remote access to company systems.</w:t>
      </w:r>
    </w:p>
    <w:p>
      <w:pPr>
        <w:pStyle w:val="ListParagraph"/>
        <w:numPr>
          <w:ilvl w:val="0"/>
          <w:numId w:val="1"/>
        </w:numPr>
        <w:spacing w:after="80"/>
      </w:pPr>
      <w:r>
        <w:rPr>
          <w:rFonts w:ascii="Arial" w:cs="Arial" w:eastAsia="Arial" w:hAnsi="Arial"/>
          <w:sz w:val="21"/>
          <w:szCs w:val="21"/>
        </w:rPr>
        <w:t xml:space="preserve">Passwords must not be reused across systems, written down, or shared with any other person, including IT staff.</w:t>
      </w:r>
    </w:p>
    <w:p>
      <w:pPr>
        <w:pStyle w:val="ListParagraph"/>
        <w:numPr>
          <w:ilvl w:val="0"/>
          <w:numId w:val="1"/>
        </w:numPr>
        <w:spacing w:after="80"/>
      </w:pPr>
      <w:r>
        <w:rPr>
          <w:rFonts w:ascii="Arial" w:cs="Arial" w:eastAsia="Arial" w:hAnsi="Arial"/>
          <w:sz w:val="21"/>
          <w:szCs w:val="21"/>
        </w:rPr>
        <w:t xml:space="preserve">Default passwords on any new system or device must be changed immediately upon setup.</w:t>
      </w:r>
    </w:p>
    <w:p>
      <w:pPr>
        <w:pStyle w:val="ListParagraph"/>
        <w:numPr>
          <w:ilvl w:val="0"/>
          <w:numId w:val="1"/>
        </w:numPr>
        <w:spacing w:after="80"/>
      </w:pPr>
      <w:r>
        <w:rPr>
          <w:rFonts w:ascii="Arial" w:cs="Arial" w:eastAsia="Arial" w:hAnsi="Arial"/>
          <w:sz w:val="21"/>
          <w:szCs w:val="21"/>
        </w:rPr>
        <w:t xml:space="preserve">Passwords must be changed immediately if compromise is suspected, and accounts must be reviewed for unauthorized activity.</w:t>
      </w:r>
    </w:p>
    <w:p>
      <w:pPr>
        <w:pStyle w:val="ListParagraph"/>
        <w:numPr>
          <w:ilvl w:val="0"/>
          <w:numId w:val="1"/>
        </w:numPr>
        <w:spacing w:after="80"/>
      </w:pPr>
      <w:r>
        <w:rPr>
          <w:rFonts w:ascii="Arial" w:cs="Arial" w:eastAsia="Arial" w:hAnsi="Arial"/>
          <w:sz w:val="21"/>
          <w:szCs w:val="21"/>
        </w:rPr>
        <w:t xml:space="preserve">Privileged/administrative accounts must use a distinct, stronger password from standard user accounts and must not be used for routine daily tasks.</w:t>
      </w:r>
    </w:p>
    <w:p>
      <w:pPr>
        <w:pStyle w:val="ListParagraph"/>
        <w:numPr>
          <w:ilvl w:val="0"/>
          <w:numId w:val="1"/>
        </w:numPr>
        <w:spacing w:after="80"/>
      </w:pPr>
      <w:r>
        <w:rPr>
          <w:rFonts w:ascii="Arial" w:cs="Arial" w:eastAsia="Arial" w:hAnsi="Arial"/>
          <w:sz w:val="21"/>
          <w:szCs w:val="21"/>
        </w:rPr>
        <w:t xml:space="preserve">Where technically supported, passwords should be salted and hashed (not stored or transmitted in plain text) in any system Happy Insurance Brokers configures or manages directly.</w:t>
      </w:r>
    </w:p>
    <w:p>
      <w:pPr>
        <w:pStyle w:val="Heading2"/>
        <w:spacing w:after="100" w:before="200"/>
      </w:pPr>
      <w:r>
        <w:rPr>
          <w:rFonts w:ascii="Arial" w:cs="Arial" w:eastAsia="Arial" w:hAnsi="Arial"/>
          <w:b/>
          <w:bCs/>
          <w:color w:val="1F3864"/>
          <w:sz w:val="22"/>
          <w:szCs w:val="22"/>
        </w:rPr>
        <w:t xml:space="preserve">2.4 Roles &amp; Responsibilities</w:t>
      </w:r>
    </w:p>
    <w:p>
      <w:pPr>
        <w:pStyle w:val="ListParagraph"/>
        <w:numPr>
          <w:ilvl w:val="0"/>
          <w:numId w:val="1"/>
        </w:numPr>
        <w:spacing w:after="80"/>
      </w:pPr>
      <w:r>
        <w:rPr>
          <w:rFonts w:ascii="Arial" w:cs="Arial" w:eastAsia="Arial" w:hAnsi="Arial"/>
          <w:sz w:val="21"/>
          <w:szCs w:val="21"/>
        </w:rPr>
        <w:t xml:space="preserve">All staff: create and protect passwords in line with this policy; enable MFA where available.</w:t>
      </w:r>
    </w:p>
    <w:p>
      <w:pPr>
        <w:pStyle w:val="ListParagraph"/>
        <w:numPr>
          <w:ilvl w:val="0"/>
          <w:numId w:val="1"/>
        </w:numPr>
        <w:spacing w:after="80"/>
      </w:pPr>
      <w:r>
        <w:rPr>
          <w:rFonts w:ascii="Arial" w:cs="Arial" w:eastAsia="Arial" w:hAnsi="Arial"/>
          <w:sz w:val="21"/>
          <w:szCs w:val="21"/>
        </w:rPr>
        <w:t xml:space="preserve">IT Manager: enforce technical password requirements via system configuration (e.g. Active Directory/Group Policy) and manage MFA rollout.</w:t>
      </w:r>
    </w:p>
    <w:p>
      <w:pPr>
        <w:pStyle w:val="ListParagraph"/>
        <w:numPr>
          <w:ilvl w:val="0"/>
          <w:numId w:val="1"/>
        </w:numPr>
        <w:spacing w:after="80"/>
      </w:pPr>
      <w:r>
        <w:rPr>
          <w:rFonts w:ascii="Arial" w:cs="Arial" w:eastAsia="Arial" w:hAnsi="Arial"/>
          <w:sz w:val="21"/>
          <w:szCs w:val="21"/>
        </w:rPr>
        <w:t xml:space="preserve">Compliance Officer: verify this policy is followed as part of periodic access reviews.</w:t>
      </w:r>
    </w:p>
    <w:p>
      <w:pPr>
        <w:pStyle w:val="Heading2"/>
        <w:spacing w:after="100" w:before="200"/>
      </w:pPr>
      <w:r>
        <w:rPr>
          <w:rFonts w:ascii="Arial" w:cs="Arial" w:eastAsia="Arial" w:hAnsi="Arial"/>
          <w:b/>
          <w:bCs/>
          <w:color w:val="1F3864"/>
          <w:sz w:val="22"/>
          <w:szCs w:val="22"/>
        </w:rPr>
        <w:t xml:space="preserve">2.5 Enforcement</w:t>
      </w:r>
    </w:p>
    <w:p>
      <w:pPr>
        <w:spacing w:after="140"/>
      </w:pPr>
      <w:r>
        <w:rPr>
          <w:rFonts w:ascii="Arial" w:cs="Arial" w:eastAsia="Arial" w:hAnsi="Arial"/>
          <w:sz w:val="21"/>
          <w:szCs w:val="21"/>
        </w:rPr>
        <w:t xml:space="preserve">Non-compliance identified during an access review or audit will be remediated immediately; repeated or wilful non-compliance may result in disciplinary action.</w:t>
      </w:r>
    </w:p>
    <w:p>
      <w:r>
        <w:br w:type="page"/>
      </w:r>
    </w:p>
    <w:p>
      <w:pPr>
        <w:pStyle w:val="Heading1"/>
        <w:spacing w:after="100" w:before="0"/>
      </w:pPr>
      <w:r>
        <w:rPr>
          <w:rFonts w:ascii="Arial" w:cs="Arial" w:eastAsia="Arial" w:hAnsi="Arial"/>
          <w:b/>
          <w:bCs/>
          <w:color w:val="1F3864"/>
          <w:sz w:val="30"/>
          <w:szCs w:val="30"/>
        </w:rPr>
        <w:t xml:space="preserve">3. Data Classification Policy</w:t>
      </w:r>
    </w:p>
    <w:p>
      <w:pPr>
        <w:spacing w:after="40"/>
      </w:pPr>
      <w:r>
        <w:rPr>
          <w:rFonts w:ascii="Arial" w:cs="Arial" w:eastAsia="Arial" w:hAnsi="Arial"/>
          <w:b/>
          <w:bCs/>
          <w:sz w:val="19"/>
          <w:szCs w:val="19"/>
        </w:rPr>
        <w:t xml:space="preserve">Document No.: </w:t>
      </w:r>
      <w:r>
        <w:rPr>
          <w:rFonts w:ascii="Arial" w:cs="Arial" w:eastAsia="Arial" w:hAnsi="Arial"/>
          <w:sz w:val="19"/>
          <w:szCs w:val="19"/>
        </w:rPr>
        <w:t xml:space="preserve">POL-003</w:t>
      </w:r>
    </w:p>
    <w:p>
      <w:pPr>
        <w:spacing w:after="40"/>
      </w:pPr>
      <w:r>
        <w:rPr>
          <w:rFonts w:ascii="Arial" w:cs="Arial" w:eastAsia="Arial" w:hAnsi="Arial"/>
          <w:b/>
          <w:bCs/>
          <w:sz w:val="19"/>
          <w:szCs w:val="19"/>
        </w:rPr>
        <w:t xml:space="preserve">Owner: </w:t>
      </w:r>
      <w:r>
        <w:rPr>
          <w:rFonts w:ascii="Arial" w:cs="Arial" w:eastAsia="Arial" w:hAnsi="Arial"/>
          <w:sz w:val="19"/>
          <w:szCs w:val="19"/>
        </w:rPr>
        <w:t xml:space="preserve">Compliance Officer</w:t>
      </w:r>
    </w:p>
    <w:p>
      <w:pPr>
        <w:spacing w:after="40"/>
      </w:pPr>
      <w:r>
        <w:rPr>
          <w:rFonts w:ascii="Arial" w:cs="Arial" w:eastAsia="Arial" w:hAnsi="Arial"/>
          <w:b/>
          <w:bCs/>
          <w:sz w:val="19"/>
          <w:szCs w:val="19"/>
        </w:rPr>
        <w:t xml:space="preserve">Effective Date: </w:t>
      </w:r>
      <w:r>
        <w:rPr>
          <w:rFonts w:ascii="Arial" w:cs="Arial" w:eastAsia="Arial" w:hAnsi="Arial"/>
          <w:sz w:val="19"/>
          <w:szCs w:val="19"/>
        </w:rPr>
        <w:t xml:space="preserve">August 2026</w:t>
      </w:r>
    </w:p>
    <w:p>
      <w:pPr>
        <w:spacing w:after="40"/>
      </w:pPr>
      <w:r>
        <w:rPr>
          <w:rFonts w:ascii="Arial" w:cs="Arial" w:eastAsia="Arial" w:hAnsi="Arial"/>
          <w:b/>
          <w:bCs/>
          <w:sz w:val="19"/>
          <w:szCs w:val="19"/>
        </w:rPr>
        <w:t xml:space="preserve">Review Cycle: </w:t>
      </w:r>
      <w:r>
        <w:rPr>
          <w:rFonts w:ascii="Arial" w:cs="Arial" w:eastAsia="Arial" w:hAnsi="Arial"/>
          <w:sz w:val="19"/>
          <w:szCs w:val="19"/>
        </w:rPr>
        <w:t xml:space="preserve">Annual</w:t>
      </w:r>
    </w:p>
    <w:p>
      <w:pPr>
        <w:spacing w:after="40"/>
      </w:pPr>
      <w:r>
        <w:rPr>
          <w:rFonts w:ascii="Arial" w:cs="Arial" w:eastAsia="Arial" w:hAnsi="Arial"/>
          <w:b/>
          <w:bCs/>
          <w:sz w:val="19"/>
          <w:szCs w:val="19"/>
        </w:rPr>
        <w:t xml:space="preserve">Applies To: </w:t>
      </w:r>
      <w:r>
        <w:rPr>
          <w:rFonts w:ascii="Arial" w:cs="Arial" w:eastAsia="Arial" w:hAnsi="Arial"/>
          <w:sz w:val="19"/>
          <w:szCs w:val="19"/>
        </w:rPr>
        <w:t xml:space="preserve">All employees, contractors, and third parties with access to Happy Insurance Brokers systems or data</w:t>
      </w:r>
    </w:p>
    <w:p>
      <w:pPr>
        <w:spacing w:after="120" w:before="120"/>
      </w:pPr>
      <w:r>
        <w:rPr>
          <w:rFonts w:ascii="Arial" w:cs="Arial" w:eastAsia="Arial" w:hAnsi="Arial"/>
          <w:sz w:val="2"/>
          <w:szCs w:val="2"/>
        </w:rPr>
        <w:t xml:space="preserve"/>
      </w:r>
    </w:p>
    <w:p>
      <w:pPr>
        <w:pStyle w:val="Heading2"/>
        <w:spacing w:after="100" w:before="200"/>
      </w:pPr>
      <w:r>
        <w:rPr>
          <w:rFonts w:ascii="Arial" w:cs="Arial" w:eastAsia="Arial" w:hAnsi="Arial"/>
          <w:b/>
          <w:bCs/>
          <w:color w:val="1F3864"/>
          <w:sz w:val="22"/>
          <w:szCs w:val="22"/>
        </w:rPr>
        <w:t xml:space="preserve">3.1 Purpose</w:t>
      </w:r>
    </w:p>
    <w:p>
      <w:pPr>
        <w:spacing w:after="140"/>
      </w:pPr>
      <w:r>
        <w:rPr>
          <w:rFonts w:ascii="Arial" w:cs="Arial" w:eastAsia="Arial" w:hAnsi="Arial"/>
          <w:sz w:val="21"/>
          <w:szCs w:val="21"/>
        </w:rPr>
        <w:t xml:space="preserve">This policy establishes a consistent scheme for classifying Happy Insurance Brokers' information according to sensitivity, ensuring data is handled, stored, and disposed of appropriately, and supporting compliance with POPIA and the ISO 27001 control A.5.12 (Classification of Information).</w:t>
      </w:r>
    </w:p>
    <w:p>
      <w:pPr>
        <w:pStyle w:val="Heading2"/>
        <w:spacing w:after="100" w:before="200"/>
      </w:pPr>
      <w:r>
        <w:rPr>
          <w:rFonts w:ascii="Arial" w:cs="Arial" w:eastAsia="Arial" w:hAnsi="Arial"/>
          <w:b/>
          <w:bCs/>
          <w:color w:val="1F3864"/>
          <w:sz w:val="22"/>
          <w:szCs w:val="22"/>
        </w:rPr>
        <w:t xml:space="preserve">3.2 Scope</w:t>
      </w:r>
    </w:p>
    <w:p>
      <w:pPr>
        <w:spacing w:after="140"/>
      </w:pPr>
      <w:r>
        <w:rPr>
          <w:rFonts w:ascii="Arial" w:cs="Arial" w:eastAsia="Arial" w:hAnsi="Arial"/>
          <w:sz w:val="21"/>
          <w:szCs w:val="21"/>
        </w:rPr>
        <w:t xml:space="preserve">Applies to all information created, received, or stored by Happy Insurance Brokers, in digital or physical form, including client records, financial data, and internal business documents.</w:t>
      </w:r>
    </w:p>
    <w:p>
      <w:pPr>
        <w:pStyle w:val="Heading2"/>
        <w:spacing w:after="100" w:before="200"/>
      </w:pPr>
      <w:r>
        <w:rPr>
          <w:rFonts w:ascii="Arial" w:cs="Arial" w:eastAsia="Arial" w:hAnsi="Arial"/>
          <w:b/>
          <w:bCs/>
          <w:color w:val="1F3864"/>
          <w:sz w:val="22"/>
          <w:szCs w:val="22"/>
        </w:rPr>
        <w:t xml:space="preserve">3.3 Classification Levels</w:t>
      </w:r>
    </w:p>
    <w:p>
      <w:pPr>
        <w:pStyle w:val="ListParagraph"/>
        <w:numPr>
          <w:ilvl w:val="0"/>
          <w:numId w:val="1"/>
        </w:numPr>
        <w:spacing w:after="80"/>
      </w:pPr>
      <w:r>
        <w:rPr>
          <w:rFonts w:ascii="Arial" w:cs="Arial" w:eastAsia="Arial" w:hAnsi="Arial"/>
          <w:sz w:val="21"/>
          <w:szCs w:val="21"/>
        </w:rPr>
        <w:t xml:space="preserve">Public - information approved for public release (e.g. marketing material, published rates). No special handling required.</w:t>
      </w:r>
    </w:p>
    <w:p>
      <w:pPr>
        <w:pStyle w:val="ListParagraph"/>
        <w:numPr>
          <w:ilvl w:val="0"/>
          <w:numId w:val="1"/>
        </w:numPr>
        <w:spacing w:after="80"/>
      </w:pPr>
      <w:r>
        <w:rPr>
          <w:rFonts w:ascii="Arial" w:cs="Arial" w:eastAsia="Arial" w:hAnsi="Arial"/>
          <w:sz w:val="21"/>
          <w:szCs w:val="21"/>
        </w:rPr>
        <w:t xml:space="preserve">Internal - information for internal business use only (e.g. internal memos, general reports). Not to be shared externally without approval.</w:t>
      </w:r>
    </w:p>
    <w:p>
      <w:pPr>
        <w:pStyle w:val="ListParagraph"/>
        <w:numPr>
          <w:ilvl w:val="0"/>
          <w:numId w:val="1"/>
        </w:numPr>
        <w:spacing w:after="80"/>
      </w:pPr>
      <w:r>
        <w:rPr>
          <w:rFonts w:ascii="Arial" w:cs="Arial" w:eastAsia="Arial" w:hAnsi="Arial"/>
          <w:sz w:val="21"/>
          <w:szCs w:val="21"/>
        </w:rPr>
        <w:t xml:space="preserve">Confidential - information whose disclosure would cause damage to the company or a client (e.g. client PII, policy details, financial records). Requires access restriction and encryption in transit.</w:t>
      </w:r>
    </w:p>
    <w:p>
      <w:pPr>
        <w:pStyle w:val="ListParagraph"/>
        <w:numPr>
          <w:ilvl w:val="0"/>
          <w:numId w:val="1"/>
        </w:numPr>
        <w:spacing w:after="80"/>
      </w:pPr>
      <w:r>
        <w:rPr>
          <w:rFonts w:ascii="Arial" w:cs="Arial" w:eastAsia="Arial" w:hAnsi="Arial"/>
          <w:sz w:val="21"/>
          <w:szCs w:val="21"/>
        </w:rPr>
        <w:t xml:space="preserve">Critical - information essential to business operations, whose loss would cause operational failure (e.g. backups, encryption keys, the client database itself). Requires the highest level of protection, including encryption at rest and offsite backup.</w:t>
      </w:r>
    </w:p>
    <w:p>
      <w:pPr>
        <w:pStyle w:val="Heading2"/>
        <w:spacing w:after="100" w:before="200"/>
      </w:pPr>
      <w:r>
        <w:rPr>
          <w:rFonts w:ascii="Arial" w:cs="Arial" w:eastAsia="Arial" w:hAnsi="Arial"/>
          <w:b/>
          <w:bCs/>
          <w:color w:val="1F3864"/>
          <w:sz w:val="22"/>
          <w:szCs w:val="22"/>
        </w:rPr>
        <w:t xml:space="preserve">3.4 Policy Statements</w:t>
      </w:r>
    </w:p>
    <w:p>
      <w:pPr>
        <w:pStyle w:val="ListParagraph"/>
        <w:numPr>
          <w:ilvl w:val="0"/>
          <w:numId w:val="1"/>
        </w:numPr>
        <w:spacing w:after="80"/>
      </w:pPr>
      <w:r>
        <w:rPr>
          <w:rFonts w:ascii="Arial" w:cs="Arial" w:eastAsia="Arial" w:hAnsi="Arial"/>
          <w:sz w:val="21"/>
          <w:szCs w:val="21"/>
        </w:rPr>
        <w:t xml:space="preserve">All new documents and data stores must be assigned a classification level by the data owner at creation.</w:t>
      </w:r>
    </w:p>
    <w:p>
      <w:pPr>
        <w:pStyle w:val="ListParagraph"/>
        <w:numPr>
          <w:ilvl w:val="0"/>
          <w:numId w:val="1"/>
        </w:numPr>
        <w:spacing w:after="80"/>
      </w:pPr>
      <w:r>
        <w:rPr>
          <w:rFonts w:ascii="Arial" w:cs="Arial" w:eastAsia="Arial" w:hAnsi="Arial"/>
          <w:sz w:val="21"/>
          <w:szCs w:val="21"/>
        </w:rPr>
        <w:t xml:space="preserve">Confidential and Critical data must not be sent via unencrypted email or stored on personal devices.</w:t>
      </w:r>
    </w:p>
    <w:p>
      <w:pPr>
        <w:pStyle w:val="ListParagraph"/>
        <w:numPr>
          <w:ilvl w:val="0"/>
          <w:numId w:val="1"/>
        </w:numPr>
        <w:spacing w:after="80"/>
      </w:pPr>
      <w:r>
        <w:rPr>
          <w:rFonts w:ascii="Arial" w:cs="Arial" w:eastAsia="Arial" w:hAnsi="Arial"/>
          <w:sz w:val="21"/>
          <w:szCs w:val="21"/>
        </w:rPr>
        <w:t xml:space="preserve">Physical documents containing Confidential or Critical data must be stored in locked cabinets and disposed of via secure shredding.</w:t>
      </w:r>
    </w:p>
    <w:p>
      <w:pPr>
        <w:pStyle w:val="ListParagraph"/>
        <w:numPr>
          <w:ilvl w:val="0"/>
          <w:numId w:val="1"/>
        </w:numPr>
        <w:spacing w:after="80"/>
      </w:pPr>
      <w:r>
        <w:rPr>
          <w:rFonts w:ascii="Arial" w:cs="Arial" w:eastAsia="Arial" w:hAnsi="Arial"/>
          <w:sz w:val="21"/>
          <w:szCs w:val="21"/>
        </w:rPr>
        <w:t xml:space="preserve">Client PII is classified as a minimum of Confidential and must be handled in accordance with POPIA's conditions for lawful processing.</w:t>
      </w:r>
    </w:p>
    <w:p>
      <w:pPr>
        <w:pStyle w:val="ListParagraph"/>
        <w:numPr>
          <w:ilvl w:val="0"/>
          <w:numId w:val="1"/>
        </w:numPr>
        <w:spacing w:after="80"/>
      </w:pPr>
      <w:r>
        <w:rPr>
          <w:rFonts w:ascii="Arial" w:cs="Arial" w:eastAsia="Arial" w:hAnsi="Arial"/>
          <w:sz w:val="21"/>
          <w:szCs w:val="21"/>
        </w:rPr>
        <w:t xml:space="preserve">Access to Confidential and Critical data must be restricted on a least-privilege, role-based basis.</w:t>
      </w:r>
    </w:p>
    <w:p>
      <w:pPr>
        <w:pStyle w:val="Heading2"/>
        <w:spacing w:after="100" w:before="200"/>
      </w:pPr>
      <w:r>
        <w:rPr>
          <w:rFonts w:ascii="Arial" w:cs="Arial" w:eastAsia="Arial" w:hAnsi="Arial"/>
          <w:b/>
          <w:bCs/>
          <w:color w:val="1F3864"/>
          <w:sz w:val="22"/>
          <w:szCs w:val="22"/>
        </w:rPr>
        <w:t xml:space="preserve">3.5 Roles &amp; Responsibilities</w:t>
      </w:r>
    </w:p>
    <w:p>
      <w:pPr>
        <w:pStyle w:val="ListParagraph"/>
        <w:numPr>
          <w:ilvl w:val="0"/>
          <w:numId w:val="1"/>
        </w:numPr>
        <w:spacing w:after="80"/>
      </w:pPr>
      <w:r>
        <w:rPr>
          <w:rFonts w:ascii="Arial" w:cs="Arial" w:eastAsia="Arial" w:hAnsi="Arial"/>
          <w:sz w:val="21"/>
          <w:szCs w:val="21"/>
        </w:rPr>
        <w:t xml:space="preserve">Data owners (department heads): assign and maintain classification labels for data within their area.</w:t>
      </w:r>
    </w:p>
    <w:p>
      <w:pPr>
        <w:pStyle w:val="ListParagraph"/>
        <w:numPr>
          <w:ilvl w:val="0"/>
          <w:numId w:val="1"/>
        </w:numPr>
        <w:spacing w:after="80"/>
      </w:pPr>
      <w:r>
        <w:rPr>
          <w:rFonts w:ascii="Arial" w:cs="Arial" w:eastAsia="Arial" w:hAnsi="Arial"/>
          <w:sz w:val="21"/>
          <w:szCs w:val="21"/>
        </w:rPr>
        <w:t xml:space="preserve">All staff: handle data according to its classification level.</w:t>
      </w:r>
    </w:p>
    <w:p>
      <w:pPr>
        <w:pStyle w:val="ListParagraph"/>
        <w:numPr>
          <w:ilvl w:val="0"/>
          <w:numId w:val="1"/>
        </w:numPr>
        <w:spacing w:after="80"/>
      </w:pPr>
      <w:r>
        <w:rPr>
          <w:rFonts w:ascii="Arial" w:cs="Arial" w:eastAsia="Arial" w:hAnsi="Arial"/>
          <w:sz w:val="21"/>
          <w:szCs w:val="21"/>
        </w:rPr>
        <w:t xml:space="preserve">Compliance Officer: maintain this policy and the data retention schedule referenced within it.</w:t>
      </w:r>
    </w:p>
    <w:p>
      <w:pPr>
        <w:pStyle w:val="Heading2"/>
        <w:spacing w:after="100" w:before="200"/>
      </w:pPr>
      <w:r>
        <w:rPr>
          <w:rFonts w:ascii="Arial" w:cs="Arial" w:eastAsia="Arial" w:hAnsi="Arial"/>
          <w:b/>
          <w:bCs/>
          <w:color w:val="1F3864"/>
          <w:sz w:val="22"/>
          <w:szCs w:val="22"/>
        </w:rPr>
        <w:t xml:space="preserve">3.6 Enforcement</w:t>
      </w:r>
    </w:p>
    <w:p>
      <w:pPr>
        <w:spacing w:after="140"/>
      </w:pPr>
      <w:r>
        <w:rPr>
          <w:rFonts w:ascii="Arial" w:cs="Arial" w:eastAsia="Arial" w:hAnsi="Arial"/>
          <w:sz w:val="21"/>
          <w:szCs w:val="21"/>
        </w:rPr>
        <w:t xml:space="preserve">Misclassification or mishandling of Confidential or Critical data must be reported as a security event under the Incident Response Policy and may result in disciplinary action.</w:t>
      </w:r>
    </w:p>
    <w:p>
      <w:r>
        <w:br w:type="page"/>
      </w:r>
    </w:p>
    <w:p>
      <w:pPr>
        <w:pStyle w:val="Heading1"/>
        <w:spacing w:after="100" w:before="0"/>
      </w:pPr>
      <w:r>
        <w:rPr>
          <w:rFonts w:ascii="Arial" w:cs="Arial" w:eastAsia="Arial" w:hAnsi="Arial"/>
          <w:b/>
          <w:bCs/>
          <w:color w:val="1F3864"/>
          <w:sz w:val="30"/>
          <w:szCs w:val="30"/>
        </w:rPr>
        <w:t xml:space="preserve">4. Incident Response Policy</w:t>
      </w:r>
    </w:p>
    <w:p>
      <w:pPr>
        <w:spacing w:after="40"/>
      </w:pPr>
      <w:r>
        <w:rPr>
          <w:rFonts w:ascii="Arial" w:cs="Arial" w:eastAsia="Arial" w:hAnsi="Arial"/>
          <w:b/>
          <w:bCs/>
          <w:sz w:val="19"/>
          <w:szCs w:val="19"/>
        </w:rPr>
        <w:t xml:space="preserve">Document No.: </w:t>
      </w:r>
      <w:r>
        <w:rPr>
          <w:rFonts w:ascii="Arial" w:cs="Arial" w:eastAsia="Arial" w:hAnsi="Arial"/>
          <w:sz w:val="19"/>
          <w:szCs w:val="19"/>
        </w:rPr>
        <w:t xml:space="preserve">POL-004</w:t>
      </w:r>
    </w:p>
    <w:p>
      <w:pPr>
        <w:spacing w:after="40"/>
      </w:pPr>
      <w:r>
        <w:rPr>
          <w:rFonts w:ascii="Arial" w:cs="Arial" w:eastAsia="Arial" w:hAnsi="Arial"/>
          <w:b/>
          <w:bCs/>
          <w:sz w:val="19"/>
          <w:szCs w:val="19"/>
        </w:rPr>
        <w:t xml:space="preserve">Owner: </w:t>
      </w:r>
      <w:r>
        <w:rPr>
          <w:rFonts w:ascii="Arial" w:cs="Arial" w:eastAsia="Arial" w:hAnsi="Arial"/>
          <w:sz w:val="19"/>
          <w:szCs w:val="19"/>
        </w:rPr>
        <w:t xml:space="preserve">Compliance Officer / IT Manager</w:t>
      </w:r>
    </w:p>
    <w:p>
      <w:pPr>
        <w:spacing w:after="40"/>
      </w:pPr>
      <w:r>
        <w:rPr>
          <w:rFonts w:ascii="Arial" w:cs="Arial" w:eastAsia="Arial" w:hAnsi="Arial"/>
          <w:b/>
          <w:bCs/>
          <w:sz w:val="19"/>
          <w:szCs w:val="19"/>
        </w:rPr>
        <w:t xml:space="preserve">Effective Date: </w:t>
      </w:r>
      <w:r>
        <w:rPr>
          <w:rFonts w:ascii="Arial" w:cs="Arial" w:eastAsia="Arial" w:hAnsi="Arial"/>
          <w:sz w:val="19"/>
          <w:szCs w:val="19"/>
        </w:rPr>
        <w:t xml:space="preserve">August 2026</w:t>
      </w:r>
    </w:p>
    <w:p>
      <w:pPr>
        <w:spacing w:after="40"/>
      </w:pPr>
      <w:r>
        <w:rPr>
          <w:rFonts w:ascii="Arial" w:cs="Arial" w:eastAsia="Arial" w:hAnsi="Arial"/>
          <w:b/>
          <w:bCs/>
          <w:sz w:val="19"/>
          <w:szCs w:val="19"/>
        </w:rPr>
        <w:t xml:space="preserve">Review Cycle: </w:t>
      </w:r>
      <w:r>
        <w:rPr>
          <w:rFonts w:ascii="Arial" w:cs="Arial" w:eastAsia="Arial" w:hAnsi="Arial"/>
          <w:sz w:val="19"/>
          <w:szCs w:val="19"/>
        </w:rPr>
        <w:t xml:space="preserve">Annual</w:t>
      </w:r>
    </w:p>
    <w:p>
      <w:pPr>
        <w:spacing w:after="40"/>
      </w:pPr>
      <w:r>
        <w:rPr>
          <w:rFonts w:ascii="Arial" w:cs="Arial" w:eastAsia="Arial" w:hAnsi="Arial"/>
          <w:b/>
          <w:bCs/>
          <w:sz w:val="19"/>
          <w:szCs w:val="19"/>
        </w:rPr>
        <w:t xml:space="preserve">Applies To: </w:t>
      </w:r>
      <w:r>
        <w:rPr>
          <w:rFonts w:ascii="Arial" w:cs="Arial" w:eastAsia="Arial" w:hAnsi="Arial"/>
          <w:sz w:val="19"/>
          <w:szCs w:val="19"/>
        </w:rPr>
        <w:t xml:space="preserve">All employees, contractors, and third parties with access to Happy Insurance Brokers systems or data</w:t>
      </w:r>
    </w:p>
    <w:p>
      <w:pPr>
        <w:spacing w:after="120" w:before="120"/>
      </w:pPr>
      <w:r>
        <w:rPr>
          <w:rFonts w:ascii="Arial" w:cs="Arial" w:eastAsia="Arial" w:hAnsi="Arial"/>
          <w:sz w:val="2"/>
          <w:szCs w:val="2"/>
        </w:rPr>
        <w:t xml:space="preserve"/>
      </w:r>
    </w:p>
    <w:p>
      <w:pPr>
        <w:pStyle w:val="Heading2"/>
        <w:spacing w:after="100" w:before="200"/>
      </w:pPr>
      <w:r>
        <w:rPr>
          <w:rFonts w:ascii="Arial" w:cs="Arial" w:eastAsia="Arial" w:hAnsi="Arial"/>
          <w:b/>
          <w:bCs/>
          <w:color w:val="1F3864"/>
          <w:sz w:val="22"/>
          <w:szCs w:val="22"/>
        </w:rPr>
        <w:t xml:space="preserve">4.1 Purpose</w:t>
      </w:r>
    </w:p>
    <w:p>
      <w:pPr>
        <w:spacing w:after="140"/>
      </w:pPr>
      <w:r>
        <w:rPr>
          <w:rFonts w:ascii="Arial" w:cs="Arial" w:eastAsia="Arial" w:hAnsi="Arial"/>
          <w:sz w:val="21"/>
          <w:szCs w:val="21"/>
        </w:rPr>
        <w:t xml:space="preserve">This policy establishes Happy Insurance Brokers' approach to identifying, reporting, and responding to information security incidents, ensuring a timely, consistent response that limits harm and meets regulatory notification obligations under POPIA.</w:t>
      </w:r>
    </w:p>
    <w:p>
      <w:pPr>
        <w:pStyle w:val="Heading2"/>
        <w:spacing w:after="100" w:before="200"/>
      </w:pPr>
      <w:r>
        <w:rPr>
          <w:rFonts w:ascii="Arial" w:cs="Arial" w:eastAsia="Arial" w:hAnsi="Arial"/>
          <w:b/>
          <w:bCs/>
          <w:color w:val="1F3864"/>
          <w:sz w:val="22"/>
          <w:szCs w:val="22"/>
        </w:rPr>
        <w:t xml:space="preserve">4.2 Scope</w:t>
      </w:r>
    </w:p>
    <w:p>
      <w:pPr>
        <w:spacing w:after="140"/>
      </w:pPr>
      <w:r>
        <w:rPr>
          <w:rFonts w:ascii="Arial" w:cs="Arial" w:eastAsia="Arial" w:hAnsi="Arial"/>
          <w:sz w:val="21"/>
          <w:szCs w:val="21"/>
        </w:rPr>
        <w:t xml:space="preserve">Applies to any suspected or confirmed event that compromises the confidentiality, integrity, or availability of company information or systems, including but not limited to malware infections, unauthorized access, data breaches, and lost or stolen devices.</w:t>
      </w:r>
    </w:p>
    <w:p>
      <w:pPr>
        <w:pStyle w:val="Heading2"/>
        <w:spacing w:after="100" w:before="200"/>
      </w:pPr>
      <w:r>
        <w:rPr>
          <w:rFonts w:ascii="Arial" w:cs="Arial" w:eastAsia="Arial" w:hAnsi="Arial"/>
          <w:b/>
          <w:bCs/>
          <w:color w:val="1F3864"/>
          <w:sz w:val="22"/>
          <w:szCs w:val="22"/>
        </w:rPr>
        <w:t xml:space="preserve">4.3 Policy Statements</w:t>
      </w:r>
    </w:p>
    <w:p>
      <w:pPr>
        <w:pStyle w:val="ListParagraph"/>
        <w:numPr>
          <w:ilvl w:val="0"/>
          <w:numId w:val="1"/>
        </w:numPr>
        <w:spacing w:after="80"/>
      </w:pPr>
      <w:r>
        <w:rPr>
          <w:rFonts w:ascii="Arial" w:cs="Arial" w:eastAsia="Arial" w:hAnsi="Arial"/>
          <w:sz w:val="21"/>
          <w:szCs w:val="21"/>
        </w:rPr>
        <w:t xml:space="preserve">All staff must report a suspected security incident to the IT Manager or Compliance Officer immediately upon discovery, using the designated reporting channel.</w:t>
      </w:r>
    </w:p>
    <w:p>
      <w:pPr>
        <w:pStyle w:val="ListParagraph"/>
        <w:numPr>
          <w:ilvl w:val="0"/>
          <w:numId w:val="1"/>
        </w:numPr>
        <w:spacing w:after="80"/>
      </w:pPr>
      <w:r>
        <w:rPr>
          <w:rFonts w:ascii="Arial" w:cs="Arial" w:eastAsia="Arial" w:hAnsi="Arial"/>
          <w:sz w:val="21"/>
          <w:szCs w:val="21"/>
        </w:rPr>
        <w:t xml:space="preserve">Incidents must be triaged and classified by severity (Low/Medium/High/Critical) within 4 business hours of report.</w:t>
      </w:r>
    </w:p>
    <w:p>
      <w:pPr>
        <w:pStyle w:val="ListParagraph"/>
        <w:numPr>
          <w:ilvl w:val="0"/>
          <w:numId w:val="1"/>
        </w:numPr>
        <w:spacing w:after="80"/>
      </w:pPr>
      <w:r>
        <w:rPr>
          <w:rFonts w:ascii="Arial" w:cs="Arial" w:eastAsia="Arial" w:hAnsi="Arial"/>
          <w:sz w:val="21"/>
          <w:szCs w:val="21"/>
        </w:rPr>
        <w:t xml:space="preserve">Any incident involving client personal information must be assessed for POPIA notification obligations by the Compliance Officer without delay.</w:t>
      </w:r>
    </w:p>
    <w:p>
      <w:pPr>
        <w:pStyle w:val="ListParagraph"/>
        <w:numPr>
          <w:ilvl w:val="0"/>
          <w:numId w:val="1"/>
        </w:numPr>
        <w:spacing w:after="80"/>
      </w:pPr>
      <w:r>
        <w:rPr>
          <w:rFonts w:ascii="Arial" w:cs="Arial" w:eastAsia="Arial" w:hAnsi="Arial"/>
          <w:sz w:val="21"/>
          <w:szCs w:val="21"/>
        </w:rPr>
        <w:t xml:space="preserve">Evidence relevant to an incident (logs, device images, correspondence) must be preserved and not altered pending investigation.</w:t>
      </w:r>
    </w:p>
    <w:p>
      <w:pPr>
        <w:pStyle w:val="ListParagraph"/>
        <w:numPr>
          <w:ilvl w:val="0"/>
          <w:numId w:val="1"/>
        </w:numPr>
        <w:spacing w:after="80"/>
      </w:pPr>
      <w:r>
        <w:rPr>
          <w:rFonts w:ascii="Arial" w:cs="Arial" w:eastAsia="Arial" w:hAnsi="Arial"/>
          <w:sz w:val="21"/>
          <w:szCs w:val="21"/>
        </w:rPr>
        <w:t xml:space="preserve">A post-incident review must be conducted for every Medium severity incident or above, capturing root cause and lessons learned.</w:t>
      </w:r>
    </w:p>
    <w:p>
      <w:pPr>
        <w:pStyle w:val="ListParagraph"/>
        <w:numPr>
          <w:ilvl w:val="0"/>
          <w:numId w:val="1"/>
        </w:numPr>
        <w:spacing w:after="80"/>
      </w:pPr>
      <w:r>
        <w:rPr>
          <w:rFonts w:ascii="Arial" w:cs="Arial" w:eastAsia="Arial" w:hAnsi="Arial"/>
          <w:sz w:val="21"/>
          <w:szCs w:val="21"/>
        </w:rPr>
        <w:t xml:space="preserve">Detailed scenario-specific response procedures (phishing, ransomware, data breach, insider threat) are documented in the Incident Response Playbook, which operationalizes this policy.</w:t>
      </w:r>
    </w:p>
    <w:p>
      <w:pPr>
        <w:pStyle w:val="Heading2"/>
        <w:spacing w:after="100" w:before="200"/>
      </w:pPr>
      <w:r>
        <w:rPr>
          <w:rFonts w:ascii="Arial" w:cs="Arial" w:eastAsia="Arial" w:hAnsi="Arial"/>
          <w:b/>
          <w:bCs/>
          <w:color w:val="1F3864"/>
          <w:sz w:val="22"/>
          <w:szCs w:val="22"/>
        </w:rPr>
        <w:t xml:space="preserve">4.4 Roles &amp; Responsibilities</w:t>
      </w:r>
    </w:p>
    <w:p>
      <w:pPr>
        <w:pStyle w:val="ListParagraph"/>
        <w:numPr>
          <w:ilvl w:val="0"/>
          <w:numId w:val="1"/>
        </w:numPr>
        <w:spacing w:after="80"/>
      </w:pPr>
      <w:r>
        <w:rPr>
          <w:rFonts w:ascii="Arial" w:cs="Arial" w:eastAsia="Arial" w:hAnsi="Arial"/>
          <w:sz w:val="21"/>
          <w:szCs w:val="21"/>
        </w:rPr>
        <w:t xml:space="preserve">All staff: report suspected incidents promptly and do not attempt independent remediation of anything beyond their role.</w:t>
      </w:r>
    </w:p>
    <w:p>
      <w:pPr>
        <w:pStyle w:val="ListParagraph"/>
        <w:numPr>
          <w:ilvl w:val="0"/>
          <w:numId w:val="1"/>
        </w:numPr>
        <w:spacing w:after="80"/>
      </w:pPr>
      <w:r>
        <w:rPr>
          <w:rFonts w:ascii="Arial" w:cs="Arial" w:eastAsia="Arial" w:hAnsi="Arial"/>
          <w:sz w:val="21"/>
          <w:szCs w:val="21"/>
        </w:rPr>
        <w:t xml:space="preserve">IT Manager: lead technical containment, eradication, and recovery activities.</w:t>
      </w:r>
    </w:p>
    <w:p>
      <w:pPr>
        <w:pStyle w:val="ListParagraph"/>
        <w:numPr>
          <w:ilvl w:val="0"/>
          <w:numId w:val="1"/>
        </w:numPr>
        <w:spacing w:after="80"/>
      </w:pPr>
      <w:r>
        <w:rPr>
          <w:rFonts w:ascii="Arial" w:cs="Arial" w:eastAsia="Arial" w:hAnsi="Arial"/>
          <w:sz w:val="21"/>
          <w:szCs w:val="21"/>
        </w:rPr>
        <w:t xml:space="preserve">Compliance Officer: lead regulatory assessment (POPIA/FAIS/FSCA notification obligations) and client communication decisions.</w:t>
      </w:r>
    </w:p>
    <w:p>
      <w:pPr>
        <w:pStyle w:val="ListParagraph"/>
        <w:numPr>
          <w:ilvl w:val="0"/>
          <w:numId w:val="1"/>
        </w:numPr>
        <w:spacing w:after="80"/>
      </w:pPr>
      <w:r>
        <w:rPr>
          <w:rFonts w:ascii="Arial" w:cs="Arial" w:eastAsia="Arial" w:hAnsi="Arial"/>
          <w:sz w:val="21"/>
          <w:szCs w:val="21"/>
        </w:rPr>
        <w:t xml:space="preserve">Managing Director: is briefed on all High/Critical incidents and approves any external communication or regulatory notification.</w:t>
      </w:r>
    </w:p>
    <w:p>
      <w:pPr>
        <w:pStyle w:val="Heading2"/>
        <w:spacing w:after="100" w:before="200"/>
      </w:pPr>
      <w:r>
        <w:rPr>
          <w:rFonts w:ascii="Arial" w:cs="Arial" w:eastAsia="Arial" w:hAnsi="Arial"/>
          <w:b/>
          <w:bCs/>
          <w:color w:val="1F3864"/>
          <w:sz w:val="22"/>
          <w:szCs w:val="22"/>
        </w:rPr>
        <w:t xml:space="preserve">4.5 Enforcement</w:t>
      </w:r>
    </w:p>
    <w:p>
      <w:pPr>
        <w:spacing w:after="140"/>
      </w:pPr>
      <w:r>
        <w:rPr>
          <w:rFonts w:ascii="Arial" w:cs="Arial" w:eastAsia="Arial" w:hAnsi="Arial"/>
          <w:sz w:val="21"/>
          <w:szCs w:val="21"/>
        </w:rPr>
        <w:t xml:space="preserve">Failure to report a known or suspected incident in a timely manner is treated as a serious policy violation and may result in disciplinary action, given the direct regulatory and client-harm consequences of delayed reporting.</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Happy Insurance Brokers — Security Policies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2026-08-17T10:31:22.452Z</dcterms:created>
  <dcterms:modified xsi:type="dcterms:W3CDTF">2026-08-17T10:31:22.452Z</dcterms:modified>
</cp:coreProperties>
</file>

<file path=docProps/custom.xml><?xml version="1.0" encoding="utf-8"?>
<Properties xmlns="http://schemas.openxmlformats.org/officeDocument/2006/custom-properties" xmlns:vt="http://schemas.openxmlformats.org/officeDocument/2006/docPropsVTypes"/>
</file>