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F3864"/>
          <w:sz w:val="36"/>
          <w:szCs w:val="36"/>
        </w:rPr>
        <w:t xml:space="preserve">Internal Audit Report</w:t>
      </w:r>
    </w:p>
    <w:p>
      <w:pPr>
        <w:spacing w:after="240"/>
      </w:pPr>
      <w:r>
        <w:rPr>
          <w:rFonts w:ascii="Arial" w:cs="Arial" w:eastAsia="Arial" w:hAnsi="Arial"/>
          <w:i/>
          <w:iCs/>
          <w:color w:val="595959"/>
          <w:sz w:val="20"/>
          <w:szCs w:val="20"/>
        </w:rPr>
        <w:t xml:space="preserve">Happy Insurance Brokers (Pty) Ltd — Fictional FSP | Auditor: Compliance Officer (internal, portfolio project) | Date: August 2026</w:t>
      </w:r>
    </w:p>
    <w:p>
      <w:pPr>
        <w:pStyle w:val="Heading1"/>
        <w:spacing w:after="120" w:before="260"/>
      </w:pPr>
      <w:r>
        <w:rPr>
          <w:rFonts w:ascii="Arial" w:cs="Arial" w:eastAsia="Arial" w:hAnsi="Arial"/>
          <w:b/>
          <w:bCs/>
          <w:color w:val="1F3864"/>
          <w:sz w:val="26"/>
          <w:szCs w:val="26"/>
        </w:rPr>
        <w:t xml:space="preserve">1. Audit Scope</w:t>
      </w:r>
    </w:p>
    <w:p>
      <w:pPr>
        <w:spacing w:after="140"/>
      </w:pPr>
      <w:r>
        <w:rPr>
          <w:rFonts w:ascii="Arial" w:cs="Arial" w:eastAsia="Arial" w:hAnsi="Arial"/>
          <w:sz w:val="21"/>
          <w:szCs w:val="21"/>
        </w:rPr>
        <w:t xml:space="preserve">This internal audit assessed Happy Insurance Brokers' information security and regulatory compliance controls, drawing on the organization's Risk Register, ISO/IEC 27001:2022 Gap Assessment, Business Impact Analysis, Vendor Risk Assessment, and Compliance Assessment (POPIA, GDPR, PCI DSS, ISO 27001), all completed in August 2026. The audit covers the period since the organization's last risk assessment and evaluates whether identified risks and control gaps have been appropriately actioned.</w:t>
      </w:r>
    </w:p>
    <w:p>
      <w:pPr>
        <w:spacing w:after="140"/>
      </w:pPr>
      <w:r>
        <w:rPr>
          <w:rFonts w:ascii="Arial" w:cs="Arial" w:eastAsia="Arial" w:hAnsi="Arial"/>
          <w:sz w:val="21"/>
          <w:szCs w:val="21"/>
        </w:rPr>
        <w:t xml:space="preserve">This is a self-assessed internal audit rather than an independent third-party audit; it should be treated as a readiness check ahead of any future external or certification audit, consistent with the recommendation in the ISO 27001 Gap Assessment (Section 6) to commission an independent review once foundational controls are in place.</w:t>
      </w:r>
    </w:p>
    <w:p>
      <w:pPr>
        <w:pStyle w:val="Heading1"/>
        <w:spacing w:after="120" w:before="260"/>
      </w:pPr>
      <w:r>
        <w:rPr>
          <w:rFonts w:ascii="Arial" w:cs="Arial" w:eastAsia="Arial" w:hAnsi="Arial"/>
          <w:b/>
          <w:bCs/>
          <w:color w:val="1F3864"/>
          <w:sz w:val="26"/>
          <w:szCs w:val="26"/>
        </w:rPr>
        <w:t xml:space="preserve">2. Methodology</w:t>
      </w:r>
    </w:p>
    <w:p>
      <w:pPr>
        <w:pStyle w:val="ListParagraph"/>
        <w:numPr>
          <w:ilvl w:val="0"/>
          <w:numId w:val="1"/>
        </w:numPr>
        <w:spacing w:after="80"/>
      </w:pPr>
      <w:r>
        <w:rPr>
          <w:rFonts w:ascii="Arial" w:cs="Arial" w:eastAsia="Arial" w:hAnsi="Arial"/>
          <w:sz w:val="21"/>
          <w:szCs w:val="21"/>
        </w:rPr>
        <w:t xml:space="preserve">Reviewed the Risk Register and ISO 27001 Gap Assessment for identified risks and control gaps.</w:t>
      </w:r>
    </w:p>
    <w:p>
      <w:pPr>
        <w:pStyle w:val="ListParagraph"/>
        <w:numPr>
          <w:ilvl w:val="0"/>
          <w:numId w:val="1"/>
        </w:numPr>
        <w:spacing w:after="80"/>
      </w:pPr>
      <w:r>
        <w:rPr>
          <w:rFonts w:ascii="Arial" w:cs="Arial" w:eastAsia="Arial" w:hAnsi="Arial"/>
          <w:sz w:val="21"/>
          <w:szCs w:val="21"/>
        </w:rPr>
        <w:t xml:space="preserve">Cross-referenced findings against the Business Impact Analysis to assess whether recovery capability matches business-critical process requirements.</w:t>
      </w:r>
    </w:p>
    <w:p>
      <w:pPr>
        <w:pStyle w:val="ListParagraph"/>
        <w:numPr>
          <w:ilvl w:val="0"/>
          <w:numId w:val="1"/>
        </w:numPr>
        <w:spacing w:after="80"/>
      </w:pPr>
      <w:r>
        <w:rPr>
          <w:rFonts w:ascii="Arial" w:cs="Arial" w:eastAsia="Arial" w:hAnsi="Arial"/>
          <w:sz w:val="21"/>
          <w:szCs w:val="21"/>
        </w:rPr>
        <w:t xml:space="preserve">Reviewed the Vendor Risk Assessment for third-party exposure.</w:t>
      </w:r>
    </w:p>
    <w:p>
      <w:pPr>
        <w:pStyle w:val="ListParagraph"/>
        <w:numPr>
          <w:ilvl w:val="0"/>
          <w:numId w:val="1"/>
        </w:numPr>
        <w:spacing w:after="80"/>
      </w:pPr>
      <w:r>
        <w:rPr>
          <w:rFonts w:ascii="Arial" w:cs="Arial" w:eastAsia="Arial" w:hAnsi="Arial"/>
          <w:sz w:val="21"/>
          <w:szCs w:val="21"/>
        </w:rPr>
        <w:t xml:space="preserve">Assessed regulatory posture against POPIA, GDPR, PCI DSS, and ISO 27001 via the Compliance Assessment.</w:t>
      </w:r>
    </w:p>
    <w:p>
      <w:pPr>
        <w:pStyle w:val="ListParagraph"/>
        <w:numPr>
          <w:ilvl w:val="0"/>
          <w:numId w:val="1"/>
        </w:numPr>
        <w:spacing w:after="80"/>
      </w:pPr>
      <w:r>
        <w:rPr>
          <w:rFonts w:ascii="Arial" w:cs="Arial" w:eastAsia="Arial" w:hAnsi="Arial"/>
          <w:sz w:val="21"/>
          <w:szCs w:val="21"/>
        </w:rPr>
        <w:t xml:space="preserve">Findings below represent a synthesis of evidence already documented elsewhere, not new fieldwork - this audit's contribution is prioritising and consolidating those findings into a single management-facing view.</w:t>
      </w:r>
    </w:p>
    <w:p>
      <w:pPr>
        <w:pStyle w:val="Heading1"/>
        <w:spacing w:after="120" w:before="260"/>
      </w:pPr>
      <w:r>
        <w:rPr>
          <w:rFonts w:ascii="Arial" w:cs="Arial" w:eastAsia="Arial" w:hAnsi="Arial"/>
          <w:b/>
          <w:bCs/>
          <w:color w:val="1F3864"/>
          <w:sz w:val="26"/>
          <w:szCs w:val="26"/>
        </w:rPr>
        <w:t xml:space="preserve">3. Findings</w:t>
      </w:r>
    </w:p>
    <w:p>
      <w:pPr>
        <w:spacing w:after="140"/>
      </w:pPr>
      <w:r>
        <w:rPr>
          <w:rFonts w:ascii="Arial" w:cs="Arial" w:eastAsia="Arial" w:hAnsi="Arial"/>
          <w:sz w:val="21"/>
          <w:szCs w:val="21"/>
        </w:rPr>
        <w:t xml:space="preserve">Ten findings were identified, each linked to supporting evidence in the underlying assessment documents and rated using the same Risk Rating scale applied throughout this program (Low/Medium/High/Critical):</w:t>
      </w:r>
    </w:p>
    <w:tbl>
      <w:tblPr>
        <w:tblW w:type="dxa" w:w="9200"/>
        <w:tblBorders>
          <w:top w:val="single" w:color="BFBFBF" w:sz="2"/>
          <w:left w:val="single" w:color="BFBFBF" w:sz="2"/>
          <w:bottom w:val="single" w:color="BFBFBF" w:sz="2"/>
          <w:right w:val="single" w:color="BFBFBF" w:sz="2"/>
          <w:insideH w:val="single" w:color="BFBFBF" w:sz="2"/>
          <w:insideV w:val="single" w:color="BFBFBF" w:sz="2"/>
        </w:tblBorders>
      </w:tblPr>
      <w:tblGrid>
        <w:gridCol w:w="1200"/>
        <w:gridCol w:w="4200"/>
        <w:gridCol w:w="2600"/>
        <w:gridCol w:w="1200"/>
      </w:tblGrid>
      <w:tr>
        <w:trPr>
          <w:tblHeader/>
        </w:trPr>
        <w:tc>
          <w:tcPr>
            <w:tcW w:type="dxa" w:w="1200"/>
            <w:shd w:fill="1F3864" w:val="clear"/>
            <w:vAlign w:val="center"/>
          </w:tcPr>
          <w:p>
            <w:pPr>
              <w:jc w:val="center"/>
            </w:pPr>
            <w:r>
              <w:rPr>
                <w:rFonts w:ascii="Arial" w:cs="Arial" w:eastAsia="Arial" w:hAnsi="Arial"/>
                <w:b/>
                <w:bCs/>
                <w:color w:val="FFFFFF"/>
                <w:sz w:val="18"/>
                <w:szCs w:val="18"/>
              </w:rPr>
              <w:t xml:space="preserve">Finding ID</w:t>
            </w:r>
          </w:p>
        </w:tc>
        <w:tc>
          <w:tcPr>
            <w:tcW w:type="dxa" w:w="4200"/>
            <w:shd w:fill="1F3864" w:val="clear"/>
            <w:vAlign w:val="center"/>
          </w:tcPr>
          <w:p>
            <w:pPr>
              <w:jc w:val="center"/>
            </w:pPr>
            <w:r>
              <w:rPr>
                <w:rFonts w:ascii="Arial" w:cs="Arial" w:eastAsia="Arial" w:hAnsi="Arial"/>
                <w:b/>
                <w:bCs/>
                <w:color w:val="FFFFFF"/>
                <w:sz w:val="18"/>
                <w:szCs w:val="18"/>
              </w:rPr>
              <w:t xml:space="preserve">Finding</w:t>
            </w:r>
          </w:p>
        </w:tc>
        <w:tc>
          <w:tcPr>
            <w:tcW w:type="dxa" w:w="2600"/>
            <w:shd w:fill="1F3864" w:val="clear"/>
            <w:vAlign w:val="center"/>
          </w:tcPr>
          <w:p>
            <w:pPr>
              <w:jc w:val="center"/>
            </w:pPr>
            <w:r>
              <w:rPr>
                <w:rFonts w:ascii="Arial" w:cs="Arial" w:eastAsia="Arial" w:hAnsi="Arial"/>
                <w:b/>
                <w:bCs/>
                <w:color w:val="FFFFFF"/>
                <w:sz w:val="18"/>
                <w:szCs w:val="18"/>
              </w:rPr>
              <w:t xml:space="preserve">Evidence</w:t>
            </w:r>
          </w:p>
        </w:tc>
        <w:tc>
          <w:tcPr>
            <w:tcW w:type="dxa" w:w="1200"/>
            <w:shd w:fill="1F3864" w:val="clear"/>
            <w:vAlign w:val="center"/>
          </w:tcPr>
          <w:p>
            <w:pPr>
              <w:jc w:val="center"/>
            </w:pPr>
            <w:r>
              <w:rPr>
                <w:rFonts w:ascii="Arial" w:cs="Arial" w:eastAsia="Arial" w:hAnsi="Arial"/>
                <w:b/>
                <w:bCs/>
                <w:color w:val="FFFFFF"/>
                <w:sz w:val="18"/>
                <w:szCs w:val="18"/>
              </w:rPr>
              <w:t xml:space="preserve">Risk Rating</w:t>
            </w:r>
          </w:p>
        </w:tc>
      </w:tr>
      <w:tr>
        <w:tc>
          <w:tcPr>
            <w:tcW w:type="dxa" w:w="1200"/>
            <w:shd w:fill="FFFFFF" w:val="clear"/>
            <w:vAlign w:val="center"/>
          </w:tcPr>
          <w:p>
            <w:pPr>
              <w:jc w:val="center"/>
            </w:pPr>
            <w:r>
              <w:rPr>
                <w:rFonts w:ascii="Arial" w:cs="Arial" w:eastAsia="Arial" w:hAnsi="Arial"/>
                <w:b/>
                <w:bCs/>
                <w:sz w:val="18"/>
                <w:szCs w:val="18"/>
              </w:rPr>
              <w:t xml:space="preserve">F-01</w:t>
            </w:r>
          </w:p>
        </w:tc>
        <w:tc>
          <w:tcPr>
            <w:tcW w:type="dxa" w:w="4200"/>
            <w:shd w:fill="FFFFFF" w:val="clear"/>
            <w:vAlign w:val="center"/>
          </w:tcPr>
          <w:p>
            <w:pPr>
              <w:jc w:val="left"/>
            </w:pPr>
            <w:r>
              <w:rPr>
                <w:rFonts w:ascii="Arial" w:cs="Arial" w:eastAsia="Arial" w:hAnsi="Arial"/>
                <w:b w:val="false"/>
                <w:bCs w:val="false"/>
                <w:sz w:val="18"/>
                <w:szCs w:val="18"/>
              </w:rPr>
              <w:t xml:space="preserve">No multi-factor authentication is enforced on the CRM, email, or remote access.</w:t>
            </w:r>
          </w:p>
        </w:tc>
        <w:tc>
          <w:tcPr>
            <w:tcW w:type="dxa" w:w="2600"/>
            <w:shd w:fill="FFFFFF" w:val="clear"/>
            <w:vAlign w:val="center"/>
          </w:tcPr>
          <w:p>
            <w:pPr>
              <w:jc w:val="left"/>
            </w:pPr>
            <w:r>
              <w:rPr>
                <w:rFonts w:ascii="Arial" w:cs="Arial" w:eastAsia="Arial" w:hAnsi="Arial"/>
                <w:b w:val="false"/>
                <w:bCs w:val="false"/>
                <w:sz w:val="18"/>
                <w:szCs w:val="18"/>
              </w:rPr>
              <w:t xml:space="preserve">Risk Register R1, R3; ISO 27001 Gap Assessment A.5.15, A.8.5 (Not Implemented).</w:t>
            </w:r>
          </w:p>
        </w:tc>
        <w:tc>
          <w:tcPr>
            <w:tcW w:type="dxa" w:w="1200"/>
            <w:shd w:fill="FF9999" w:val="clear"/>
            <w:vAlign w:val="center"/>
          </w:tcPr>
          <w:p>
            <w:pPr>
              <w:jc w:val="center"/>
            </w:pPr>
            <w:r>
              <w:rPr>
                <w:rFonts w:ascii="Arial" w:cs="Arial" w:eastAsia="Arial" w:hAnsi="Arial"/>
                <w:b/>
                <w:bCs/>
                <w:sz w:val="18"/>
                <w:szCs w:val="18"/>
              </w:rPr>
              <w:t xml:space="preserve">Critical</w:t>
            </w:r>
          </w:p>
        </w:tc>
      </w:tr>
      <w:tr>
        <w:tc>
          <w:tcPr>
            <w:tcW w:type="dxa" w:w="1200"/>
            <w:shd w:fill="F2F2F2" w:val="clear"/>
            <w:vAlign w:val="center"/>
          </w:tcPr>
          <w:p>
            <w:pPr>
              <w:jc w:val="center"/>
            </w:pPr>
            <w:r>
              <w:rPr>
                <w:rFonts w:ascii="Arial" w:cs="Arial" w:eastAsia="Arial" w:hAnsi="Arial"/>
                <w:b/>
                <w:bCs/>
                <w:sz w:val="18"/>
                <w:szCs w:val="18"/>
              </w:rPr>
              <w:t xml:space="preserve">F-02</w:t>
            </w:r>
          </w:p>
        </w:tc>
        <w:tc>
          <w:tcPr>
            <w:tcW w:type="dxa" w:w="4200"/>
            <w:shd w:fill="F2F2F2" w:val="clear"/>
            <w:vAlign w:val="center"/>
          </w:tcPr>
          <w:p>
            <w:pPr>
              <w:jc w:val="left"/>
            </w:pPr>
            <w:r>
              <w:rPr>
                <w:rFonts w:ascii="Arial" w:cs="Arial" w:eastAsia="Arial" w:hAnsi="Arial"/>
                <w:b w:val="false"/>
                <w:bCs w:val="false"/>
                <w:sz w:val="18"/>
                <w:szCs w:val="18"/>
              </w:rPr>
              <w:t xml:space="preserve">No documented POPIA data retention and disposal policy exists; client data is retained indefinitely by default.</w:t>
            </w:r>
          </w:p>
        </w:tc>
        <w:tc>
          <w:tcPr>
            <w:tcW w:type="dxa" w:w="2600"/>
            <w:shd w:fill="F2F2F2" w:val="clear"/>
            <w:vAlign w:val="center"/>
          </w:tcPr>
          <w:p>
            <w:pPr>
              <w:jc w:val="left"/>
            </w:pPr>
            <w:r>
              <w:rPr>
                <w:rFonts w:ascii="Arial" w:cs="Arial" w:eastAsia="Arial" w:hAnsi="Arial"/>
                <w:b w:val="false"/>
                <w:bCs w:val="false"/>
                <w:sz w:val="18"/>
                <w:szCs w:val="18"/>
              </w:rPr>
              <w:t xml:space="preserve">Risk Register R5; Compliance Assessment (POPIA Condition 5/6: Non-Compliant); Gap Assessment A.5.33, A.8.10.</w:t>
            </w:r>
          </w:p>
        </w:tc>
        <w:tc>
          <w:tcPr>
            <w:tcW w:type="dxa" w:w="1200"/>
            <w:shd w:fill="FF9999" w:val="clear"/>
            <w:vAlign w:val="center"/>
          </w:tcPr>
          <w:p>
            <w:pPr>
              <w:jc w:val="center"/>
            </w:pPr>
            <w:r>
              <w:rPr>
                <w:rFonts w:ascii="Arial" w:cs="Arial" w:eastAsia="Arial" w:hAnsi="Arial"/>
                <w:b/>
                <w:bCs/>
                <w:sz w:val="18"/>
                <w:szCs w:val="18"/>
              </w:rPr>
              <w:t xml:space="preserve">Critical</w:t>
            </w:r>
          </w:p>
        </w:tc>
      </w:tr>
      <w:tr>
        <w:tc>
          <w:tcPr>
            <w:tcW w:type="dxa" w:w="1200"/>
            <w:shd w:fill="FFFFFF" w:val="clear"/>
            <w:vAlign w:val="center"/>
          </w:tcPr>
          <w:p>
            <w:pPr>
              <w:jc w:val="center"/>
            </w:pPr>
            <w:r>
              <w:rPr>
                <w:rFonts w:ascii="Arial" w:cs="Arial" w:eastAsia="Arial" w:hAnsi="Arial"/>
                <w:b/>
                <w:bCs/>
                <w:sz w:val="18"/>
                <w:szCs w:val="18"/>
              </w:rPr>
              <w:t xml:space="preserve">F-03</w:t>
            </w:r>
          </w:p>
        </w:tc>
        <w:tc>
          <w:tcPr>
            <w:tcW w:type="dxa" w:w="4200"/>
            <w:shd w:fill="FFFFFF" w:val="clear"/>
            <w:vAlign w:val="center"/>
          </w:tcPr>
          <w:p>
            <w:pPr>
              <w:jc w:val="left"/>
            </w:pPr>
            <w:r>
              <w:rPr>
                <w:rFonts w:ascii="Arial" w:cs="Arial" w:eastAsia="Arial" w:hAnsi="Arial"/>
                <w:b w:val="false"/>
                <w:bCs w:val="false"/>
                <w:sz w:val="18"/>
                <w:szCs w:val="18"/>
              </w:rPr>
              <w:t xml:space="preserve">No Information Officer duties have been formally registered with the Information Regulator.</w:t>
            </w:r>
          </w:p>
        </w:tc>
        <w:tc>
          <w:tcPr>
            <w:tcW w:type="dxa" w:w="2600"/>
            <w:shd w:fill="FFFFFF" w:val="clear"/>
            <w:vAlign w:val="center"/>
          </w:tcPr>
          <w:p>
            <w:pPr>
              <w:jc w:val="left"/>
            </w:pPr>
            <w:r>
              <w:rPr>
                <w:rFonts w:ascii="Arial" w:cs="Arial" w:eastAsia="Arial" w:hAnsi="Arial"/>
                <w:b w:val="false"/>
                <w:bCs w:val="false"/>
                <w:sz w:val="18"/>
                <w:szCs w:val="18"/>
              </w:rPr>
              <w:t xml:space="preserve">Compliance Assessment (POPIA: Non-Compliant, mandatory requirement).</w:t>
            </w:r>
          </w:p>
        </w:tc>
        <w:tc>
          <w:tcPr>
            <w:tcW w:type="dxa" w:w="1200"/>
            <w:shd w:fill="FF9999" w:val="clear"/>
            <w:vAlign w:val="center"/>
          </w:tcPr>
          <w:p>
            <w:pPr>
              <w:jc w:val="center"/>
            </w:pPr>
            <w:r>
              <w:rPr>
                <w:rFonts w:ascii="Arial" w:cs="Arial" w:eastAsia="Arial" w:hAnsi="Arial"/>
                <w:b/>
                <w:bCs/>
                <w:sz w:val="18"/>
                <w:szCs w:val="18"/>
              </w:rPr>
              <w:t xml:space="preserve">Critical</w:t>
            </w:r>
          </w:p>
        </w:tc>
      </w:tr>
      <w:tr>
        <w:tc>
          <w:tcPr>
            <w:tcW w:type="dxa" w:w="1200"/>
            <w:shd w:fill="F2F2F2" w:val="clear"/>
            <w:vAlign w:val="center"/>
          </w:tcPr>
          <w:p>
            <w:pPr>
              <w:jc w:val="center"/>
            </w:pPr>
            <w:r>
              <w:rPr>
                <w:rFonts w:ascii="Arial" w:cs="Arial" w:eastAsia="Arial" w:hAnsi="Arial"/>
                <w:b/>
                <w:bCs/>
                <w:sz w:val="18"/>
                <w:szCs w:val="18"/>
              </w:rPr>
              <w:t xml:space="preserve">F-04</w:t>
            </w:r>
          </w:p>
        </w:tc>
        <w:tc>
          <w:tcPr>
            <w:tcW w:type="dxa" w:w="4200"/>
            <w:shd w:fill="F2F2F2" w:val="clear"/>
            <w:vAlign w:val="center"/>
          </w:tcPr>
          <w:p>
            <w:pPr>
              <w:jc w:val="left"/>
            </w:pPr>
            <w:r>
              <w:rPr>
                <w:rFonts w:ascii="Arial" w:cs="Arial" w:eastAsia="Arial" w:hAnsi="Arial"/>
                <w:b w:val="false"/>
                <w:bCs w:val="false"/>
                <w:sz w:val="18"/>
                <w:szCs w:val="18"/>
              </w:rPr>
              <w:t xml:space="preserve">Backups are performed ad hoc to a local external drive; no offsite copy exists and restores are not tested.</w:t>
            </w:r>
          </w:p>
        </w:tc>
        <w:tc>
          <w:tcPr>
            <w:tcW w:type="dxa" w:w="2600"/>
            <w:shd w:fill="F2F2F2" w:val="clear"/>
            <w:vAlign w:val="center"/>
          </w:tcPr>
          <w:p>
            <w:pPr>
              <w:jc w:val="left"/>
            </w:pPr>
            <w:r>
              <w:rPr>
                <w:rFonts w:ascii="Arial" w:cs="Arial" w:eastAsia="Arial" w:hAnsi="Arial"/>
                <w:b w:val="false"/>
                <w:bCs w:val="false"/>
                <w:sz w:val="18"/>
                <w:szCs w:val="18"/>
              </w:rPr>
              <w:t xml:space="preserve">Risk Register R4; BIA (BP-07 Client Data Management, RPO target of 4 hours not currently achievable); Gap Assessment A.8.13.</w:t>
            </w:r>
          </w:p>
        </w:tc>
        <w:tc>
          <w:tcPr>
            <w:tcW w:type="dxa" w:w="1200"/>
            <w:shd w:fill="F8CBAD" w:val="clear"/>
            <w:vAlign w:val="center"/>
          </w:tcPr>
          <w:p>
            <w:pPr>
              <w:jc w:val="center"/>
            </w:pPr>
            <w:r>
              <w:rPr>
                <w:rFonts w:ascii="Arial" w:cs="Arial" w:eastAsia="Arial" w:hAnsi="Arial"/>
                <w:b/>
                <w:bCs/>
                <w:sz w:val="18"/>
                <w:szCs w:val="18"/>
              </w:rPr>
              <w:t xml:space="preserve">High</w:t>
            </w:r>
          </w:p>
        </w:tc>
      </w:tr>
      <w:tr>
        <w:tc>
          <w:tcPr>
            <w:tcW w:type="dxa" w:w="1200"/>
            <w:shd w:fill="FFFFFF" w:val="clear"/>
            <w:vAlign w:val="center"/>
          </w:tcPr>
          <w:p>
            <w:pPr>
              <w:jc w:val="center"/>
            </w:pPr>
            <w:r>
              <w:rPr>
                <w:rFonts w:ascii="Arial" w:cs="Arial" w:eastAsia="Arial" w:hAnsi="Arial"/>
                <w:b/>
                <w:bCs/>
                <w:sz w:val="18"/>
                <w:szCs w:val="18"/>
              </w:rPr>
              <w:t xml:space="preserve">F-05</w:t>
            </w:r>
          </w:p>
        </w:tc>
        <w:tc>
          <w:tcPr>
            <w:tcW w:type="dxa" w:w="4200"/>
            <w:shd w:fill="FFFFFF" w:val="clear"/>
            <w:vAlign w:val="center"/>
          </w:tcPr>
          <w:p>
            <w:pPr>
              <w:jc w:val="left"/>
            </w:pPr>
            <w:r>
              <w:rPr>
                <w:rFonts w:ascii="Arial" w:cs="Arial" w:eastAsia="Arial" w:hAnsi="Arial"/>
                <w:b w:val="false"/>
                <w:bCs w:val="false"/>
                <w:sz w:val="18"/>
                <w:szCs w:val="18"/>
              </w:rPr>
              <w:t xml:space="preserve">Staff laptops used off-site are not encrypted and have no mobile device management (MDM).</w:t>
            </w:r>
          </w:p>
        </w:tc>
        <w:tc>
          <w:tcPr>
            <w:tcW w:type="dxa" w:w="2600"/>
            <w:shd w:fill="FFFFFF" w:val="clear"/>
            <w:vAlign w:val="center"/>
          </w:tcPr>
          <w:p>
            <w:pPr>
              <w:jc w:val="left"/>
            </w:pPr>
            <w:r>
              <w:rPr>
                <w:rFonts w:ascii="Arial" w:cs="Arial" w:eastAsia="Arial" w:hAnsi="Arial"/>
                <w:b w:val="false"/>
                <w:bCs w:val="false"/>
                <w:sz w:val="18"/>
                <w:szCs w:val="18"/>
              </w:rPr>
              <w:t xml:space="preserve">Risk Register R8; Gap Assessment A.7.9, A.8.1.</w:t>
            </w:r>
          </w:p>
        </w:tc>
        <w:tc>
          <w:tcPr>
            <w:tcW w:type="dxa" w:w="1200"/>
            <w:shd w:fill="F8CBAD" w:val="clear"/>
            <w:vAlign w:val="center"/>
          </w:tcPr>
          <w:p>
            <w:pPr>
              <w:jc w:val="center"/>
            </w:pPr>
            <w:r>
              <w:rPr>
                <w:rFonts w:ascii="Arial" w:cs="Arial" w:eastAsia="Arial" w:hAnsi="Arial"/>
                <w:b/>
                <w:bCs/>
                <w:sz w:val="18"/>
                <w:szCs w:val="18"/>
              </w:rPr>
              <w:t xml:space="preserve">High</w:t>
            </w:r>
          </w:p>
        </w:tc>
      </w:tr>
      <w:tr>
        <w:tc>
          <w:tcPr>
            <w:tcW w:type="dxa" w:w="1200"/>
            <w:shd w:fill="F2F2F2" w:val="clear"/>
            <w:vAlign w:val="center"/>
          </w:tcPr>
          <w:p>
            <w:pPr>
              <w:jc w:val="center"/>
            </w:pPr>
            <w:r>
              <w:rPr>
                <w:rFonts w:ascii="Arial" w:cs="Arial" w:eastAsia="Arial" w:hAnsi="Arial"/>
                <w:b/>
                <w:bCs/>
                <w:sz w:val="18"/>
                <w:szCs w:val="18"/>
              </w:rPr>
              <w:t xml:space="preserve">F-06</w:t>
            </w:r>
          </w:p>
        </w:tc>
        <w:tc>
          <w:tcPr>
            <w:tcW w:type="dxa" w:w="4200"/>
            <w:shd w:fill="F2F2F2" w:val="clear"/>
            <w:vAlign w:val="center"/>
          </w:tcPr>
          <w:p>
            <w:pPr>
              <w:jc w:val="left"/>
            </w:pPr>
            <w:r>
              <w:rPr>
                <w:rFonts w:ascii="Arial" w:cs="Arial" w:eastAsia="Arial" w:hAnsi="Arial"/>
                <w:b w:val="false"/>
                <w:bCs w:val="false"/>
                <w:sz w:val="18"/>
                <w:szCs w:val="18"/>
              </w:rPr>
              <w:t xml:space="preserve">No formal vendor security due-diligence process exists; the core policy administration SaaS vendor contract lacks a breach-notification clause.</w:t>
            </w:r>
          </w:p>
        </w:tc>
        <w:tc>
          <w:tcPr>
            <w:tcW w:type="dxa" w:w="2600"/>
            <w:shd w:fill="F2F2F2" w:val="clear"/>
            <w:vAlign w:val="center"/>
          </w:tcPr>
          <w:p>
            <w:pPr>
              <w:jc w:val="left"/>
            </w:pPr>
            <w:r>
              <w:rPr>
                <w:rFonts w:ascii="Arial" w:cs="Arial" w:eastAsia="Arial" w:hAnsi="Arial"/>
                <w:b w:val="false"/>
                <w:bCs w:val="false"/>
                <w:sz w:val="18"/>
                <w:szCs w:val="18"/>
              </w:rPr>
              <w:t xml:space="preserve">Risk Register R11; Vendor Risk Assessment (Policy Administration SaaS Provider scored High Risk); Gap Assessment A.5.19, A.5.20.</w:t>
            </w:r>
          </w:p>
        </w:tc>
        <w:tc>
          <w:tcPr>
            <w:tcW w:type="dxa" w:w="1200"/>
            <w:shd w:fill="F8CBAD" w:val="clear"/>
            <w:vAlign w:val="center"/>
          </w:tcPr>
          <w:p>
            <w:pPr>
              <w:jc w:val="center"/>
            </w:pPr>
            <w:r>
              <w:rPr>
                <w:rFonts w:ascii="Arial" w:cs="Arial" w:eastAsia="Arial" w:hAnsi="Arial"/>
                <w:b/>
                <w:bCs/>
                <w:sz w:val="18"/>
                <w:szCs w:val="18"/>
              </w:rPr>
              <w:t xml:space="preserve">High</w:t>
            </w:r>
          </w:p>
        </w:tc>
      </w:tr>
      <w:tr>
        <w:tc>
          <w:tcPr>
            <w:tcW w:type="dxa" w:w="1200"/>
            <w:shd w:fill="FFFFFF" w:val="clear"/>
            <w:vAlign w:val="center"/>
          </w:tcPr>
          <w:p>
            <w:pPr>
              <w:jc w:val="center"/>
            </w:pPr>
            <w:r>
              <w:rPr>
                <w:rFonts w:ascii="Arial" w:cs="Arial" w:eastAsia="Arial" w:hAnsi="Arial"/>
                <w:b/>
                <w:bCs/>
                <w:sz w:val="18"/>
                <w:szCs w:val="18"/>
              </w:rPr>
              <w:t xml:space="preserve">F-07</w:t>
            </w:r>
          </w:p>
        </w:tc>
        <w:tc>
          <w:tcPr>
            <w:tcW w:type="dxa" w:w="4200"/>
            <w:shd w:fill="FFFFFF" w:val="clear"/>
            <w:vAlign w:val="center"/>
          </w:tcPr>
          <w:p>
            <w:pPr>
              <w:jc w:val="left"/>
            </w:pPr>
            <w:r>
              <w:rPr>
                <w:rFonts w:ascii="Arial" w:cs="Arial" w:eastAsia="Arial" w:hAnsi="Arial"/>
                <w:b w:val="false"/>
                <w:bCs w:val="false"/>
                <w:sz w:val="18"/>
                <w:szCs w:val="18"/>
              </w:rPr>
              <w:t xml:space="preserve">No UPS or backup generator is in place; the organization has no tested Business Continuity Plan.</w:t>
            </w:r>
          </w:p>
        </w:tc>
        <w:tc>
          <w:tcPr>
            <w:tcW w:type="dxa" w:w="2600"/>
            <w:shd w:fill="FFFFFF" w:val="clear"/>
            <w:vAlign w:val="center"/>
          </w:tcPr>
          <w:p>
            <w:pPr>
              <w:jc w:val="left"/>
            </w:pPr>
            <w:r>
              <w:rPr>
                <w:rFonts w:ascii="Arial" w:cs="Arial" w:eastAsia="Arial" w:hAnsi="Arial"/>
                <w:b w:val="false"/>
                <w:bCs w:val="false"/>
                <w:sz w:val="18"/>
                <w:szCs w:val="18"/>
              </w:rPr>
              <w:t xml:space="preserve">Risk Register R9; BIA (BP-09 IT Infrastructure, MTD of 8 hours not currently assured); Gap Assessment A.5.30, A.7.11.</w:t>
            </w:r>
          </w:p>
        </w:tc>
        <w:tc>
          <w:tcPr>
            <w:tcW w:type="dxa" w:w="1200"/>
            <w:shd w:fill="F8CBAD" w:val="clear"/>
            <w:vAlign w:val="center"/>
          </w:tcPr>
          <w:p>
            <w:pPr>
              <w:jc w:val="center"/>
            </w:pPr>
            <w:r>
              <w:rPr>
                <w:rFonts w:ascii="Arial" w:cs="Arial" w:eastAsia="Arial" w:hAnsi="Arial"/>
                <w:b/>
                <w:bCs/>
                <w:sz w:val="18"/>
                <w:szCs w:val="18"/>
              </w:rPr>
              <w:t xml:space="preserve">High</w:t>
            </w:r>
          </w:p>
        </w:tc>
      </w:tr>
      <w:tr>
        <w:tc>
          <w:tcPr>
            <w:tcW w:type="dxa" w:w="1200"/>
            <w:shd w:fill="F2F2F2" w:val="clear"/>
            <w:vAlign w:val="center"/>
          </w:tcPr>
          <w:p>
            <w:pPr>
              <w:jc w:val="center"/>
            </w:pPr>
            <w:r>
              <w:rPr>
                <w:rFonts w:ascii="Arial" w:cs="Arial" w:eastAsia="Arial" w:hAnsi="Arial"/>
                <w:b/>
                <w:bCs/>
                <w:sz w:val="18"/>
                <w:szCs w:val="18"/>
              </w:rPr>
              <w:t xml:space="preserve">F-08</w:t>
            </w:r>
          </w:p>
        </w:tc>
        <w:tc>
          <w:tcPr>
            <w:tcW w:type="dxa" w:w="4200"/>
            <w:shd w:fill="F2F2F2" w:val="clear"/>
            <w:vAlign w:val="center"/>
          </w:tcPr>
          <w:p>
            <w:pPr>
              <w:jc w:val="left"/>
            </w:pPr>
            <w:r>
              <w:rPr>
                <w:rFonts w:ascii="Arial" w:cs="Arial" w:eastAsia="Arial" w:hAnsi="Arial"/>
                <w:b w:val="false"/>
                <w:bCs w:val="false"/>
                <w:sz w:val="18"/>
                <w:szCs w:val="18"/>
              </w:rPr>
              <w:t xml:space="preserve">Claims assessment and payment approval are not segregated; a single individual can action both steps.</w:t>
            </w:r>
          </w:p>
        </w:tc>
        <w:tc>
          <w:tcPr>
            <w:tcW w:type="dxa" w:w="2600"/>
            <w:shd w:fill="F2F2F2" w:val="clear"/>
            <w:vAlign w:val="center"/>
          </w:tcPr>
          <w:p>
            <w:pPr>
              <w:jc w:val="left"/>
            </w:pPr>
            <w:r>
              <w:rPr>
                <w:rFonts w:ascii="Arial" w:cs="Arial" w:eastAsia="Arial" w:hAnsi="Arial"/>
                <w:b w:val="false"/>
                <w:bCs w:val="false"/>
                <w:sz w:val="18"/>
                <w:szCs w:val="18"/>
              </w:rPr>
              <w:t xml:space="preserve">Risk Register R10; Gap Assessment A.5.3.</w:t>
            </w:r>
          </w:p>
        </w:tc>
        <w:tc>
          <w:tcPr>
            <w:tcW w:type="dxa" w:w="1200"/>
            <w:shd w:fill="FFE699" w:val="clear"/>
            <w:vAlign w:val="center"/>
          </w:tcPr>
          <w:p>
            <w:pPr>
              <w:jc w:val="center"/>
            </w:pPr>
            <w:r>
              <w:rPr>
                <w:rFonts w:ascii="Arial" w:cs="Arial" w:eastAsia="Arial" w:hAnsi="Arial"/>
                <w:b/>
                <w:bCs/>
                <w:sz w:val="18"/>
                <w:szCs w:val="18"/>
              </w:rPr>
              <w:t xml:space="preserve">Medium</w:t>
            </w:r>
          </w:p>
        </w:tc>
      </w:tr>
      <w:tr>
        <w:tc>
          <w:tcPr>
            <w:tcW w:type="dxa" w:w="1200"/>
            <w:shd w:fill="FFFFFF" w:val="clear"/>
            <w:vAlign w:val="center"/>
          </w:tcPr>
          <w:p>
            <w:pPr>
              <w:jc w:val="center"/>
            </w:pPr>
            <w:r>
              <w:rPr>
                <w:rFonts w:ascii="Arial" w:cs="Arial" w:eastAsia="Arial" w:hAnsi="Arial"/>
                <w:b/>
                <w:bCs/>
                <w:sz w:val="18"/>
                <w:szCs w:val="18"/>
              </w:rPr>
              <w:t xml:space="preserve">F-09</w:t>
            </w:r>
          </w:p>
        </w:tc>
        <w:tc>
          <w:tcPr>
            <w:tcW w:type="dxa" w:w="4200"/>
            <w:shd w:fill="FFFFFF" w:val="clear"/>
            <w:vAlign w:val="center"/>
          </w:tcPr>
          <w:p>
            <w:pPr>
              <w:jc w:val="left"/>
            </w:pPr>
            <w:r>
              <w:rPr>
                <w:rFonts w:ascii="Arial" w:cs="Arial" w:eastAsia="Arial" w:hAnsi="Arial"/>
                <w:b w:val="false"/>
                <w:bCs w:val="false"/>
                <w:sz w:val="18"/>
                <w:szCs w:val="18"/>
              </w:rPr>
              <w:t xml:space="preserve">No documented incident response plan existed prior to this engagement (now addressed via the Incident Response Policy and Playbook produced alongside this audit).</w:t>
            </w:r>
          </w:p>
        </w:tc>
        <w:tc>
          <w:tcPr>
            <w:tcW w:type="dxa" w:w="2600"/>
            <w:shd w:fill="FFFFFF" w:val="clear"/>
            <w:vAlign w:val="center"/>
          </w:tcPr>
          <w:p>
            <w:pPr>
              <w:jc w:val="left"/>
            </w:pPr>
            <w:r>
              <w:rPr>
                <w:rFonts w:ascii="Arial" w:cs="Arial" w:eastAsia="Arial" w:hAnsi="Arial"/>
                <w:b w:val="false"/>
                <w:bCs w:val="false"/>
                <w:sz w:val="18"/>
                <w:szCs w:val="18"/>
              </w:rPr>
              <w:t xml:space="preserve">Risk Register R14 context; Gap Assessment A.5.24-A.5.26 (assessed Not Implemented at time of fieldwork).</w:t>
            </w:r>
          </w:p>
        </w:tc>
        <w:tc>
          <w:tcPr>
            <w:tcW w:type="dxa" w:w="1200"/>
            <w:shd w:fill="FFE699" w:val="clear"/>
            <w:vAlign w:val="center"/>
          </w:tcPr>
          <w:p>
            <w:pPr>
              <w:jc w:val="center"/>
            </w:pPr>
            <w:r>
              <w:rPr>
                <w:rFonts w:ascii="Arial" w:cs="Arial" w:eastAsia="Arial" w:hAnsi="Arial"/>
                <w:b/>
                <w:bCs/>
                <w:sz w:val="18"/>
                <w:szCs w:val="18"/>
              </w:rPr>
              <w:t xml:space="preserve">Medium</w:t>
            </w:r>
          </w:p>
        </w:tc>
      </w:tr>
      <w:tr>
        <w:tc>
          <w:tcPr>
            <w:tcW w:type="dxa" w:w="1200"/>
            <w:shd w:fill="F2F2F2" w:val="clear"/>
            <w:vAlign w:val="center"/>
          </w:tcPr>
          <w:p>
            <w:pPr>
              <w:jc w:val="center"/>
            </w:pPr>
            <w:r>
              <w:rPr>
                <w:rFonts w:ascii="Arial" w:cs="Arial" w:eastAsia="Arial" w:hAnsi="Arial"/>
                <w:b/>
                <w:bCs/>
                <w:sz w:val="18"/>
                <w:szCs w:val="18"/>
              </w:rPr>
              <w:t xml:space="preserve">F-10</w:t>
            </w:r>
          </w:p>
        </w:tc>
        <w:tc>
          <w:tcPr>
            <w:tcW w:type="dxa" w:w="4200"/>
            <w:shd w:fill="F2F2F2" w:val="clear"/>
            <w:vAlign w:val="center"/>
          </w:tcPr>
          <w:p>
            <w:pPr>
              <w:jc w:val="left"/>
            </w:pPr>
            <w:r>
              <w:rPr>
                <w:rFonts w:ascii="Arial" w:cs="Arial" w:eastAsia="Arial" w:hAnsi="Arial"/>
                <w:b w:val="false"/>
                <w:bCs w:val="false"/>
                <w:sz w:val="18"/>
                <w:szCs w:val="18"/>
              </w:rPr>
              <w:t xml:space="preserve">PCI DSS scope has not been formally confirmed with the payment gateway provider, and no current Attestation of Compliance has been requested.</w:t>
            </w:r>
          </w:p>
        </w:tc>
        <w:tc>
          <w:tcPr>
            <w:tcW w:type="dxa" w:w="2600"/>
            <w:shd w:fill="F2F2F2" w:val="clear"/>
            <w:vAlign w:val="center"/>
          </w:tcPr>
          <w:p>
            <w:pPr>
              <w:jc w:val="left"/>
            </w:pPr>
            <w:r>
              <w:rPr>
                <w:rFonts w:ascii="Arial" w:cs="Arial" w:eastAsia="Arial" w:hAnsi="Arial"/>
                <w:b w:val="false"/>
                <w:bCs w:val="false"/>
                <w:sz w:val="18"/>
                <w:szCs w:val="18"/>
              </w:rPr>
              <w:t xml:space="preserve">Compliance Assessment (PCI DSS Requirement 12.8: Non-Compliant); Vendor Risk Assessment.</w:t>
            </w:r>
          </w:p>
        </w:tc>
        <w:tc>
          <w:tcPr>
            <w:tcW w:type="dxa" w:w="1200"/>
            <w:shd w:fill="FFE699" w:val="clear"/>
            <w:vAlign w:val="center"/>
          </w:tcPr>
          <w:p>
            <w:pPr>
              <w:jc w:val="center"/>
            </w:pPr>
            <w:r>
              <w:rPr>
                <w:rFonts w:ascii="Arial" w:cs="Arial" w:eastAsia="Arial" w:hAnsi="Arial"/>
                <w:b/>
                <w:bCs/>
                <w:sz w:val="18"/>
                <w:szCs w:val="18"/>
              </w:rPr>
              <w:t xml:space="preserve">Medium</w:t>
            </w:r>
          </w:p>
        </w:tc>
      </w:tr>
    </w:tbl>
    <w:p>
      <w:pPr>
        <w:pStyle w:val="Heading1"/>
        <w:spacing w:after="120" w:before="260"/>
      </w:pPr>
      <w:r>
        <w:rPr>
          <w:rFonts w:ascii="Arial" w:cs="Arial" w:eastAsia="Arial" w:hAnsi="Arial"/>
          <w:b/>
          <w:bCs/>
          <w:color w:val="1F3864"/>
          <w:sz w:val="26"/>
          <w:szCs w:val="26"/>
        </w:rPr>
        <w:t xml:space="preserve">4. Overall Audit Opinion</w:t>
      </w:r>
    </w:p>
    <w:p>
      <w:pPr>
        <w:spacing w:after="140"/>
      </w:pPr>
      <w:r>
        <w:rPr>
          <w:rFonts w:ascii="Arial" w:cs="Arial" w:eastAsia="Arial" w:hAnsi="Arial"/>
          <w:sz w:val="21"/>
          <w:szCs w:val="21"/>
        </w:rPr>
        <w:t xml:space="preserve">Happy Insurance Brokers demonstrates strong regulatory knowledge among senior staff (FAIS, POPIA, TCF) and has made a credible start on risk identification through the Risk Register and Gap Assessment process. However, the organization's information security control environment remains immature: 3 findings are rated Critical and 4 rated High, concentrated in authentication, data retention, backup, and vendor management.</w:t>
      </w:r>
    </w:p>
    <w:p>
      <w:pPr>
        <w:spacing w:after="140"/>
      </w:pPr>
      <w:r>
        <w:rPr>
          <w:rFonts w:ascii="Arial" w:cs="Arial" w:eastAsia="Arial" w:hAnsi="Arial"/>
          <w:sz w:val="21"/>
          <w:szCs w:val="21"/>
        </w:rPr>
        <w:t xml:space="preserve">None of the Critical or High findings represent a novel discovery - all were already identified in the Risk Register or Gap Assessment - which is itself a positive sign: the organization's self-assessment processes are functioning and correctly identifying its own weaknesses. The priority now is execution against the existing Risk Treatment Plan and Gap Assessment Remediation Roadmap, not further assessment.</w:t>
      </w:r>
    </w:p>
    <w:p>
      <w:pPr>
        <w:pStyle w:val="Heading1"/>
        <w:spacing w:after="120" w:before="260"/>
      </w:pPr>
      <w:r>
        <w:rPr>
          <w:rFonts w:ascii="Arial" w:cs="Arial" w:eastAsia="Arial" w:hAnsi="Arial"/>
          <w:b/>
          <w:bCs/>
          <w:color w:val="1F3864"/>
          <w:sz w:val="26"/>
          <w:szCs w:val="26"/>
        </w:rPr>
        <w:t xml:space="preserve">5. Recommendations</w:t>
      </w:r>
    </w:p>
    <w:p>
      <w:pPr>
        <w:pStyle w:val="ListParagraph"/>
        <w:numPr>
          <w:ilvl w:val="0"/>
          <w:numId w:val="1"/>
        </w:numPr>
        <w:spacing w:after="80"/>
      </w:pPr>
      <w:r>
        <w:rPr>
          <w:rFonts w:ascii="Arial" w:cs="Arial" w:eastAsia="Arial" w:hAnsi="Arial"/>
          <w:sz w:val="21"/>
          <w:szCs w:val="21"/>
        </w:rPr>
        <w:t xml:space="preserve">Treat Critical findings (F-01, F-02, F-03) as the immediate priority, consistent with Phase 1 (0-30 days) of the Gap Assessment Remediation Roadmap.</w:t>
      </w:r>
    </w:p>
    <w:p>
      <w:pPr>
        <w:pStyle w:val="ListParagraph"/>
        <w:numPr>
          <w:ilvl w:val="0"/>
          <w:numId w:val="1"/>
        </w:numPr>
        <w:spacing w:after="80"/>
      </w:pPr>
      <w:r>
        <w:rPr>
          <w:rFonts w:ascii="Arial" w:cs="Arial" w:eastAsia="Arial" w:hAnsi="Arial"/>
          <w:sz w:val="21"/>
          <w:szCs w:val="21"/>
        </w:rPr>
        <w:t xml:space="preserve">Assign a named owner and target date to each finding above, tracked with the same discipline as the Risk Treatment Plan.</w:t>
      </w:r>
    </w:p>
    <w:p>
      <w:pPr>
        <w:pStyle w:val="ListParagraph"/>
        <w:numPr>
          <w:ilvl w:val="0"/>
          <w:numId w:val="1"/>
        </w:numPr>
        <w:spacing w:after="80"/>
      </w:pPr>
      <w:r>
        <w:rPr>
          <w:rFonts w:ascii="Arial" w:cs="Arial" w:eastAsia="Arial" w:hAnsi="Arial"/>
          <w:sz w:val="21"/>
          <w:szCs w:val="21"/>
        </w:rPr>
        <w:t xml:space="preserve">Re-run this audit at the end of Phase 2 (approx. month 3) to confirm findings have been genuinely closed, not just marked complete.</w:t>
      </w:r>
    </w:p>
    <w:p>
      <w:pPr>
        <w:pStyle w:val="ListParagraph"/>
        <w:numPr>
          <w:ilvl w:val="0"/>
          <w:numId w:val="1"/>
        </w:numPr>
        <w:spacing w:after="80"/>
      </w:pPr>
      <w:r>
        <w:rPr>
          <w:rFonts w:ascii="Arial" w:cs="Arial" w:eastAsia="Arial" w:hAnsi="Arial"/>
          <w:sz w:val="21"/>
          <w:szCs w:val="21"/>
        </w:rPr>
        <w:t xml:space="preserve">Once Critical and High findings are resolved, commission an independent (external) audit ahead of any formal ISO 27001 certification pursuit.</w:t>
      </w:r>
    </w:p>
    <w:p>
      <w:pPr>
        <w:pStyle w:val="Heading1"/>
        <w:spacing w:after="120" w:before="260"/>
      </w:pPr>
      <w:r>
        <w:rPr>
          <w:rFonts w:ascii="Arial" w:cs="Arial" w:eastAsia="Arial" w:hAnsi="Arial"/>
          <w:b/>
          <w:bCs/>
          <w:color w:val="1F3864"/>
          <w:sz w:val="26"/>
          <w:szCs w:val="26"/>
        </w:rPr>
        <w:t xml:space="preserve">6. Related Documents</w:t>
      </w:r>
    </w:p>
    <w:p>
      <w:pPr>
        <w:pStyle w:val="ListParagraph"/>
        <w:numPr>
          <w:ilvl w:val="0"/>
          <w:numId w:val="1"/>
        </w:numPr>
        <w:spacing w:after="80"/>
      </w:pPr>
      <w:r>
        <w:rPr>
          <w:rFonts w:ascii="Arial" w:cs="Arial" w:eastAsia="Arial" w:hAnsi="Arial"/>
          <w:sz w:val="21"/>
          <w:szCs w:val="21"/>
        </w:rPr>
        <w:t xml:space="preserve">Risk Register, Risk Matrix &amp; Risk Treatment Plan</w:t>
      </w:r>
    </w:p>
    <w:p>
      <w:pPr>
        <w:pStyle w:val="ListParagraph"/>
        <w:numPr>
          <w:ilvl w:val="0"/>
          <w:numId w:val="1"/>
        </w:numPr>
        <w:spacing w:after="80"/>
      </w:pPr>
      <w:r>
        <w:rPr>
          <w:rFonts w:ascii="Arial" w:cs="Arial" w:eastAsia="Arial" w:hAnsi="Arial"/>
          <w:sz w:val="21"/>
          <w:szCs w:val="21"/>
        </w:rPr>
        <w:t xml:space="preserve">ISO/IEC 27001:2022 Gap Assessment (workbook + report)</w:t>
      </w:r>
    </w:p>
    <w:p>
      <w:pPr>
        <w:pStyle w:val="ListParagraph"/>
        <w:numPr>
          <w:ilvl w:val="0"/>
          <w:numId w:val="1"/>
        </w:numPr>
        <w:spacing w:after="80"/>
      </w:pPr>
      <w:r>
        <w:rPr>
          <w:rFonts w:ascii="Arial" w:cs="Arial" w:eastAsia="Arial" w:hAnsi="Arial"/>
          <w:sz w:val="21"/>
          <w:szCs w:val="21"/>
        </w:rPr>
        <w:t xml:space="preserve">Business Impact Analysis</w:t>
      </w:r>
    </w:p>
    <w:p>
      <w:pPr>
        <w:pStyle w:val="ListParagraph"/>
        <w:numPr>
          <w:ilvl w:val="0"/>
          <w:numId w:val="1"/>
        </w:numPr>
        <w:spacing w:after="80"/>
      </w:pPr>
      <w:r>
        <w:rPr>
          <w:rFonts w:ascii="Arial" w:cs="Arial" w:eastAsia="Arial" w:hAnsi="Arial"/>
          <w:sz w:val="21"/>
          <w:szCs w:val="21"/>
        </w:rPr>
        <w:t xml:space="preserve">Vendor Risk Assessment</w:t>
      </w:r>
    </w:p>
    <w:p>
      <w:pPr>
        <w:pStyle w:val="ListParagraph"/>
        <w:numPr>
          <w:ilvl w:val="0"/>
          <w:numId w:val="1"/>
        </w:numPr>
        <w:spacing w:after="80"/>
      </w:pPr>
      <w:r>
        <w:rPr>
          <w:rFonts w:ascii="Arial" w:cs="Arial" w:eastAsia="Arial" w:hAnsi="Arial"/>
          <w:sz w:val="21"/>
          <w:szCs w:val="21"/>
        </w:rPr>
        <w:t xml:space="preserve">Compliance Assessment (POPIA, GDPR, PCI DSS, ISO 27001)</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Happy Insurance Brokers — Internal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2026-08-17T10:34:25.079Z</dcterms:created>
  <dcterms:modified xsi:type="dcterms:W3CDTF">2026-08-17T10:34:25.080Z</dcterms:modified>
</cp:coreProperties>
</file>

<file path=docProps/custom.xml><?xml version="1.0" encoding="utf-8"?>
<Properties xmlns="http://schemas.openxmlformats.org/officeDocument/2006/custom-properties" xmlns:vt="http://schemas.openxmlformats.org/officeDocument/2006/docPropsVTypes"/>
</file>