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color w:val="1F3864"/>
          <w:sz w:val="40"/>
          <w:szCs w:val="40"/>
        </w:rPr>
        <w:t xml:space="preserve">Risk Treatment Plan</w:t>
      </w:r>
    </w:p>
    <w:p>
      <w:pPr>
        <w:spacing w:after="200"/>
      </w:pPr>
      <w:r>
        <w:rPr>
          <w:rFonts w:ascii="Arial" w:cs="Arial" w:eastAsia="Arial" w:hAnsi="Arial"/>
          <w:i/>
          <w:iCs/>
          <w:color w:val="595959"/>
          <w:sz w:val="20"/>
          <w:szCs w:val="20"/>
        </w:rPr>
        <w:t xml:space="preserve">Happy Insurance Brokers (Pty) Ltd — Fictional FSP | Prepared by: Compliance Officer | Date: August 2026</w:t>
      </w:r>
    </w:p>
    <w:p>
      <w:pPr>
        <w:pStyle w:val="Heading1"/>
        <w:spacing w:after="120" w:before="200"/>
      </w:pPr>
      <w:r>
        <w:rPr>
          <w:rFonts w:ascii="Arial" w:cs="Arial" w:eastAsia="Arial" w:hAnsi="Arial"/>
          <w:b/>
          <w:bCs/>
          <w:color w:val="1F3864"/>
        </w:rPr>
        <w:t xml:space="preserve">1. Purpose</w:t>
      </w:r>
    </w:p>
    <w:p>
      <w:pPr>
        <w:spacing w:after="120"/>
      </w:pPr>
      <w:r>
        <w:rPr>
          <w:rFonts w:ascii="Arial" w:cs="Arial" w:eastAsia="Arial" w:hAnsi="Arial"/>
          <w:sz w:val="20"/>
          <w:szCs w:val="20"/>
        </w:rPr>
        <w:t xml:space="preserve">This Risk Treatment Plan sets out the agreed response to each risk identified in the Happy Insurance Brokers Risk Register, dated August 2026. It documents the chosen treatment strategy, specific action items, accountable owner, target timeframe, and the residual risk expected once controls are implemented.</w:t>
      </w:r>
    </w:p>
    <w:p>
      <w:pPr>
        <w:pStyle w:val="Heading1"/>
        <w:spacing w:after="120" w:before="200"/>
      </w:pPr>
      <w:r>
        <w:rPr>
          <w:rFonts w:ascii="Arial" w:cs="Arial" w:eastAsia="Arial" w:hAnsi="Arial"/>
          <w:b/>
          <w:bCs/>
          <w:color w:val="1F3864"/>
        </w:rPr>
        <w:t xml:space="preserve">2. Treatment Strategy Definitions</w:t>
      </w:r>
    </w:p>
    <w:p>
      <w:pPr>
        <w:pStyle w:val="ListParagraph"/>
        <w:numPr>
          <w:ilvl w:val="0"/>
          <w:numId w:val="1"/>
        </w:numPr>
        <w:spacing w:after="60"/>
      </w:pPr>
      <w:r>
        <w:rPr>
          <w:rFonts w:ascii="Arial" w:cs="Arial" w:eastAsia="Arial" w:hAnsi="Arial"/>
          <w:sz w:val="20"/>
          <w:szCs w:val="20"/>
        </w:rPr>
        <w:t xml:space="preserve">Mitigate — reduce likelihood and/or impact through additional controls (the default strategy for most risks below).</w:t>
      </w:r>
    </w:p>
    <w:p>
      <w:pPr>
        <w:pStyle w:val="ListParagraph"/>
        <w:numPr>
          <w:ilvl w:val="0"/>
          <w:numId w:val="1"/>
        </w:numPr>
        <w:spacing w:after="60"/>
      </w:pPr>
      <w:r>
        <w:rPr>
          <w:rFonts w:ascii="Arial" w:cs="Arial" w:eastAsia="Arial" w:hAnsi="Arial"/>
          <w:sz w:val="20"/>
          <w:szCs w:val="20"/>
        </w:rPr>
        <w:t xml:space="preserve">Transfer — shift financial impact to a third party, e.g. insurance or a contractual indemnity.</w:t>
      </w:r>
    </w:p>
    <w:p>
      <w:pPr>
        <w:pStyle w:val="ListParagraph"/>
        <w:numPr>
          <w:ilvl w:val="0"/>
          <w:numId w:val="1"/>
        </w:numPr>
        <w:spacing w:after="60"/>
      </w:pPr>
      <w:r>
        <w:rPr>
          <w:rFonts w:ascii="Arial" w:cs="Arial" w:eastAsia="Arial" w:hAnsi="Arial"/>
          <w:sz w:val="20"/>
          <w:szCs w:val="20"/>
        </w:rPr>
        <w:t xml:space="preserve">Accept — retain the risk as-is because treatment cost exceeds the benefit, with sign-off from a risk owner.</w:t>
      </w:r>
    </w:p>
    <w:p>
      <w:pPr>
        <w:pStyle w:val="ListParagraph"/>
        <w:numPr>
          <w:ilvl w:val="0"/>
          <w:numId w:val="1"/>
        </w:numPr>
        <w:spacing w:after="60"/>
      </w:pPr>
      <w:r>
        <w:rPr>
          <w:rFonts w:ascii="Arial" w:cs="Arial" w:eastAsia="Arial" w:hAnsi="Arial"/>
          <w:sz w:val="20"/>
          <w:szCs w:val="20"/>
        </w:rPr>
        <w:t xml:space="preserve">Avoid — stop the activity that gives rise to the risk entirely.</w:t>
      </w:r>
    </w:p>
    <w:p>
      <w:pPr>
        <w:pStyle w:val="Heading1"/>
        <w:spacing w:after="120" w:before="200"/>
      </w:pPr>
      <w:r>
        <w:rPr>
          <w:rFonts w:ascii="Arial" w:cs="Arial" w:eastAsia="Arial" w:hAnsi="Arial"/>
          <w:b/>
          <w:bCs/>
          <w:color w:val="1F3864"/>
        </w:rPr>
        <w:t xml:space="preserve">3. Treatment Actions by Risk</w:t>
      </w:r>
    </w:p>
    <w:p>
      <w:pPr>
        <w:spacing w:after="120"/>
      </w:pPr>
      <w:r>
        <w:rPr>
          <w:rFonts w:ascii="Arial" w:cs="Arial" w:eastAsia="Arial" w:hAnsi="Arial"/>
          <w:i/>
          <w:iCs/>
          <w:color w:val="595959"/>
          <w:sz w:val="18"/>
          <w:szCs w:val="18"/>
        </w:rPr>
        <w:t xml:space="preserve">Residual Score and Residual Rating reflect the expected risk level once the recommended controls below are fully implemented and operating effectively. All residual ratings should be re-validated at the next quarterly risk review.</w:t>
      </w:r>
    </w:p>
    <w:tbl>
      <w:tblPr>
        <w:tblW w:type="dxa" w:w="12150"/>
        <w:tblBorders>
          <w:top w:val="single" w:color="BFBFBF" w:sz="2"/>
          <w:left w:val="single" w:color="BFBFBF" w:sz="2"/>
          <w:bottom w:val="single" w:color="BFBFBF" w:sz="2"/>
          <w:right w:val="single" w:color="BFBFBF" w:sz="2"/>
          <w:insideH w:val="single" w:color="BFBFBF" w:sz="2"/>
          <w:insideV w:val="single" w:color="BFBFBF" w:sz="2"/>
        </w:tblBorders>
        <w:tblLayout w:type="fixed"/>
        <w:tblCellMar>
          <w:top w:type="dxa" w:w="60"/>
          <w:left w:type="dxa" w:w="60"/>
          <w:bottom w:type="dxa" w:w="60"/>
          <w:right w:type="dxa" w:w="60"/>
        </w:tblCellMar>
      </w:tblPr>
      <w:tblGrid>
        <w:gridCol w:w="550"/>
        <w:gridCol w:w="2100"/>
        <w:gridCol w:w="1250"/>
        <w:gridCol w:w="3700"/>
        <w:gridCol w:w="1400"/>
        <w:gridCol w:w="1250"/>
        <w:gridCol w:w="950"/>
        <w:gridCol w:w="950"/>
      </w:tblGrid>
      <w:tr>
        <w:trPr>
          <w:tblHeader/>
        </w:trPr>
        <w:tc>
          <w:tcPr>
            <w:tcW w:type="dxa" w:w="550"/>
            <w:shd w:fill="1F3864" w:val="clear"/>
            <w:vAlign w:val="center"/>
          </w:tcPr>
          <w:p>
            <w:pPr>
              <w:jc w:val="center"/>
            </w:pPr>
            <w:r>
              <w:rPr>
                <w:rFonts w:ascii="Arial" w:cs="Arial" w:eastAsia="Arial" w:hAnsi="Arial"/>
                <w:b/>
                <w:bCs/>
                <w:color w:val="FFFFFF"/>
                <w:sz w:val="18"/>
                <w:szCs w:val="18"/>
              </w:rPr>
              <w:t xml:space="preserve">ID</w:t>
            </w:r>
          </w:p>
        </w:tc>
        <w:tc>
          <w:tcPr>
            <w:tcW w:type="dxa" w:w="2100"/>
            <w:shd w:fill="1F3864" w:val="clear"/>
            <w:vAlign w:val="center"/>
          </w:tcPr>
          <w:p>
            <w:pPr>
              <w:jc w:val="center"/>
            </w:pPr>
            <w:r>
              <w:rPr>
                <w:rFonts w:ascii="Arial" w:cs="Arial" w:eastAsia="Arial" w:hAnsi="Arial"/>
                <w:b/>
                <w:bCs/>
                <w:color w:val="FFFFFF"/>
                <w:sz w:val="18"/>
                <w:szCs w:val="18"/>
              </w:rPr>
              <w:t xml:space="preserve">Risk (Summary)</w:t>
            </w:r>
          </w:p>
        </w:tc>
        <w:tc>
          <w:tcPr>
            <w:tcW w:type="dxa" w:w="1250"/>
            <w:shd w:fill="1F3864" w:val="clear"/>
            <w:vAlign w:val="center"/>
          </w:tcPr>
          <w:p>
            <w:pPr>
              <w:jc w:val="center"/>
            </w:pPr>
            <w:r>
              <w:rPr>
                <w:rFonts w:ascii="Arial" w:cs="Arial" w:eastAsia="Arial" w:hAnsi="Arial"/>
                <w:b/>
                <w:bCs/>
                <w:color w:val="FFFFFF"/>
                <w:sz w:val="18"/>
                <w:szCs w:val="18"/>
              </w:rPr>
              <w:t xml:space="preserve">Treatment
Strategy</w:t>
            </w:r>
          </w:p>
        </w:tc>
        <w:tc>
          <w:tcPr>
            <w:tcW w:type="dxa" w:w="3700"/>
            <w:shd w:fill="1F3864" w:val="clear"/>
            <w:vAlign w:val="center"/>
          </w:tcPr>
          <w:p>
            <w:pPr>
              <w:jc w:val="center"/>
            </w:pPr>
            <w:r>
              <w:rPr>
                <w:rFonts w:ascii="Arial" w:cs="Arial" w:eastAsia="Arial" w:hAnsi="Arial"/>
                <w:b/>
                <w:bCs/>
                <w:color w:val="FFFFFF"/>
                <w:sz w:val="18"/>
                <w:szCs w:val="18"/>
              </w:rPr>
              <w:t xml:space="preserve">Action Items</w:t>
            </w:r>
          </w:p>
        </w:tc>
        <w:tc>
          <w:tcPr>
            <w:tcW w:type="dxa" w:w="1400"/>
            <w:shd w:fill="1F3864" w:val="clear"/>
            <w:vAlign w:val="center"/>
          </w:tcPr>
          <w:p>
            <w:pPr>
              <w:jc w:val="center"/>
            </w:pPr>
            <w:r>
              <w:rPr>
                <w:rFonts w:ascii="Arial" w:cs="Arial" w:eastAsia="Arial" w:hAnsi="Arial"/>
                <w:b/>
                <w:bCs/>
                <w:color w:val="FFFFFF"/>
                <w:sz w:val="18"/>
                <w:szCs w:val="18"/>
              </w:rPr>
              <w:t xml:space="preserve">Owner</w:t>
            </w:r>
          </w:p>
        </w:tc>
        <w:tc>
          <w:tcPr>
            <w:tcW w:type="dxa" w:w="1250"/>
            <w:shd w:fill="1F3864" w:val="clear"/>
            <w:vAlign w:val="center"/>
          </w:tcPr>
          <w:p>
            <w:pPr>
              <w:jc w:val="center"/>
            </w:pPr>
            <w:r>
              <w:rPr>
                <w:rFonts w:ascii="Arial" w:cs="Arial" w:eastAsia="Arial" w:hAnsi="Arial"/>
                <w:b/>
                <w:bCs/>
                <w:color w:val="FFFFFF"/>
                <w:sz w:val="18"/>
                <w:szCs w:val="18"/>
              </w:rPr>
              <w:t xml:space="preserve">Target
Timeframe</w:t>
            </w:r>
          </w:p>
        </w:tc>
        <w:tc>
          <w:tcPr>
            <w:tcW w:type="dxa" w:w="950"/>
            <w:shd w:fill="1F3864" w:val="clear"/>
            <w:vAlign w:val="center"/>
          </w:tcPr>
          <w:p>
            <w:pPr>
              <w:jc w:val="center"/>
            </w:pPr>
            <w:r>
              <w:rPr>
                <w:rFonts w:ascii="Arial" w:cs="Arial" w:eastAsia="Arial" w:hAnsi="Arial"/>
                <w:b/>
                <w:bCs/>
                <w:color w:val="FFFFFF"/>
                <w:sz w:val="18"/>
                <w:szCs w:val="18"/>
              </w:rPr>
              <w:t xml:space="preserve">Residual
Score</w:t>
            </w:r>
          </w:p>
        </w:tc>
        <w:tc>
          <w:tcPr>
            <w:tcW w:type="dxa" w:w="950"/>
            <w:shd w:fill="1F3864" w:val="clear"/>
            <w:vAlign w:val="center"/>
          </w:tcPr>
          <w:p>
            <w:pPr>
              <w:jc w:val="center"/>
            </w:pPr>
            <w:r>
              <w:rPr>
                <w:rFonts w:ascii="Arial" w:cs="Arial" w:eastAsia="Arial" w:hAnsi="Arial"/>
                <w:b/>
                <w:bCs/>
                <w:color w:val="FFFFFF"/>
                <w:sz w:val="18"/>
                <w:szCs w:val="18"/>
              </w:rPr>
              <w:t xml:space="preserve">Residual
Rating</w:t>
            </w:r>
          </w:p>
        </w:tc>
      </w:tr>
      <w:tr>
        <w:tc>
          <w:tcPr>
            <w:tcW w:type="dxa" w:w="550"/>
            <w:shd w:fill="FFFFFF" w:val="clear"/>
            <w:vAlign w:val="center"/>
          </w:tcPr>
          <w:p>
            <w:pPr>
              <w:jc w:val="center"/>
            </w:pPr>
            <w:r>
              <w:rPr>
                <w:rFonts w:ascii="Arial" w:cs="Arial" w:eastAsia="Arial" w:hAnsi="Arial"/>
                <w:b/>
                <w:bCs/>
                <w:sz w:val="17"/>
                <w:szCs w:val="17"/>
              </w:rPr>
              <w:t xml:space="preserve">R1</w:t>
            </w:r>
          </w:p>
        </w:tc>
        <w:tc>
          <w:tcPr>
            <w:tcW w:type="dxa" w:w="2100"/>
            <w:shd w:fill="FFFFFF" w:val="clear"/>
            <w:vAlign w:val="center"/>
          </w:tcPr>
          <w:p>
            <w:pPr>
              <w:jc w:val="left"/>
            </w:pPr>
            <w:r>
              <w:rPr>
                <w:rFonts w:ascii="Arial" w:cs="Arial" w:eastAsia="Arial" w:hAnsi="Arial"/>
                <w:b w:val="false"/>
                <w:bCs w:val="false"/>
                <w:sz w:val="17"/>
                <w:szCs w:val="17"/>
              </w:rPr>
              <w:t xml:space="preserve">Client CRM data breach via phishing (no MFA)</w:t>
            </w:r>
          </w:p>
        </w:tc>
        <w:tc>
          <w:tcPr>
            <w:tcW w:type="dxa" w:w="1250"/>
            <w:shd w:fill="FFFFFF" w:val="clear"/>
            <w:vAlign w:val="center"/>
          </w:tcPr>
          <w:p>
            <w:pPr>
              <w:jc w:val="center"/>
            </w:pPr>
            <w:r>
              <w:rPr>
                <w:rFonts w:ascii="Arial" w:cs="Arial" w:eastAsia="Arial" w:hAnsi="Arial"/>
                <w:b/>
                <w:bCs/>
                <w:sz w:val="17"/>
                <w:szCs w:val="17"/>
              </w:rPr>
              <w:t xml:space="preserve">Mitigate</w:t>
            </w:r>
          </w:p>
        </w:tc>
        <w:tc>
          <w:tcPr>
            <w:tcW w:type="dxa" w:w="3700"/>
            <w:vAlign w:val="center"/>
          </w:tcPr>
          <w:p>
            <w:pPr>
              <w:pStyle w:val="ListParagraph"/>
              <w:numPr>
                <w:ilvl w:val="0"/>
                <w:numId w:val="1"/>
              </w:numPr>
            </w:pPr>
            <w:r>
              <w:rPr>
                <w:rFonts w:ascii="Arial" w:cs="Arial" w:eastAsia="Arial" w:hAnsi="Arial"/>
                <w:sz w:val="17"/>
                <w:szCs w:val="17"/>
              </w:rPr>
              <w:t xml:space="preserve">Enforce MFA on all CRM accounts</w:t>
            </w:r>
          </w:p>
          <w:p>
            <w:pPr>
              <w:pStyle w:val="ListParagraph"/>
              <w:numPr>
                <w:ilvl w:val="0"/>
                <w:numId w:val="1"/>
              </w:numPr>
            </w:pPr>
            <w:r>
              <w:rPr>
                <w:rFonts w:ascii="Arial" w:cs="Arial" w:eastAsia="Arial" w:hAnsi="Arial"/>
                <w:sz w:val="17"/>
                <w:szCs w:val="17"/>
              </w:rPr>
              <w:t xml:space="preserve">Deliver quarterly phishing-simulation &amp; security awareness training</w:t>
            </w:r>
          </w:p>
          <w:p>
            <w:pPr>
              <w:pStyle w:val="ListParagraph"/>
              <w:numPr>
                <w:ilvl w:val="0"/>
                <w:numId w:val="1"/>
              </w:numPr>
            </w:pPr>
            <w:r>
              <w:rPr>
                <w:rFonts w:ascii="Arial" w:cs="Arial" w:eastAsia="Arial" w:hAnsi="Arial"/>
                <w:sz w:val="17"/>
                <w:szCs w:val="17"/>
              </w:rPr>
              <w:t xml:space="preserve">Enable login/access alerting</w:t>
            </w:r>
          </w:p>
        </w:tc>
        <w:tc>
          <w:tcPr>
            <w:tcW w:type="dxa" w:w="1400"/>
            <w:shd w:fill="FFFFFF" w:val="clear"/>
            <w:vAlign w:val="center"/>
          </w:tcPr>
          <w:p>
            <w:pPr>
              <w:jc w:val="left"/>
            </w:pPr>
            <w:r>
              <w:rPr>
                <w:rFonts w:ascii="Arial" w:cs="Arial" w:eastAsia="Arial" w:hAnsi="Arial"/>
                <w:b w:val="false"/>
                <w:bCs w:val="false"/>
                <w:sz w:val="17"/>
                <w:szCs w:val="17"/>
              </w:rPr>
              <w:t xml:space="preserve">IT Manager</w:t>
            </w:r>
          </w:p>
        </w:tc>
        <w:tc>
          <w:tcPr>
            <w:tcW w:type="dxa" w:w="1250"/>
            <w:shd w:fill="FFFFFF" w:val="clear"/>
            <w:vAlign w:val="center"/>
          </w:tcPr>
          <w:p>
            <w:pPr>
              <w:jc w:val="center"/>
            </w:pPr>
            <w:r>
              <w:rPr>
                <w:rFonts w:ascii="Arial" w:cs="Arial" w:eastAsia="Arial" w:hAnsi="Arial"/>
                <w:b w:val="false"/>
                <w:bCs w:val="false"/>
                <w:sz w:val="17"/>
                <w:szCs w:val="17"/>
              </w:rPr>
              <w:t xml:space="preserve">60 days</w:t>
            </w:r>
          </w:p>
        </w:tc>
        <w:tc>
          <w:tcPr>
            <w:tcW w:type="dxa" w:w="950"/>
            <w:shd w:fill="FFE699" w:val="clear"/>
            <w:vAlign w:val="center"/>
          </w:tcPr>
          <w:p>
            <w:pPr>
              <w:jc w:val="center"/>
            </w:pPr>
            <w:r>
              <w:rPr>
                <w:rFonts w:ascii="Arial" w:cs="Arial" w:eastAsia="Arial" w:hAnsi="Arial"/>
                <w:b/>
                <w:bCs/>
                <w:sz w:val="17"/>
                <w:szCs w:val="17"/>
              </w:rPr>
              <w:t xml:space="preserve">8</w:t>
            </w:r>
          </w:p>
        </w:tc>
        <w:tc>
          <w:tcPr>
            <w:tcW w:type="dxa" w:w="950"/>
            <w:shd w:fill="FFE699" w:val="clear"/>
            <w:vAlign w:val="center"/>
          </w:tcPr>
          <w:p>
            <w:pPr>
              <w:jc w:val="center"/>
            </w:pPr>
            <w:r>
              <w:rPr>
                <w:rFonts w:ascii="Arial" w:cs="Arial" w:eastAsia="Arial" w:hAnsi="Arial"/>
                <w:b/>
                <w:bCs/>
                <w:sz w:val="17"/>
                <w:szCs w:val="17"/>
              </w:rPr>
              <w:t xml:space="preserve">Medium</w:t>
            </w:r>
          </w:p>
        </w:tc>
      </w:tr>
      <w:tr>
        <w:tc>
          <w:tcPr>
            <w:tcW w:type="dxa" w:w="550"/>
            <w:shd w:fill="F2F2F2" w:val="clear"/>
            <w:vAlign w:val="center"/>
          </w:tcPr>
          <w:p>
            <w:pPr>
              <w:jc w:val="center"/>
            </w:pPr>
            <w:r>
              <w:rPr>
                <w:rFonts w:ascii="Arial" w:cs="Arial" w:eastAsia="Arial" w:hAnsi="Arial"/>
                <w:b/>
                <w:bCs/>
                <w:sz w:val="17"/>
                <w:szCs w:val="17"/>
              </w:rPr>
              <w:t xml:space="preserve">R2</w:t>
            </w:r>
          </w:p>
        </w:tc>
        <w:tc>
          <w:tcPr>
            <w:tcW w:type="dxa" w:w="2100"/>
            <w:shd w:fill="F2F2F2" w:val="clear"/>
            <w:vAlign w:val="center"/>
          </w:tcPr>
          <w:p>
            <w:pPr>
              <w:jc w:val="left"/>
            </w:pPr>
            <w:r>
              <w:rPr>
                <w:rFonts w:ascii="Arial" w:cs="Arial" w:eastAsia="Arial" w:hAnsi="Arial"/>
                <w:b w:val="false"/>
                <w:bCs w:val="false"/>
                <w:sz w:val="17"/>
                <w:szCs w:val="17"/>
              </w:rPr>
              <w:t xml:space="preserve">Ransomware on policy admin system / file server</w:t>
            </w:r>
          </w:p>
        </w:tc>
        <w:tc>
          <w:tcPr>
            <w:tcW w:type="dxa" w:w="1250"/>
            <w:shd w:fill="F2F2F2" w:val="clear"/>
            <w:vAlign w:val="center"/>
          </w:tcPr>
          <w:p>
            <w:pPr>
              <w:jc w:val="center"/>
            </w:pPr>
            <w:r>
              <w:rPr>
                <w:rFonts w:ascii="Arial" w:cs="Arial" w:eastAsia="Arial" w:hAnsi="Arial"/>
                <w:b/>
                <w:bCs/>
                <w:sz w:val="17"/>
                <w:szCs w:val="17"/>
              </w:rPr>
              <w:t xml:space="preserve">Mitigate</w:t>
            </w:r>
          </w:p>
        </w:tc>
        <w:tc>
          <w:tcPr>
            <w:tcW w:type="dxa" w:w="3700"/>
            <w:vAlign w:val="center"/>
          </w:tcPr>
          <w:p>
            <w:pPr>
              <w:pStyle w:val="ListParagraph"/>
              <w:numPr>
                <w:ilvl w:val="0"/>
                <w:numId w:val="1"/>
              </w:numPr>
            </w:pPr>
            <w:r>
              <w:rPr>
                <w:rFonts w:ascii="Arial" w:cs="Arial" w:eastAsia="Arial" w:hAnsi="Arial"/>
                <w:sz w:val="17"/>
                <w:szCs w:val="17"/>
              </w:rPr>
              <w:t xml:space="preserve">Implement centralised patch management (30-day SLA)</w:t>
            </w:r>
          </w:p>
          <w:p>
            <w:pPr>
              <w:pStyle w:val="ListParagraph"/>
              <w:numPr>
                <w:ilvl w:val="0"/>
                <w:numId w:val="1"/>
              </w:numPr>
            </w:pPr>
            <w:r>
              <w:rPr>
                <w:rFonts w:ascii="Arial" w:cs="Arial" w:eastAsia="Arial" w:hAnsi="Arial"/>
                <w:sz w:val="17"/>
                <w:szCs w:val="17"/>
              </w:rPr>
              <w:t xml:space="preserve">Deploy endpoint detection &amp; response (EDR)</w:t>
            </w:r>
          </w:p>
          <w:p>
            <w:pPr>
              <w:pStyle w:val="ListParagraph"/>
              <w:numPr>
                <w:ilvl w:val="0"/>
                <w:numId w:val="1"/>
              </w:numPr>
            </w:pPr>
            <w:r>
              <w:rPr>
                <w:rFonts w:ascii="Arial" w:cs="Arial" w:eastAsia="Arial" w:hAnsi="Arial"/>
                <w:sz w:val="17"/>
                <w:szCs w:val="17"/>
              </w:rPr>
              <w:t xml:space="preserve">Maintain isolated offline backups, tested quarterly</w:t>
            </w:r>
          </w:p>
        </w:tc>
        <w:tc>
          <w:tcPr>
            <w:tcW w:type="dxa" w:w="1400"/>
            <w:shd w:fill="F2F2F2" w:val="clear"/>
            <w:vAlign w:val="center"/>
          </w:tcPr>
          <w:p>
            <w:pPr>
              <w:jc w:val="left"/>
            </w:pPr>
            <w:r>
              <w:rPr>
                <w:rFonts w:ascii="Arial" w:cs="Arial" w:eastAsia="Arial" w:hAnsi="Arial"/>
                <w:b w:val="false"/>
                <w:bCs w:val="false"/>
                <w:sz w:val="17"/>
                <w:szCs w:val="17"/>
              </w:rPr>
              <w:t xml:space="preserve">IT Manager</w:t>
            </w:r>
          </w:p>
        </w:tc>
        <w:tc>
          <w:tcPr>
            <w:tcW w:type="dxa" w:w="1250"/>
            <w:shd w:fill="F2F2F2" w:val="clear"/>
            <w:vAlign w:val="center"/>
          </w:tcPr>
          <w:p>
            <w:pPr>
              <w:jc w:val="center"/>
            </w:pPr>
            <w:r>
              <w:rPr>
                <w:rFonts w:ascii="Arial" w:cs="Arial" w:eastAsia="Arial" w:hAnsi="Arial"/>
                <w:b w:val="false"/>
                <w:bCs w:val="false"/>
                <w:sz w:val="17"/>
                <w:szCs w:val="17"/>
              </w:rPr>
              <w:t xml:space="preserve">90 days</w:t>
            </w:r>
          </w:p>
        </w:tc>
        <w:tc>
          <w:tcPr>
            <w:tcW w:type="dxa" w:w="950"/>
            <w:shd w:fill="FFE699" w:val="clear"/>
            <w:vAlign w:val="center"/>
          </w:tcPr>
          <w:p>
            <w:pPr>
              <w:jc w:val="center"/>
            </w:pPr>
            <w:r>
              <w:rPr>
                <w:rFonts w:ascii="Arial" w:cs="Arial" w:eastAsia="Arial" w:hAnsi="Arial"/>
                <w:b/>
                <w:bCs/>
                <w:sz w:val="17"/>
                <w:szCs w:val="17"/>
              </w:rPr>
              <w:t xml:space="preserve">6</w:t>
            </w:r>
          </w:p>
        </w:tc>
        <w:tc>
          <w:tcPr>
            <w:tcW w:type="dxa" w:w="950"/>
            <w:shd w:fill="FFE699" w:val="clear"/>
            <w:vAlign w:val="center"/>
          </w:tcPr>
          <w:p>
            <w:pPr>
              <w:jc w:val="center"/>
            </w:pPr>
            <w:r>
              <w:rPr>
                <w:rFonts w:ascii="Arial" w:cs="Arial" w:eastAsia="Arial" w:hAnsi="Arial"/>
                <w:b/>
                <w:bCs/>
                <w:sz w:val="17"/>
                <w:szCs w:val="17"/>
              </w:rPr>
              <w:t xml:space="preserve">Medium</w:t>
            </w:r>
          </w:p>
        </w:tc>
      </w:tr>
      <w:tr>
        <w:tc>
          <w:tcPr>
            <w:tcW w:type="dxa" w:w="550"/>
            <w:shd w:fill="FFFFFF" w:val="clear"/>
            <w:vAlign w:val="center"/>
          </w:tcPr>
          <w:p>
            <w:pPr>
              <w:jc w:val="center"/>
            </w:pPr>
            <w:r>
              <w:rPr>
                <w:rFonts w:ascii="Arial" w:cs="Arial" w:eastAsia="Arial" w:hAnsi="Arial"/>
                <w:b/>
                <w:bCs/>
                <w:sz w:val="17"/>
                <w:szCs w:val="17"/>
              </w:rPr>
              <w:t xml:space="preserve">R3</w:t>
            </w:r>
          </w:p>
        </w:tc>
        <w:tc>
          <w:tcPr>
            <w:tcW w:type="dxa" w:w="2100"/>
            <w:shd w:fill="FFFFFF" w:val="clear"/>
            <w:vAlign w:val="center"/>
          </w:tcPr>
          <w:p>
            <w:pPr>
              <w:jc w:val="left"/>
            </w:pPr>
            <w:r>
              <w:rPr>
                <w:rFonts w:ascii="Arial" w:cs="Arial" w:eastAsia="Arial" w:hAnsi="Arial"/>
                <w:b w:val="false"/>
                <w:bCs w:val="false"/>
                <w:sz w:val="17"/>
                <w:szCs w:val="17"/>
              </w:rPr>
              <w:t xml:space="preserve">Account compromise - weak passwords, no MFA</w:t>
            </w:r>
          </w:p>
        </w:tc>
        <w:tc>
          <w:tcPr>
            <w:tcW w:type="dxa" w:w="1250"/>
            <w:shd w:fill="FFFFFF" w:val="clear"/>
            <w:vAlign w:val="center"/>
          </w:tcPr>
          <w:p>
            <w:pPr>
              <w:jc w:val="center"/>
            </w:pPr>
            <w:r>
              <w:rPr>
                <w:rFonts w:ascii="Arial" w:cs="Arial" w:eastAsia="Arial" w:hAnsi="Arial"/>
                <w:b/>
                <w:bCs/>
                <w:sz w:val="17"/>
                <w:szCs w:val="17"/>
              </w:rPr>
              <w:t xml:space="preserve">Mitigate</w:t>
            </w:r>
          </w:p>
        </w:tc>
        <w:tc>
          <w:tcPr>
            <w:tcW w:type="dxa" w:w="3700"/>
            <w:vAlign w:val="center"/>
          </w:tcPr>
          <w:p>
            <w:pPr>
              <w:pStyle w:val="ListParagraph"/>
              <w:numPr>
                <w:ilvl w:val="0"/>
                <w:numId w:val="1"/>
              </w:numPr>
            </w:pPr>
            <w:r>
              <w:rPr>
                <w:rFonts w:ascii="Arial" w:cs="Arial" w:eastAsia="Arial" w:hAnsi="Arial"/>
                <w:sz w:val="17"/>
                <w:szCs w:val="17"/>
              </w:rPr>
              <w:t xml:space="preserve">Enforce strong password policy via Group Policy</w:t>
            </w:r>
          </w:p>
          <w:p>
            <w:pPr>
              <w:pStyle w:val="ListParagraph"/>
              <w:numPr>
                <w:ilvl w:val="0"/>
                <w:numId w:val="1"/>
              </w:numPr>
            </w:pPr>
            <w:r>
              <w:rPr>
                <w:rFonts w:ascii="Arial" w:cs="Arial" w:eastAsia="Arial" w:hAnsi="Arial"/>
                <w:sz w:val="17"/>
                <w:szCs w:val="17"/>
              </w:rPr>
              <w:t xml:space="preserve">Eliminate shared/generic logins</w:t>
            </w:r>
          </w:p>
          <w:p>
            <w:pPr>
              <w:pStyle w:val="ListParagraph"/>
              <w:numPr>
                <w:ilvl w:val="0"/>
                <w:numId w:val="1"/>
              </w:numPr>
            </w:pPr>
            <w:r>
              <w:rPr>
                <w:rFonts w:ascii="Arial" w:cs="Arial" w:eastAsia="Arial" w:hAnsi="Arial"/>
                <w:sz w:val="17"/>
                <w:szCs w:val="17"/>
              </w:rPr>
              <w:t xml:space="preserve">Roll out MFA (shared control with R1)</w:t>
            </w:r>
          </w:p>
        </w:tc>
        <w:tc>
          <w:tcPr>
            <w:tcW w:type="dxa" w:w="1400"/>
            <w:shd w:fill="FFFFFF" w:val="clear"/>
            <w:vAlign w:val="center"/>
          </w:tcPr>
          <w:p>
            <w:pPr>
              <w:jc w:val="left"/>
            </w:pPr>
            <w:r>
              <w:rPr>
                <w:rFonts w:ascii="Arial" w:cs="Arial" w:eastAsia="Arial" w:hAnsi="Arial"/>
                <w:b w:val="false"/>
                <w:bCs w:val="false"/>
                <w:sz w:val="17"/>
                <w:szCs w:val="17"/>
              </w:rPr>
              <w:t xml:space="preserve">IT Manager</w:t>
            </w:r>
          </w:p>
        </w:tc>
        <w:tc>
          <w:tcPr>
            <w:tcW w:type="dxa" w:w="1250"/>
            <w:shd w:fill="FFFFFF" w:val="clear"/>
            <w:vAlign w:val="center"/>
          </w:tcPr>
          <w:p>
            <w:pPr>
              <w:jc w:val="center"/>
            </w:pPr>
            <w:r>
              <w:rPr>
                <w:rFonts w:ascii="Arial" w:cs="Arial" w:eastAsia="Arial" w:hAnsi="Arial"/>
                <w:b w:val="false"/>
                <w:bCs w:val="false"/>
                <w:sz w:val="17"/>
                <w:szCs w:val="17"/>
              </w:rPr>
              <w:t xml:space="preserve">30 days</w:t>
            </w:r>
          </w:p>
        </w:tc>
        <w:tc>
          <w:tcPr>
            <w:tcW w:type="dxa" w:w="950"/>
            <w:shd w:fill="FFE699" w:val="clear"/>
            <w:vAlign w:val="center"/>
          </w:tcPr>
          <w:p>
            <w:pPr>
              <w:jc w:val="center"/>
            </w:pPr>
            <w:r>
              <w:rPr>
                <w:rFonts w:ascii="Arial" w:cs="Arial" w:eastAsia="Arial" w:hAnsi="Arial"/>
                <w:b/>
                <w:bCs/>
                <w:sz w:val="17"/>
                <w:szCs w:val="17"/>
              </w:rPr>
              <w:t xml:space="preserve">6</w:t>
            </w:r>
          </w:p>
        </w:tc>
        <w:tc>
          <w:tcPr>
            <w:tcW w:type="dxa" w:w="950"/>
            <w:shd w:fill="FFE699" w:val="clear"/>
            <w:vAlign w:val="center"/>
          </w:tcPr>
          <w:p>
            <w:pPr>
              <w:jc w:val="center"/>
            </w:pPr>
            <w:r>
              <w:rPr>
                <w:rFonts w:ascii="Arial" w:cs="Arial" w:eastAsia="Arial" w:hAnsi="Arial"/>
                <w:b/>
                <w:bCs/>
                <w:sz w:val="17"/>
                <w:szCs w:val="17"/>
              </w:rPr>
              <w:t xml:space="preserve">Medium</w:t>
            </w:r>
          </w:p>
        </w:tc>
      </w:tr>
      <w:tr>
        <w:tc>
          <w:tcPr>
            <w:tcW w:type="dxa" w:w="550"/>
            <w:shd w:fill="F2F2F2" w:val="clear"/>
            <w:vAlign w:val="center"/>
          </w:tcPr>
          <w:p>
            <w:pPr>
              <w:jc w:val="center"/>
            </w:pPr>
            <w:r>
              <w:rPr>
                <w:rFonts w:ascii="Arial" w:cs="Arial" w:eastAsia="Arial" w:hAnsi="Arial"/>
                <w:b/>
                <w:bCs/>
                <w:sz w:val="17"/>
                <w:szCs w:val="17"/>
              </w:rPr>
              <w:t xml:space="preserve">R4</w:t>
            </w:r>
          </w:p>
        </w:tc>
        <w:tc>
          <w:tcPr>
            <w:tcW w:type="dxa" w:w="2100"/>
            <w:shd w:fill="F2F2F2" w:val="clear"/>
            <w:vAlign w:val="center"/>
          </w:tcPr>
          <w:p>
            <w:pPr>
              <w:jc w:val="left"/>
            </w:pPr>
            <w:r>
              <w:rPr>
                <w:rFonts w:ascii="Arial" w:cs="Arial" w:eastAsia="Arial" w:hAnsi="Arial"/>
                <w:b w:val="false"/>
                <w:bCs w:val="false"/>
                <w:sz w:val="17"/>
                <w:szCs w:val="17"/>
              </w:rPr>
              <w:t xml:space="preserve">Loss of client data - no offsite backups</w:t>
            </w:r>
          </w:p>
        </w:tc>
        <w:tc>
          <w:tcPr>
            <w:tcW w:type="dxa" w:w="1250"/>
            <w:shd w:fill="F2F2F2" w:val="clear"/>
            <w:vAlign w:val="center"/>
          </w:tcPr>
          <w:p>
            <w:pPr>
              <w:jc w:val="center"/>
            </w:pPr>
            <w:r>
              <w:rPr>
                <w:rFonts w:ascii="Arial" w:cs="Arial" w:eastAsia="Arial" w:hAnsi="Arial"/>
                <w:b/>
                <w:bCs/>
                <w:sz w:val="17"/>
                <w:szCs w:val="17"/>
              </w:rPr>
              <w:t xml:space="preserve">Mitigate</w:t>
            </w:r>
          </w:p>
        </w:tc>
        <w:tc>
          <w:tcPr>
            <w:tcW w:type="dxa" w:w="3700"/>
            <w:vAlign w:val="center"/>
          </w:tcPr>
          <w:p>
            <w:pPr>
              <w:pStyle w:val="ListParagraph"/>
              <w:numPr>
                <w:ilvl w:val="0"/>
                <w:numId w:val="1"/>
              </w:numPr>
            </w:pPr>
            <w:r>
              <w:rPr>
                <w:rFonts w:ascii="Arial" w:cs="Arial" w:eastAsia="Arial" w:hAnsi="Arial"/>
                <w:sz w:val="17"/>
                <w:szCs w:val="17"/>
              </w:rPr>
              <w:t xml:space="preserve">Implement automated, encrypted daily cloud backups</w:t>
            </w:r>
          </w:p>
          <w:p>
            <w:pPr>
              <w:pStyle w:val="ListParagraph"/>
              <w:numPr>
                <w:ilvl w:val="0"/>
                <w:numId w:val="1"/>
              </w:numPr>
            </w:pPr>
            <w:r>
              <w:rPr>
                <w:rFonts w:ascii="Arial" w:cs="Arial" w:eastAsia="Arial" w:hAnsi="Arial"/>
                <w:sz w:val="17"/>
                <w:szCs w:val="17"/>
              </w:rPr>
              <w:t xml:space="preserve">Run quarterly restore tests</w:t>
            </w:r>
          </w:p>
          <w:p>
            <w:pPr>
              <w:pStyle w:val="ListParagraph"/>
              <w:numPr>
                <w:ilvl w:val="0"/>
                <w:numId w:val="1"/>
              </w:numPr>
            </w:pPr>
            <w:r>
              <w:rPr>
                <w:rFonts w:ascii="Arial" w:cs="Arial" w:eastAsia="Arial" w:hAnsi="Arial"/>
                <w:sz w:val="17"/>
                <w:szCs w:val="17"/>
              </w:rPr>
              <w:t xml:space="preserve">Document a data backup standard</w:t>
            </w:r>
          </w:p>
        </w:tc>
        <w:tc>
          <w:tcPr>
            <w:tcW w:type="dxa" w:w="1400"/>
            <w:shd w:fill="F2F2F2" w:val="clear"/>
            <w:vAlign w:val="center"/>
          </w:tcPr>
          <w:p>
            <w:pPr>
              <w:jc w:val="left"/>
            </w:pPr>
            <w:r>
              <w:rPr>
                <w:rFonts w:ascii="Arial" w:cs="Arial" w:eastAsia="Arial" w:hAnsi="Arial"/>
                <w:b w:val="false"/>
                <w:bCs w:val="false"/>
                <w:sz w:val="17"/>
                <w:szCs w:val="17"/>
              </w:rPr>
              <w:t xml:space="preserve">IT Manager</w:t>
            </w:r>
          </w:p>
        </w:tc>
        <w:tc>
          <w:tcPr>
            <w:tcW w:type="dxa" w:w="1250"/>
            <w:shd w:fill="F2F2F2" w:val="clear"/>
            <w:vAlign w:val="center"/>
          </w:tcPr>
          <w:p>
            <w:pPr>
              <w:jc w:val="center"/>
            </w:pPr>
            <w:r>
              <w:rPr>
                <w:rFonts w:ascii="Arial" w:cs="Arial" w:eastAsia="Arial" w:hAnsi="Arial"/>
                <w:b w:val="false"/>
                <w:bCs w:val="false"/>
                <w:sz w:val="17"/>
                <w:szCs w:val="17"/>
              </w:rPr>
              <w:t xml:space="preserve">45 days</w:t>
            </w:r>
          </w:p>
        </w:tc>
        <w:tc>
          <w:tcPr>
            <w:tcW w:type="dxa" w:w="950"/>
            <w:shd w:fill="C6E0B4" w:val="clear"/>
            <w:vAlign w:val="center"/>
          </w:tcPr>
          <w:p>
            <w:pPr>
              <w:jc w:val="center"/>
            </w:pPr>
            <w:r>
              <w:rPr>
                <w:rFonts w:ascii="Arial" w:cs="Arial" w:eastAsia="Arial" w:hAnsi="Arial"/>
                <w:b/>
                <w:bCs/>
                <w:sz w:val="17"/>
                <w:szCs w:val="17"/>
              </w:rPr>
              <w:t xml:space="preserve">4</w:t>
            </w:r>
          </w:p>
        </w:tc>
        <w:tc>
          <w:tcPr>
            <w:tcW w:type="dxa" w:w="950"/>
            <w:shd w:fill="C6E0B4" w:val="clear"/>
            <w:vAlign w:val="center"/>
          </w:tcPr>
          <w:p>
            <w:pPr>
              <w:jc w:val="center"/>
            </w:pPr>
            <w:r>
              <w:rPr>
                <w:rFonts w:ascii="Arial" w:cs="Arial" w:eastAsia="Arial" w:hAnsi="Arial"/>
                <w:b/>
                <w:bCs/>
                <w:sz w:val="17"/>
                <w:szCs w:val="17"/>
              </w:rPr>
              <w:t xml:space="preserve">Low</w:t>
            </w:r>
          </w:p>
        </w:tc>
      </w:tr>
      <w:tr>
        <w:tc>
          <w:tcPr>
            <w:tcW w:type="dxa" w:w="550"/>
            <w:shd w:fill="FFFFFF" w:val="clear"/>
            <w:vAlign w:val="center"/>
          </w:tcPr>
          <w:p>
            <w:pPr>
              <w:jc w:val="center"/>
            </w:pPr>
            <w:r>
              <w:rPr>
                <w:rFonts w:ascii="Arial" w:cs="Arial" w:eastAsia="Arial" w:hAnsi="Arial"/>
                <w:b/>
                <w:bCs/>
                <w:sz w:val="17"/>
                <w:szCs w:val="17"/>
              </w:rPr>
              <w:t xml:space="preserve">R5</w:t>
            </w:r>
          </w:p>
        </w:tc>
        <w:tc>
          <w:tcPr>
            <w:tcW w:type="dxa" w:w="2100"/>
            <w:shd w:fill="FFFFFF" w:val="clear"/>
            <w:vAlign w:val="center"/>
          </w:tcPr>
          <w:p>
            <w:pPr>
              <w:jc w:val="left"/>
            </w:pPr>
            <w:r>
              <w:rPr>
                <w:rFonts w:ascii="Arial" w:cs="Arial" w:eastAsia="Arial" w:hAnsi="Arial"/>
                <w:b w:val="false"/>
                <w:bCs w:val="false"/>
                <w:sz w:val="17"/>
                <w:szCs w:val="17"/>
              </w:rPr>
              <w:t xml:space="preserve">POPIA non-compliance - no retention/disposal policy</w:t>
            </w:r>
          </w:p>
        </w:tc>
        <w:tc>
          <w:tcPr>
            <w:tcW w:type="dxa" w:w="1250"/>
            <w:shd w:fill="FFFFFF" w:val="clear"/>
            <w:vAlign w:val="center"/>
          </w:tcPr>
          <w:p>
            <w:pPr>
              <w:jc w:val="center"/>
            </w:pPr>
            <w:r>
              <w:rPr>
                <w:rFonts w:ascii="Arial" w:cs="Arial" w:eastAsia="Arial" w:hAnsi="Arial"/>
                <w:b/>
                <w:bCs/>
                <w:sz w:val="17"/>
                <w:szCs w:val="17"/>
              </w:rPr>
              <w:t xml:space="preserve">Mitigate</w:t>
            </w:r>
          </w:p>
        </w:tc>
        <w:tc>
          <w:tcPr>
            <w:tcW w:type="dxa" w:w="3700"/>
            <w:vAlign w:val="center"/>
          </w:tcPr>
          <w:p>
            <w:pPr>
              <w:pStyle w:val="ListParagraph"/>
              <w:numPr>
                <w:ilvl w:val="0"/>
                <w:numId w:val="1"/>
              </w:numPr>
            </w:pPr>
            <w:r>
              <w:rPr>
                <w:rFonts w:ascii="Arial" w:cs="Arial" w:eastAsia="Arial" w:hAnsi="Arial"/>
                <w:sz w:val="17"/>
                <w:szCs w:val="17"/>
              </w:rPr>
              <w:t xml:space="preserve">Draft &amp; implement POPIA data retention &amp; disposal policy</w:t>
            </w:r>
          </w:p>
          <w:p>
            <w:pPr>
              <w:pStyle w:val="ListParagraph"/>
              <w:numPr>
                <w:ilvl w:val="0"/>
                <w:numId w:val="1"/>
              </w:numPr>
            </w:pPr>
            <w:r>
              <w:rPr>
                <w:rFonts w:ascii="Arial" w:cs="Arial" w:eastAsia="Arial" w:hAnsi="Arial"/>
                <w:sz w:val="17"/>
                <w:szCs w:val="17"/>
              </w:rPr>
              <w:t xml:space="preserve">Formally register Information Officer duties</w:t>
            </w:r>
          </w:p>
          <w:p>
            <w:pPr>
              <w:pStyle w:val="ListParagraph"/>
              <w:numPr>
                <w:ilvl w:val="0"/>
                <w:numId w:val="1"/>
              </w:numPr>
            </w:pPr>
            <w:r>
              <w:rPr>
                <w:rFonts w:ascii="Arial" w:cs="Arial" w:eastAsia="Arial" w:hAnsi="Arial"/>
                <w:sz w:val="17"/>
                <w:szCs w:val="17"/>
              </w:rPr>
              <w:t xml:space="preserve">Conduct a data mapping exercise</w:t>
            </w:r>
          </w:p>
        </w:tc>
        <w:tc>
          <w:tcPr>
            <w:tcW w:type="dxa" w:w="1400"/>
            <w:shd w:fill="FFFFFF" w:val="clear"/>
            <w:vAlign w:val="center"/>
          </w:tcPr>
          <w:p>
            <w:pPr>
              <w:jc w:val="left"/>
            </w:pPr>
            <w:r>
              <w:rPr>
                <w:rFonts w:ascii="Arial" w:cs="Arial" w:eastAsia="Arial" w:hAnsi="Arial"/>
                <w:b w:val="false"/>
                <w:bCs w:val="false"/>
                <w:sz w:val="17"/>
                <w:szCs w:val="17"/>
              </w:rPr>
              <w:t xml:space="preserve">Compliance Officer</w:t>
            </w:r>
          </w:p>
        </w:tc>
        <w:tc>
          <w:tcPr>
            <w:tcW w:type="dxa" w:w="1250"/>
            <w:shd w:fill="FFFFFF" w:val="clear"/>
            <w:vAlign w:val="center"/>
          </w:tcPr>
          <w:p>
            <w:pPr>
              <w:jc w:val="center"/>
            </w:pPr>
            <w:r>
              <w:rPr>
                <w:rFonts w:ascii="Arial" w:cs="Arial" w:eastAsia="Arial" w:hAnsi="Arial"/>
                <w:b w:val="false"/>
                <w:bCs w:val="false"/>
                <w:sz w:val="17"/>
                <w:szCs w:val="17"/>
              </w:rPr>
              <w:t xml:space="preserve">60 days</w:t>
            </w:r>
          </w:p>
        </w:tc>
        <w:tc>
          <w:tcPr>
            <w:tcW w:type="dxa" w:w="950"/>
            <w:shd w:fill="FFE699" w:val="clear"/>
            <w:vAlign w:val="center"/>
          </w:tcPr>
          <w:p>
            <w:pPr>
              <w:jc w:val="center"/>
            </w:pPr>
            <w:r>
              <w:rPr>
                <w:rFonts w:ascii="Arial" w:cs="Arial" w:eastAsia="Arial" w:hAnsi="Arial"/>
                <w:b/>
                <w:bCs/>
                <w:sz w:val="17"/>
                <w:szCs w:val="17"/>
              </w:rPr>
              <w:t xml:space="preserve">6</w:t>
            </w:r>
          </w:p>
        </w:tc>
        <w:tc>
          <w:tcPr>
            <w:tcW w:type="dxa" w:w="950"/>
            <w:shd w:fill="FFE699" w:val="clear"/>
            <w:vAlign w:val="center"/>
          </w:tcPr>
          <w:p>
            <w:pPr>
              <w:jc w:val="center"/>
            </w:pPr>
            <w:r>
              <w:rPr>
                <w:rFonts w:ascii="Arial" w:cs="Arial" w:eastAsia="Arial" w:hAnsi="Arial"/>
                <w:b/>
                <w:bCs/>
                <w:sz w:val="17"/>
                <w:szCs w:val="17"/>
              </w:rPr>
              <w:t xml:space="preserve">Medium</w:t>
            </w:r>
          </w:p>
        </w:tc>
      </w:tr>
      <w:tr>
        <w:tc>
          <w:tcPr>
            <w:tcW w:type="dxa" w:w="550"/>
            <w:shd w:fill="F2F2F2" w:val="clear"/>
            <w:vAlign w:val="center"/>
          </w:tcPr>
          <w:p>
            <w:pPr>
              <w:jc w:val="center"/>
            </w:pPr>
            <w:r>
              <w:rPr>
                <w:rFonts w:ascii="Arial" w:cs="Arial" w:eastAsia="Arial" w:hAnsi="Arial"/>
                <w:b/>
                <w:bCs/>
                <w:sz w:val="17"/>
                <w:szCs w:val="17"/>
              </w:rPr>
              <w:t xml:space="preserve">R6</w:t>
            </w:r>
          </w:p>
        </w:tc>
        <w:tc>
          <w:tcPr>
            <w:tcW w:type="dxa" w:w="2100"/>
            <w:shd w:fill="F2F2F2" w:val="clear"/>
            <w:vAlign w:val="center"/>
          </w:tcPr>
          <w:p>
            <w:pPr>
              <w:jc w:val="left"/>
            </w:pPr>
            <w:r>
              <w:rPr>
                <w:rFonts w:ascii="Arial" w:cs="Arial" w:eastAsia="Arial" w:hAnsi="Arial"/>
                <w:b w:val="false"/>
                <w:bCs w:val="false"/>
                <w:sz w:val="17"/>
                <w:szCs w:val="17"/>
              </w:rPr>
              <w:t xml:space="preserve">FAIS non-compliance - RE5/CPD not tracked</w:t>
            </w:r>
          </w:p>
        </w:tc>
        <w:tc>
          <w:tcPr>
            <w:tcW w:type="dxa" w:w="1250"/>
            <w:shd w:fill="F2F2F2" w:val="clear"/>
            <w:vAlign w:val="center"/>
          </w:tcPr>
          <w:p>
            <w:pPr>
              <w:jc w:val="center"/>
            </w:pPr>
            <w:r>
              <w:rPr>
                <w:rFonts w:ascii="Arial" w:cs="Arial" w:eastAsia="Arial" w:hAnsi="Arial"/>
                <w:b/>
                <w:bCs/>
                <w:sz w:val="17"/>
                <w:szCs w:val="17"/>
              </w:rPr>
              <w:t xml:space="preserve">Mitigate</w:t>
            </w:r>
          </w:p>
        </w:tc>
        <w:tc>
          <w:tcPr>
            <w:tcW w:type="dxa" w:w="3700"/>
            <w:vAlign w:val="center"/>
          </w:tcPr>
          <w:p>
            <w:pPr>
              <w:pStyle w:val="ListParagraph"/>
              <w:numPr>
                <w:ilvl w:val="0"/>
                <w:numId w:val="1"/>
              </w:numPr>
            </w:pPr>
            <w:r>
              <w:rPr>
                <w:rFonts w:ascii="Arial" w:cs="Arial" w:eastAsia="Arial" w:hAnsi="Arial"/>
                <w:sz w:val="17"/>
                <w:szCs w:val="17"/>
              </w:rPr>
              <w:t xml:space="preserve">Implement CPD/RE5 tracking register with renewal alerts</w:t>
            </w:r>
          </w:p>
          <w:p>
            <w:pPr>
              <w:pStyle w:val="ListParagraph"/>
              <w:numPr>
                <w:ilvl w:val="0"/>
                <w:numId w:val="1"/>
              </w:numPr>
            </w:pPr>
            <w:r>
              <w:rPr>
                <w:rFonts w:ascii="Arial" w:cs="Arial" w:eastAsia="Arial" w:hAnsi="Arial"/>
                <w:sz w:val="17"/>
                <w:szCs w:val="17"/>
              </w:rPr>
              <w:t xml:space="preserve">Annual internal FAIS compliance audit</w:t>
            </w:r>
          </w:p>
          <w:p>
            <w:pPr>
              <w:pStyle w:val="ListParagraph"/>
              <w:numPr>
                <w:ilvl w:val="0"/>
                <w:numId w:val="1"/>
              </w:numPr>
            </w:pPr>
            <w:r>
              <w:rPr>
                <w:rFonts w:ascii="Arial" w:cs="Arial" w:eastAsia="Arial" w:hAnsi="Arial"/>
                <w:sz w:val="17"/>
                <w:szCs w:val="17"/>
              </w:rPr>
              <w:t xml:space="preserve">Supervision sign-off for new advisers</w:t>
            </w:r>
          </w:p>
        </w:tc>
        <w:tc>
          <w:tcPr>
            <w:tcW w:type="dxa" w:w="1400"/>
            <w:shd w:fill="F2F2F2" w:val="clear"/>
            <w:vAlign w:val="center"/>
          </w:tcPr>
          <w:p>
            <w:pPr>
              <w:jc w:val="left"/>
            </w:pPr>
            <w:r>
              <w:rPr>
                <w:rFonts w:ascii="Arial" w:cs="Arial" w:eastAsia="Arial" w:hAnsi="Arial"/>
                <w:b w:val="false"/>
                <w:bCs w:val="false"/>
                <w:sz w:val="17"/>
                <w:szCs w:val="17"/>
              </w:rPr>
              <w:t xml:space="preserve">Compliance Officer</w:t>
            </w:r>
          </w:p>
        </w:tc>
        <w:tc>
          <w:tcPr>
            <w:tcW w:type="dxa" w:w="1250"/>
            <w:shd w:fill="F2F2F2" w:val="clear"/>
            <w:vAlign w:val="center"/>
          </w:tcPr>
          <w:p>
            <w:pPr>
              <w:jc w:val="center"/>
            </w:pPr>
            <w:r>
              <w:rPr>
                <w:rFonts w:ascii="Arial" w:cs="Arial" w:eastAsia="Arial" w:hAnsi="Arial"/>
                <w:b w:val="false"/>
                <w:bCs w:val="false"/>
                <w:sz w:val="17"/>
                <w:szCs w:val="17"/>
              </w:rPr>
              <w:t xml:space="preserve">30 days</w:t>
            </w:r>
          </w:p>
        </w:tc>
        <w:tc>
          <w:tcPr>
            <w:tcW w:type="dxa" w:w="950"/>
            <w:shd w:fill="C6E0B4" w:val="clear"/>
            <w:vAlign w:val="center"/>
          </w:tcPr>
          <w:p>
            <w:pPr>
              <w:jc w:val="center"/>
            </w:pPr>
            <w:r>
              <w:rPr>
                <w:rFonts w:ascii="Arial" w:cs="Arial" w:eastAsia="Arial" w:hAnsi="Arial"/>
                <w:b/>
                <w:bCs/>
                <w:sz w:val="17"/>
                <w:szCs w:val="17"/>
              </w:rPr>
              <w:t xml:space="preserve">3</w:t>
            </w:r>
          </w:p>
        </w:tc>
        <w:tc>
          <w:tcPr>
            <w:tcW w:type="dxa" w:w="950"/>
            <w:shd w:fill="C6E0B4" w:val="clear"/>
            <w:vAlign w:val="center"/>
          </w:tcPr>
          <w:p>
            <w:pPr>
              <w:jc w:val="center"/>
            </w:pPr>
            <w:r>
              <w:rPr>
                <w:rFonts w:ascii="Arial" w:cs="Arial" w:eastAsia="Arial" w:hAnsi="Arial"/>
                <w:b/>
                <w:bCs/>
                <w:sz w:val="17"/>
                <w:szCs w:val="17"/>
              </w:rPr>
              <w:t xml:space="preserve">Low</w:t>
            </w:r>
          </w:p>
        </w:tc>
      </w:tr>
      <w:tr>
        <w:tc>
          <w:tcPr>
            <w:tcW w:type="dxa" w:w="550"/>
            <w:shd w:fill="FFFFFF" w:val="clear"/>
            <w:vAlign w:val="center"/>
          </w:tcPr>
          <w:p>
            <w:pPr>
              <w:jc w:val="center"/>
            </w:pPr>
            <w:r>
              <w:rPr>
                <w:rFonts w:ascii="Arial" w:cs="Arial" w:eastAsia="Arial" w:hAnsi="Arial"/>
                <w:b/>
                <w:bCs/>
                <w:sz w:val="17"/>
                <w:szCs w:val="17"/>
              </w:rPr>
              <w:t xml:space="preserve">R7</w:t>
            </w:r>
          </w:p>
        </w:tc>
        <w:tc>
          <w:tcPr>
            <w:tcW w:type="dxa" w:w="2100"/>
            <w:shd w:fill="FFFFFF" w:val="clear"/>
            <w:vAlign w:val="center"/>
          </w:tcPr>
          <w:p>
            <w:pPr>
              <w:jc w:val="left"/>
            </w:pPr>
            <w:r>
              <w:rPr>
                <w:rFonts w:ascii="Arial" w:cs="Arial" w:eastAsia="Arial" w:hAnsi="Arial"/>
                <w:b w:val="false"/>
                <w:bCs w:val="false"/>
                <w:sz w:val="17"/>
                <w:szCs w:val="17"/>
              </w:rPr>
              <w:t xml:space="preserve">TCF breach - mis-selling / inadequate training</w:t>
            </w:r>
          </w:p>
        </w:tc>
        <w:tc>
          <w:tcPr>
            <w:tcW w:type="dxa" w:w="1250"/>
            <w:shd w:fill="FFFFFF" w:val="clear"/>
            <w:vAlign w:val="center"/>
          </w:tcPr>
          <w:p>
            <w:pPr>
              <w:jc w:val="center"/>
            </w:pPr>
            <w:r>
              <w:rPr>
                <w:rFonts w:ascii="Arial" w:cs="Arial" w:eastAsia="Arial" w:hAnsi="Arial"/>
                <w:b/>
                <w:bCs/>
                <w:sz w:val="17"/>
                <w:szCs w:val="17"/>
              </w:rPr>
              <w:t xml:space="preserve">Mitigate</w:t>
            </w:r>
          </w:p>
        </w:tc>
        <w:tc>
          <w:tcPr>
            <w:tcW w:type="dxa" w:w="3700"/>
            <w:vAlign w:val="center"/>
          </w:tcPr>
          <w:p>
            <w:pPr>
              <w:pStyle w:val="ListParagraph"/>
              <w:numPr>
                <w:ilvl w:val="0"/>
                <w:numId w:val="1"/>
              </w:numPr>
            </w:pPr>
            <w:r>
              <w:rPr>
                <w:rFonts w:ascii="Arial" w:cs="Arial" w:eastAsia="Arial" w:hAnsi="Arial"/>
                <w:sz w:val="17"/>
                <w:szCs w:val="17"/>
              </w:rPr>
              <w:t xml:space="preserve">Structured product &amp; needs-analysis training programme</w:t>
            </w:r>
          </w:p>
          <w:p>
            <w:pPr>
              <w:pStyle w:val="ListParagraph"/>
              <w:numPr>
                <w:ilvl w:val="0"/>
                <w:numId w:val="1"/>
              </w:numPr>
            </w:pPr>
            <w:r>
              <w:rPr>
                <w:rFonts w:ascii="Arial" w:cs="Arial" w:eastAsia="Arial" w:hAnsi="Arial"/>
                <w:sz w:val="17"/>
                <w:szCs w:val="17"/>
              </w:rPr>
              <w:t xml:space="preserve">TCF outcome monitoring via complaints/lapse data</w:t>
            </w:r>
          </w:p>
          <w:p>
            <w:pPr>
              <w:pStyle w:val="ListParagraph"/>
              <w:numPr>
                <w:ilvl w:val="0"/>
                <w:numId w:val="1"/>
              </w:numPr>
            </w:pPr>
            <w:r>
              <w:rPr>
                <w:rFonts w:ascii="Arial" w:cs="Arial" w:eastAsia="Arial" w:hAnsi="Arial"/>
                <w:sz w:val="17"/>
                <w:szCs w:val="17"/>
              </w:rPr>
              <w:t xml:space="preserve">Call &amp; quality audits</w:t>
            </w:r>
          </w:p>
        </w:tc>
        <w:tc>
          <w:tcPr>
            <w:tcW w:type="dxa" w:w="1400"/>
            <w:shd w:fill="FFFFFF" w:val="clear"/>
            <w:vAlign w:val="center"/>
          </w:tcPr>
          <w:p>
            <w:pPr>
              <w:jc w:val="left"/>
            </w:pPr>
            <w:r>
              <w:rPr>
                <w:rFonts w:ascii="Arial" w:cs="Arial" w:eastAsia="Arial" w:hAnsi="Arial"/>
                <w:b w:val="false"/>
                <w:bCs w:val="false"/>
                <w:sz w:val="17"/>
                <w:szCs w:val="17"/>
              </w:rPr>
              <w:t xml:space="preserve">Compliance Officer</w:t>
            </w:r>
          </w:p>
        </w:tc>
        <w:tc>
          <w:tcPr>
            <w:tcW w:type="dxa" w:w="1250"/>
            <w:shd w:fill="FFFFFF" w:val="clear"/>
            <w:vAlign w:val="center"/>
          </w:tcPr>
          <w:p>
            <w:pPr>
              <w:jc w:val="center"/>
            </w:pPr>
            <w:r>
              <w:rPr>
                <w:rFonts w:ascii="Arial" w:cs="Arial" w:eastAsia="Arial" w:hAnsi="Arial"/>
                <w:b w:val="false"/>
                <w:bCs w:val="false"/>
                <w:sz w:val="17"/>
                <w:szCs w:val="17"/>
              </w:rPr>
              <w:t xml:space="preserve">60 days</w:t>
            </w:r>
          </w:p>
        </w:tc>
        <w:tc>
          <w:tcPr>
            <w:tcW w:type="dxa" w:w="950"/>
            <w:shd w:fill="C6E0B4" w:val="clear"/>
            <w:vAlign w:val="center"/>
          </w:tcPr>
          <w:p>
            <w:pPr>
              <w:jc w:val="center"/>
            </w:pPr>
            <w:r>
              <w:rPr>
                <w:rFonts w:ascii="Arial" w:cs="Arial" w:eastAsia="Arial" w:hAnsi="Arial"/>
                <w:b/>
                <w:bCs/>
                <w:sz w:val="17"/>
                <w:szCs w:val="17"/>
              </w:rPr>
              <w:t xml:space="preserve">4</w:t>
            </w:r>
          </w:p>
        </w:tc>
        <w:tc>
          <w:tcPr>
            <w:tcW w:type="dxa" w:w="950"/>
            <w:shd w:fill="C6E0B4" w:val="clear"/>
            <w:vAlign w:val="center"/>
          </w:tcPr>
          <w:p>
            <w:pPr>
              <w:jc w:val="center"/>
            </w:pPr>
            <w:r>
              <w:rPr>
                <w:rFonts w:ascii="Arial" w:cs="Arial" w:eastAsia="Arial" w:hAnsi="Arial"/>
                <w:b/>
                <w:bCs/>
                <w:sz w:val="17"/>
                <w:szCs w:val="17"/>
              </w:rPr>
              <w:t xml:space="preserve">Low</w:t>
            </w:r>
          </w:p>
        </w:tc>
      </w:tr>
      <w:tr>
        <w:tc>
          <w:tcPr>
            <w:tcW w:type="dxa" w:w="550"/>
            <w:shd w:fill="F2F2F2" w:val="clear"/>
            <w:vAlign w:val="center"/>
          </w:tcPr>
          <w:p>
            <w:pPr>
              <w:jc w:val="center"/>
            </w:pPr>
            <w:r>
              <w:rPr>
                <w:rFonts w:ascii="Arial" w:cs="Arial" w:eastAsia="Arial" w:hAnsi="Arial"/>
                <w:b/>
                <w:bCs/>
                <w:sz w:val="17"/>
                <w:szCs w:val="17"/>
              </w:rPr>
              <w:t xml:space="preserve">R8</w:t>
            </w:r>
          </w:p>
        </w:tc>
        <w:tc>
          <w:tcPr>
            <w:tcW w:type="dxa" w:w="2100"/>
            <w:shd w:fill="F2F2F2" w:val="clear"/>
            <w:vAlign w:val="center"/>
          </w:tcPr>
          <w:p>
            <w:pPr>
              <w:jc w:val="left"/>
            </w:pPr>
            <w:r>
              <w:rPr>
                <w:rFonts w:ascii="Arial" w:cs="Arial" w:eastAsia="Arial" w:hAnsi="Arial"/>
                <w:b w:val="false"/>
                <w:bCs w:val="false"/>
                <w:sz w:val="17"/>
                <w:szCs w:val="17"/>
              </w:rPr>
              <w:t xml:space="preserve">Theft of unencrypted laptops</w:t>
            </w:r>
          </w:p>
        </w:tc>
        <w:tc>
          <w:tcPr>
            <w:tcW w:type="dxa" w:w="1250"/>
            <w:shd w:fill="F2F2F2" w:val="clear"/>
            <w:vAlign w:val="center"/>
          </w:tcPr>
          <w:p>
            <w:pPr>
              <w:jc w:val="center"/>
            </w:pPr>
            <w:r>
              <w:rPr>
                <w:rFonts w:ascii="Arial" w:cs="Arial" w:eastAsia="Arial" w:hAnsi="Arial"/>
                <w:b/>
                <w:bCs/>
                <w:sz w:val="17"/>
                <w:szCs w:val="17"/>
              </w:rPr>
              <w:t xml:space="preserve">Mitigate</w:t>
            </w:r>
          </w:p>
        </w:tc>
        <w:tc>
          <w:tcPr>
            <w:tcW w:type="dxa" w:w="3700"/>
            <w:vAlign w:val="center"/>
          </w:tcPr>
          <w:p>
            <w:pPr>
              <w:pStyle w:val="ListParagraph"/>
              <w:numPr>
                <w:ilvl w:val="0"/>
                <w:numId w:val="1"/>
              </w:numPr>
            </w:pPr>
            <w:r>
              <w:rPr>
                <w:rFonts w:ascii="Arial" w:cs="Arial" w:eastAsia="Arial" w:hAnsi="Arial"/>
                <w:sz w:val="17"/>
                <w:szCs w:val="17"/>
              </w:rPr>
              <w:t xml:space="preserve">Roll out full-disk encryption (BitLocker)</w:t>
            </w:r>
          </w:p>
          <w:p>
            <w:pPr>
              <w:pStyle w:val="ListParagraph"/>
              <w:numPr>
                <w:ilvl w:val="0"/>
                <w:numId w:val="1"/>
              </w:numPr>
            </w:pPr>
            <w:r>
              <w:rPr>
                <w:rFonts w:ascii="Arial" w:cs="Arial" w:eastAsia="Arial" w:hAnsi="Arial"/>
                <w:sz w:val="17"/>
                <w:szCs w:val="17"/>
              </w:rPr>
              <w:t xml:space="preserve">Deploy MDM with remote-wipe capability</w:t>
            </w:r>
          </w:p>
          <w:p>
            <w:pPr>
              <w:pStyle w:val="ListParagraph"/>
              <w:numPr>
                <w:ilvl w:val="0"/>
                <w:numId w:val="1"/>
              </w:numPr>
            </w:pPr>
            <w:r>
              <w:rPr>
                <w:rFonts w:ascii="Arial" w:cs="Arial" w:eastAsia="Arial" w:hAnsi="Arial"/>
                <w:sz w:val="17"/>
                <w:szCs w:val="17"/>
              </w:rPr>
              <w:t xml:space="preserve">Enforce auto screen-lock &amp; device registration</w:t>
            </w:r>
          </w:p>
        </w:tc>
        <w:tc>
          <w:tcPr>
            <w:tcW w:type="dxa" w:w="1400"/>
            <w:shd w:fill="F2F2F2" w:val="clear"/>
            <w:vAlign w:val="center"/>
          </w:tcPr>
          <w:p>
            <w:pPr>
              <w:jc w:val="left"/>
            </w:pPr>
            <w:r>
              <w:rPr>
                <w:rFonts w:ascii="Arial" w:cs="Arial" w:eastAsia="Arial" w:hAnsi="Arial"/>
                <w:b w:val="false"/>
                <w:bCs w:val="false"/>
                <w:sz w:val="17"/>
                <w:szCs w:val="17"/>
              </w:rPr>
              <w:t xml:space="preserve">IT Manager</w:t>
            </w:r>
          </w:p>
        </w:tc>
        <w:tc>
          <w:tcPr>
            <w:tcW w:type="dxa" w:w="1250"/>
            <w:shd w:fill="F2F2F2" w:val="clear"/>
            <w:vAlign w:val="center"/>
          </w:tcPr>
          <w:p>
            <w:pPr>
              <w:jc w:val="center"/>
            </w:pPr>
            <w:r>
              <w:rPr>
                <w:rFonts w:ascii="Arial" w:cs="Arial" w:eastAsia="Arial" w:hAnsi="Arial"/>
                <w:b w:val="false"/>
                <w:bCs w:val="false"/>
                <w:sz w:val="17"/>
                <w:szCs w:val="17"/>
              </w:rPr>
              <w:t xml:space="preserve">45 days</w:t>
            </w:r>
          </w:p>
        </w:tc>
        <w:tc>
          <w:tcPr>
            <w:tcW w:type="dxa" w:w="950"/>
            <w:shd w:fill="C6E0B4" w:val="clear"/>
            <w:vAlign w:val="center"/>
          </w:tcPr>
          <w:p>
            <w:pPr>
              <w:jc w:val="center"/>
            </w:pPr>
            <w:r>
              <w:rPr>
                <w:rFonts w:ascii="Arial" w:cs="Arial" w:eastAsia="Arial" w:hAnsi="Arial"/>
                <w:b/>
                <w:bCs/>
                <w:sz w:val="17"/>
                <w:szCs w:val="17"/>
              </w:rPr>
              <w:t xml:space="preserve">3</w:t>
            </w:r>
          </w:p>
        </w:tc>
        <w:tc>
          <w:tcPr>
            <w:tcW w:type="dxa" w:w="950"/>
            <w:shd w:fill="C6E0B4" w:val="clear"/>
            <w:vAlign w:val="center"/>
          </w:tcPr>
          <w:p>
            <w:pPr>
              <w:jc w:val="center"/>
            </w:pPr>
            <w:r>
              <w:rPr>
                <w:rFonts w:ascii="Arial" w:cs="Arial" w:eastAsia="Arial" w:hAnsi="Arial"/>
                <w:b/>
                <w:bCs/>
                <w:sz w:val="17"/>
                <w:szCs w:val="17"/>
              </w:rPr>
              <w:t xml:space="preserve">Low</w:t>
            </w:r>
          </w:p>
        </w:tc>
      </w:tr>
      <w:tr>
        <w:tc>
          <w:tcPr>
            <w:tcW w:type="dxa" w:w="550"/>
            <w:shd w:fill="FFFFFF" w:val="clear"/>
            <w:vAlign w:val="center"/>
          </w:tcPr>
          <w:p>
            <w:pPr>
              <w:jc w:val="center"/>
            </w:pPr>
            <w:r>
              <w:rPr>
                <w:rFonts w:ascii="Arial" w:cs="Arial" w:eastAsia="Arial" w:hAnsi="Arial"/>
                <w:b/>
                <w:bCs/>
                <w:sz w:val="17"/>
                <w:szCs w:val="17"/>
              </w:rPr>
              <w:t xml:space="preserve">R9</w:t>
            </w:r>
          </w:p>
        </w:tc>
        <w:tc>
          <w:tcPr>
            <w:tcW w:type="dxa" w:w="2100"/>
            <w:shd w:fill="FFFFFF" w:val="clear"/>
            <w:vAlign w:val="center"/>
          </w:tcPr>
          <w:p>
            <w:pPr>
              <w:jc w:val="left"/>
            </w:pPr>
            <w:r>
              <w:rPr>
                <w:rFonts w:ascii="Arial" w:cs="Arial" w:eastAsia="Arial" w:hAnsi="Arial"/>
                <w:b w:val="false"/>
                <w:bCs w:val="false"/>
                <w:sz w:val="17"/>
                <w:szCs w:val="17"/>
              </w:rPr>
              <w:t xml:space="preserve">Load shedding / power outage - no BCP</w:t>
            </w:r>
          </w:p>
        </w:tc>
        <w:tc>
          <w:tcPr>
            <w:tcW w:type="dxa" w:w="1250"/>
            <w:shd w:fill="FFFFFF" w:val="clear"/>
            <w:vAlign w:val="center"/>
          </w:tcPr>
          <w:p>
            <w:pPr>
              <w:jc w:val="center"/>
            </w:pPr>
            <w:r>
              <w:rPr>
                <w:rFonts w:ascii="Arial" w:cs="Arial" w:eastAsia="Arial" w:hAnsi="Arial"/>
                <w:b/>
                <w:bCs/>
                <w:sz w:val="17"/>
                <w:szCs w:val="17"/>
              </w:rPr>
              <w:t xml:space="preserve">Mitigate</w:t>
            </w:r>
          </w:p>
        </w:tc>
        <w:tc>
          <w:tcPr>
            <w:tcW w:type="dxa" w:w="3700"/>
            <w:vAlign w:val="center"/>
          </w:tcPr>
          <w:p>
            <w:pPr>
              <w:pStyle w:val="ListParagraph"/>
              <w:numPr>
                <w:ilvl w:val="0"/>
                <w:numId w:val="1"/>
              </w:numPr>
            </w:pPr>
            <w:r>
              <w:rPr>
                <w:rFonts w:ascii="Arial" w:cs="Arial" w:eastAsia="Arial" w:hAnsi="Arial"/>
                <w:sz w:val="17"/>
                <w:szCs w:val="17"/>
              </w:rPr>
              <w:t xml:space="preserve">Install UPS for critical systems + backup generator</w:t>
            </w:r>
          </w:p>
          <w:p>
            <w:pPr>
              <w:pStyle w:val="ListParagraph"/>
              <w:numPr>
                <w:ilvl w:val="0"/>
                <w:numId w:val="1"/>
              </w:numPr>
            </w:pPr>
            <w:r>
              <w:rPr>
                <w:rFonts w:ascii="Arial" w:cs="Arial" w:eastAsia="Arial" w:hAnsi="Arial"/>
                <w:sz w:val="17"/>
                <w:szCs w:val="17"/>
              </w:rPr>
              <w:t xml:space="preserve">Document &amp; test a Business Continuity Plan</w:t>
            </w:r>
          </w:p>
          <w:p>
            <w:pPr>
              <w:pStyle w:val="ListParagraph"/>
              <w:numPr>
                <w:ilvl w:val="0"/>
                <w:numId w:val="1"/>
              </w:numPr>
            </w:pPr>
            <w:r>
              <w:rPr>
                <w:rFonts w:ascii="Arial" w:cs="Arial" w:eastAsia="Arial" w:hAnsi="Arial"/>
                <w:sz w:val="17"/>
                <w:szCs w:val="17"/>
              </w:rPr>
              <w:t xml:space="preserve">Define manual-workaround procedures for 4hr+ outages</w:t>
            </w:r>
          </w:p>
        </w:tc>
        <w:tc>
          <w:tcPr>
            <w:tcW w:type="dxa" w:w="1400"/>
            <w:shd w:fill="FFFFFF" w:val="clear"/>
            <w:vAlign w:val="center"/>
          </w:tcPr>
          <w:p>
            <w:pPr>
              <w:jc w:val="left"/>
            </w:pPr>
            <w:r>
              <w:rPr>
                <w:rFonts w:ascii="Arial" w:cs="Arial" w:eastAsia="Arial" w:hAnsi="Arial"/>
                <w:b w:val="false"/>
                <w:bCs w:val="false"/>
                <w:sz w:val="17"/>
                <w:szCs w:val="17"/>
              </w:rPr>
              <w:t xml:space="preserve">Operations Manager</w:t>
            </w:r>
          </w:p>
        </w:tc>
        <w:tc>
          <w:tcPr>
            <w:tcW w:type="dxa" w:w="1250"/>
            <w:shd w:fill="FFFFFF" w:val="clear"/>
            <w:vAlign w:val="center"/>
          </w:tcPr>
          <w:p>
            <w:pPr>
              <w:jc w:val="center"/>
            </w:pPr>
            <w:r>
              <w:rPr>
                <w:rFonts w:ascii="Arial" w:cs="Arial" w:eastAsia="Arial" w:hAnsi="Arial"/>
                <w:b w:val="false"/>
                <w:bCs w:val="false"/>
                <w:sz w:val="17"/>
                <w:szCs w:val="17"/>
              </w:rPr>
              <w:t xml:space="preserve">90 days</w:t>
            </w:r>
          </w:p>
        </w:tc>
        <w:tc>
          <w:tcPr>
            <w:tcW w:type="dxa" w:w="950"/>
            <w:shd w:fill="C6E0B4" w:val="clear"/>
            <w:vAlign w:val="center"/>
          </w:tcPr>
          <w:p>
            <w:pPr>
              <w:jc w:val="center"/>
            </w:pPr>
            <w:r>
              <w:rPr>
                <w:rFonts w:ascii="Arial" w:cs="Arial" w:eastAsia="Arial" w:hAnsi="Arial"/>
                <w:b/>
                <w:bCs/>
                <w:sz w:val="17"/>
                <w:szCs w:val="17"/>
              </w:rPr>
              <w:t xml:space="preserve">4</w:t>
            </w:r>
          </w:p>
        </w:tc>
        <w:tc>
          <w:tcPr>
            <w:tcW w:type="dxa" w:w="950"/>
            <w:shd w:fill="C6E0B4" w:val="clear"/>
            <w:vAlign w:val="center"/>
          </w:tcPr>
          <w:p>
            <w:pPr>
              <w:jc w:val="center"/>
            </w:pPr>
            <w:r>
              <w:rPr>
                <w:rFonts w:ascii="Arial" w:cs="Arial" w:eastAsia="Arial" w:hAnsi="Arial"/>
                <w:b/>
                <w:bCs/>
                <w:sz w:val="17"/>
                <w:szCs w:val="17"/>
              </w:rPr>
              <w:t xml:space="preserve">Low</w:t>
            </w:r>
          </w:p>
        </w:tc>
      </w:tr>
      <w:tr>
        <w:tc>
          <w:tcPr>
            <w:tcW w:type="dxa" w:w="550"/>
            <w:shd w:fill="F2F2F2" w:val="clear"/>
            <w:vAlign w:val="center"/>
          </w:tcPr>
          <w:p>
            <w:pPr>
              <w:jc w:val="center"/>
            </w:pPr>
            <w:r>
              <w:rPr>
                <w:rFonts w:ascii="Arial" w:cs="Arial" w:eastAsia="Arial" w:hAnsi="Arial"/>
                <w:b/>
                <w:bCs/>
                <w:sz w:val="17"/>
                <w:szCs w:val="17"/>
              </w:rPr>
              <w:t xml:space="preserve">R10</w:t>
            </w:r>
          </w:p>
        </w:tc>
        <w:tc>
          <w:tcPr>
            <w:tcW w:type="dxa" w:w="2100"/>
            <w:shd w:fill="F2F2F2" w:val="clear"/>
            <w:vAlign w:val="center"/>
          </w:tcPr>
          <w:p>
            <w:pPr>
              <w:jc w:val="left"/>
            </w:pPr>
            <w:r>
              <w:rPr>
                <w:rFonts w:ascii="Arial" w:cs="Arial" w:eastAsia="Arial" w:hAnsi="Arial"/>
                <w:b w:val="false"/>
                <w:bCs w:val="false"/>
                <w:sz w:val="17"/>
                <w:szCs w:val="17"/>
              </w:rPr>
              <w:t xml:space="preserve">Insider fraud - claims payment manipulation</w:t>
            </w:r>
          </w:p>
        </w:tc>
        <w:tc>
          <w:tcPr>
            <w:tcW w:type="dxa" w:w="1250"/>
            <w:shd w:fill="F2F2F2" w:val="clear"/>
            <w:vAlign w:val="center"/>
          </w:tcPr>
          <w:p>
            <w:pPr>
              <w:jc w:val="center"/>
            </w:pPr>
            <w:r>
              <w:rPr>
                <w:rFonts w:ascii="Arial" w:cs="Arial" w:eastAsia="Arial" w:hAnsi="Arial"/>
                <w:b/>
                <w:bCs/>
                <w:sz w:val="17"/>
                <w:szCs w:val="17"/>
              </w:rPr>
              <w:t xml:space="preserve">Mitigate</w:t>
            </w:r>
          </w:p>
        </w:tc>
        <w:tc>
          <w:tcPr>
            <w:tcW w:type="dxa" w:w="3700"/>
            <w:vAlign w:val="center"/>
          </w:tcPr>
          <w:p>
            <w:pPr>
              <w:pStyle w:val="ListParagraph"/>
              <w:numPr>
                <w:ilvl w:val="0"/>
                <w:numId w:val="1"/>
              </w:numPr>
            </w:pPr>
            <w:r>
              <w:rPr>
                <w:rFonts w:ascii="Arial" w:cs="Arial" w:eastAsia="Arial" w:hAnsi="Arial"/>
                <w:sz w:val="17"/>
                <w:szCs w:val="17"/>
              </w:rPr>
              <w:t xml:space="preserve">Enforce segregation of duties (assess/approve/pay)</w:t>
            </w:r>
          </w:p>
          <w:p>
            <w:pPr>
              <w:pStyle w:val="ListParagraph"/>
              <w:numPr>
                <w:ilvl w:val="0"/>
                <w:numId w:val="1"/>
              </w:numPr>
            </w:pPr>
            <w:r>
              <w:rPr>
                <w:rFonts w:ascii="Arial" w:cs="Arial" w:eastAsia="Arial" w:hAnsi="Arial"/>
                <w:sz w:val="17"/>
                <w:szCs w:val="17"/>
              </w:rPr>
              <w:t xml:space="preserve">Implement automated transaction monitoring</w:t>
            </w:r>
          </w:p>
          <w:p>
            <w:pPr>
              <w:pStyle w:val="ListParagraph"/>
              <w:numPr>
                <w:ilvl w:val="0"/>
                <w:numId w:val="1"/>
              </w:numPr>
            </w:pPr>
            <w:r>
              <w:rPr>
                <w:rFonts w:ascii="Arial" w:cs="Arial" w:eastAsia="Arial" w:hAnsi="Arial"/>
                <w:sz w:val="17"/>
                <w:szCs w:val="17"/>
              </w:rPr>
              <w:t xml:space="preserve">Monthly reconciliation review</w:t>
            </w:r>
          </w:p>
        </w:tc>
        <w:tc>
          <w:tcPr>
            <w:tcW w:type="dxa" w:w="1400"/>
            <w:shd w:fill="F2F2F2" w:val="clear"/>
            <w:vAlign w:val="center"/>
          </w:tcPr>
          <w:p>
            <w:pPr>
              <w:jc w:val="left"/>
            </w:pPr>
            <w:r>
              <w:rPr>
                <w:rFonts w:ascii="Arial" w:cs="Arial" w:eastAsia="Arial" w:hAnsi="Arial"/>
                <w:b w:val="false"/>
                <w:bCs w:val="false"/>
                <w:sz w:val="17"/>
                <w:szCs w:val="17"/>
              </w:rPr>
              <w:t xml:space="preserve">Claims Manager</w:t>
            </w:r>
          </w:p>
        </w:tc>
        <w:tc>
          <w:tcPr>
            <w:tcW w:type="dxa" w:w="1250"/>
            <w:shd w:fill="F2F2F2" w:val="clear"/>
            <w:vAlign w:val="center"/>
          </w:tcPr>
          <w:p>
            <w:pPr>
              <w:jc w:val="center"/>
            </w:pPr>
            <w:r>
              <w:rPr>
                <w:rFonts w:ascii="Arial" w:cs="Arial" w:eastAsia="Arial" w:hAnsi="Arial"/>
                <w:b w:val="false"/>
                <w:bCs w:val="false"/>
                <w:sz w:val="17"/>
                <w:szCs w:val="17"/>
              </w:rPr>
              <w:t xml:space="preserve">60 days</w:t>
            </w:r>
          </w:p>
        </w:tc>
        <w:tc>
          <w:tcPr>
            <w:tcW w:type="dxa" w:w="950"/>
            <w:shd w:fill="C6E0B4" w:val="clear"/>
            <w:vAlign w:val="center"/>
          </w:tcPr>
          <w:p>
            <w:pPr>
              <w:jc w:val="center"/>
            </w:pPr>
            <w:r>
              <w:rPr>
                <w:rFonts w:ascii="Arial" w:cs="Arial" w:eastAsia="Arial" w:hAnsi="Arial"/>
                <w:b/>
                <w:bCs/>
                <w:sz w:val="17"/>
                <w:szCs w:val="17"/>
              </w:rPr>
              <w:t xml:space="preserve">3</w:t>
            </w:r>
          </w:p>
        </w:tc>
        <w:tc>
          <w:tcPr>
            <w:tcW w:type="dxa" w:w="950"/>
            <w:shd w:fill="C6E0B4" w:val="clear"/>
            <w:vAlign w:val="center"/>
          </w:tcPr>
          <w:p>
            <w:pPr>
              <w:jc w:val="center"/>
            </w:pPr>
            <w:r>
              <w:rPr>
                <w:rFonts w:ascii="Arial" w:cs="Arial" w:eastAsia="Arial" w:hAnsi="Arial"/>
                <w:b/>
                <w:bCs/>
                <w:sz w:val="17"/>
                <w:szCs w:val="17"/>
              </w:rPr>
              <w:t xml:space="preserve">Low</w:t>
            </w:r>
          </w:p>
        </w:tc>
      </w:tr>
      <w:tr>
        <w:tc>
          <w:tcPr>
            <w:tcW w:type="dxa" w:w="550"/>
            <w:shd w:fill="FFFFFF" w:val="clear"/>
            <w:vAlign w:val="center"/>
          </w:tcPr>
          <w:p>
            <w:pPr>
              <w:jc w:val="center"/>
            </w:pPr>
            <w:r>
              <w:rPr>
                <w:rFonts w:ascii="Arial" w:cs="Arial" w:eastAsia="Arial" w:hAnsi="Arial"/>
                <w:b/>
                <w:bCs/>
                <w:sz w:val="17"/>
                <w:szCs w:val="17"/>
              </w:rPr>
              <w:t xml:space="preserve">R11</w:t>
            </w:r>
          </w:p>
        </w:tc>
        <w:tc>
          <w:tcPr>
            <w:tcW w:type="dxa" w:w="2100"/>
            <w:shd w:fill="FFFFFF" w:val="clear"/>
            <w:vAlign w:val="center"/>
          </w:tcPr>
          <w:p>
            <w:pPr>
              <w:jc w:val="left"/>
            </w:pPr>
            <w:r>
              <w:rPr>
                <w:rFonts w:ascii="Arial" w:cs="Arial" w:eastAsia="Arial" w:hAnsi="Arial"/>
                <w:b w:val="false"/>
                <w:bCs w:val="false"/>
                <w:sz w:val="17"/>
                <w:szCs w:val="17"/>
              </w:rPr>
              <w:t xml:space="preserve">Third-party SaaS vendor breach</w:t>
            </w:r>
          </w:p>
        </w:tc>
        <w:tc>
          <w:tcPr>
            <w:tcW w:type="dxa" w:w="1250"/>
            <w:shd w:fill="FFFFFF" w:val="clear"/>
            <w:vAlign w:val="center"/>
          </w:tcPr>
          <w:p>
            <w:pPr>
              <w:jc w:val="center"/>
            </w:pPr>
            <w:r>
              <w:rPr>
                <w:rFonts w:ascii="Arial" w:cs="Arial" w:eastAsia="Arial" w:hAnsi="Arial"/>
                <w:b/>
                <w:bCs/>
                <w:sz w:val="17"/>
                <w:szCs w:val="17"/>
              </w:rPr>
              <w:t xml:space="preserve">Transfer / Mitigate</w:t>
            </w:r>
          </w:p>
        </w:tc>
        <w:tc>
          <w:tcPr>
            <w:tcW w:type="dxa" w:w="3700"/>
            <w:vAlign w:val="center"/>
          </w:tcPr>
          <w:p>
            <w:pPr>
              <w:pStyle w:val="ListParagraph"/>
              <w:numPr>
                <w:ilvl w:val="0"/>
                <w:numId w:val="1"/>
              </w:numPr>
            </w:pPr>
            <w:r>
              <w:rPr>
                <w:rFonts w:ascii="Arial" w:cs="Arial" w:eastAsia="Arial" w:hAnsi="Arial"/>
                <w:sz w:val="17"/>
                <w:szCs w:val="17"/>
              </w:rPr>
              <w:t xml:space="preserve">Annual vendor security due-diligence review</w:t>
            </w:r>
          </w:p>
          <w:p>
            <w:pPr>
              <w:pStyle w:val="ListParagraph"/>
              <w:numPr>
                <w:ilvl w:val="0"/>
                <w:numId w:val="1"/>
              </w:numPr>
            </w:pPr>
            <w:r>
              <w:rPr>
                <w:rFonts w:ascii="Arial" w:cs="Arial" w:eastAsia="Arial" w:hAnsi="Arial"/>
                <w:sz w:val="17"/>
                <w:szCs w:val="17"/>
              </w:rPr>
              <w:t xml:space="preserve">Add contractual breach-notification &amp; audit-right clauses</w:t>
            </w:r>
          </w:p>
          <w:p>
            <w:pPr>
              <w:pStyle w:val="ListParagraph"/>
              <w:numPr>
                <w:ilvl w:val="0"/>
                <w:numId w:val="1"/>
              </w:numPr>
            </w:pPr>
            <w:r>
              <w:rPr>
                <w:rFonts w:ascii="Arial" w:cs="Arial" w:eastAsia="Arial" w:hAnsi="Arial"/>
                <w:sz w:val="17"/>
                <w:szCs w:val="17"/>
              </w:rPr>
              <w:t xml:space="preserve">Evaluate cyber liability insurance</w:t>
            </w:r>
          </w:p>
        </w:tc>
        <w:tc>
          <w:tcPr>
            <w:tcW w:type="dxa" w:w="1400"/>
            <w:shd w:fill="FFFFFF" w:val="clear"/>
            <w:vAlign w:val="center"/>
          </w:tcPr>
          <w:p>
            <w:pPr>
              <w:jc w:val="left"/>
            </w:pPr>
            <w:r>
              <w:rPr>
                <w:rFonts w:ascii="Arial" w:cs="Arial" w:eastAsia="Arial" w:hAnsi="Arial"/>
                <w:b w:val="false"/>
                <w:bCs w:val="false"/>
                <w:sz w:val="17"/>
                <w:szCs w:val="17"/>
              </w:rPr>
              <w:t xml:space="preserve">Compliance Officer</w:t>
            </w:r>
          </w:p>
        </w:tc>
        <w:tc>
          <w:tcPr>
            <w:tcW w:type="dxa" w:w="1250"/>
            <w:shd w:fill="FFFFFF" w:val="clear"/>
            <w:vAlign w:val="center"/>
          </w:tcPr>
          <w:p>
            <w:pPr>
              <w:jc w:val="center"/>
            </w:pPr>
            <w:r>
              <w:rPr>
                <w:rFonts w:ascii="Arial" w:cs="Arial" w:eastAsia="Arial" w:hAnsi="Arial"/>
                <w:b w:val="false"/>
                <w:bCs w:val="false"/>
                <w:sz w:val="17"/>
                <w:szCs w:val="17"/>
              </w:rPr>
              <w:t xml:space="preserve">60 days</w:t>
            </w:r>
          </w:p>
        </w:tc>
        <w:tc>
          <w:tcPr>
            <w:tcW w:type="dxa" w:w="950"/>
            <w:shd w:fill="C6E0B4" w:val="clear"/>
            <w:vAlign w:val="center"/>
          </w:tcPr>
          <w:p>
            <w:pPr>
              <w:jc w:val="center"/>
            </w:pPr>
            <w:r>
              <w:rPr>
                <w:rFonts w:ascii="Arial" w:cs="Arial" w:eastAsia="Arial" w:hAnsi="Arial"/>
                <w:b/>
                <w:bCs/>
                <w:sz w:val="17"/>
                <w:szCs w:val="17"/>
              </w:rPr>
              <w:t xml:space="preserve">3</w:t>
            </w:r>
          </w:p>
        </w:tc>
        <w:tc>
          <w:tcPr>
            <w:tcW w:type="dxa" w:w="950"/>
            <w:shd w:fill="C6E0B4" w:val="clear"/>
            <w:vAlign w:val="center"/>
          </w:tcPr>
          <w:p>
            <w:pPr>
              <w:jc w:val="center"/>
            </w:pPr>
            <w:r>
              <w:rPr>
                <w:rFonts w:ascii="Arial" w:cs="Arial" w:eastAsia="Arial" w:hAnsi="Arial"/>
                <w:b/>
                <w:bCs/>
                <w:sz w:val="17"/>
                <w:szCs w:val="17"/>
              </w:rPr>
              <w:t xml:space="preserve">Low</w:t>
            </w:r>
          </w:p>
        </w:tc>
      </w:tr>
      <w:tr>
        <w:tc>
          <w:tcPr>
            <w:tcW w:type="dxa" w:w="550"/>
            <w:shd w:fill="F2F2F2" w:val="clear"/>
            <w:vAlign w:val="center"/>
          </w:tcPr>
          <w:p>
            <w:pPr>
              <w:jc w:val="center"/>
            </w:pPr>
            <w:r>
              <w:rPr>
                <w:rFonts w:ascii="Arial" w:cs="Arial" w:eastAsia="Arial" w:hAnsi="Arial"/>
                <w:b/>
                <w:bCs/>
                <w:sz w:val="17"/>
                <w:szCs w:val="17"/>
              </w:rPr>
              <w:t xml:space="preserve">R12</w:t>
            </w:r>
          </w:p>
        </w:tc>
        <w:tc>
          <w:tcPr>
            <w:tcW w:type="dxa" w:w="2100"/>
            <w:shd w:fill="F2F2F2" w:val="clear"/>
            <w:vAlign w:val="center"/>
          </w:tcPr>
          <w:p>
            <w:pPr>
              <w:jc w:val="left"/>
            </w:pPr>
            <w:r>
              <w:rPr>
                <w:rFonts w:ascii="Arial" w:cs="Arial" w:eastAsia="Arial" w:hAnsi="Arial"/>
                <w:b w:val="false"/>
                <w:bCs w:val="false"/>
                <w:sz w:val="17"/>
                <w:szCs w:val="17"/>
              </w:rPr>
              <w:t xml:space="preserve">Business Email Compromise / invoice fraud</w:t>
            </w:r>
          </w:p>
        </w:tc>
        <w:tc>
          <w:tcPr>
            <w:tcW w:type="dxa" w:w="1250"/>
            <w:shd w:fill="F2F2F2" w:val="clear"/>
            <w:vAlign w:val="center"/>
          </w:tcPr>
          <w:p>
            <w:pPr>
              <w:jc w:val="center"/>
            </w:pPr>
            <w:r>
              <w:rPr>
                <w:rFonts w:ascii="Arial" w:cs="Arial" w:eastAsia="Arial" w:hAnsi="Arial"/>
                <w:b/>
                <w:bCs/>
                <w:sz w:val="17"/>
                <w:szCs w:val="17"/>
              </w:rPr>
              <w:t xml:space="preserve">Mitigate</w:t>
            </w:r>
          </w:p>
        </w:tc>
        <w:tc>
          <w:tcPr>
            <w:tcW w:type="dxa" w:w="3700"/>
            <w:vAlign w:val="center"/>
          </w:tcPr>
          <w:p>
            <w:pPr>
              <w:pStyle w:val="ListParagraph"/>
              <w:numPr>
                <w:ilvl w:val="0"/>
                <w:numId w:val="1"/>
              </w:numPr>
            </w:pPr>
            <w:r>
              <w:rPr>
                <w:rFonts w:ascii="Arial" w:cs="Arial" w:eastAsia="Arial" w:hAnsi="Arial"/>
                <w:sz w:val="17"/>
                <w:szCs w:val="17"/>
              </w:rPr>
              <w:t xml:space="preserve">Implement SPF/DKIM/DMARC email authentication</w:t>
            </w:r>
          </w:p>
          <w:p>
            <w:pPr>
              <w:pStyle w:val="ListParagraph"/>
              <w:numPr>
                <w:ilvl w:val="0"/>
                <w:numId w:val="1"/>
              </w:numPr>
            </w:pPr>
            <w:r>
              <w:rPr>
                <w:rFonts w:ascii="Arial" w:cs="Arial" w:eastAsia="Arial" w:hAnsi="Arial"/>
                <w:sz w:val="17"/>
                <w:szCs w:val="17"/>
              </w:rPr>
              <w:t xml:space="preserve">Mandate telephonic callback verification for banking-detail changes</w:t>
            </w:r>
          </w:p>
        </w:tc>
        <w:tc>
          <w:tcPr>
            <w:tcW w:type="dxa" w:w="1400"/>
            <w:shd w:fill="F2F2F2" w:val="clear"/>
            <w:vAlign w:val="center"/>
          </w:tcPr>
          <w:p>
            <w:pPr>
              <w:jc w:val="left"/>
            </w:pPr>
            <w:r>
              <w:rPr>
                <w:rFonts w:ascii="Arial" w:cs="Arial" w:eastAsia="Arial" w:hAnsi="Arial"/>
                <w:b w:val="false"/>
                <w:bCs w:val="false"/>
                <w:sz w:val="17"/>
                <w:szCs w:val="17"/>
              </w:rPr>
              <w:t xml:space="preserve">IT Manager</w:t>
            </w:r>
          </w:p>
        </w:tc>
        <w:tc>
          <w:tcPr>
            <w:tcW w:type="dxa" w:w="1250"/>
            <w:shd w:fill="F2F2F2" w:val="clear"/>
            <w:vAlign w:val="center"/>
          </w:tcPr>
          <w:p>
            <w:pPr>
              <w:jc w:val="center"/>
            </w:pPr>
            <w:r>
              <w:rPr>
                <w:rFonts w:ascii="Arial" w:cs="Arial" w:eastAsia="Arial" w:hAnsi="Arial"/>
                <w:b w:val="false"/>
                <w:bCs w:val="false"/>
                <w:sz w:val="17"/>
                <w:szCs w:val="17"/>
              </w:rPr>
              <w:t xml:space="preserve">30 days</w:t>
            </w:r>
          </w:p>
        </w:tc>
        <w:tc>
          <w:tcPr>
            <w:tcW w:type="dxa" w:w="950"/>
            <w:shd w:fill="C6E0B4" w:val="clear"/>
            <w:vAlign w:val="center"/>
          </w:tcPr>
          <w:p>
            <w:pPr>
              <w:jc w:val="center"/>
            </w:pPr>
            <w:r>
              <w:rPr>
                <w:rFonts w:ascii="Arial" w:cs="Arial" w:eastAsia="Arial" w:hAnsi="Arial"/>
                <w:b/>
                <w:bCs/>
                <w:sz w:val="17"/>
                <w:szCs w:val="17"/>
              </w:rPr>
              <w:t xml:space="preserve">3</w:t>
            </w:r>
          </w:p>
        </w:tc>
        <w:tc>
          <w:tcPr>
            <w:tcW w:type="dxa" w:w="950"/>
            <w:shd w:fill="C6E0B4" w:val="clear"/>
            <w:vAlign w:val="center"/>
          </w:tcPr>
          <w:p>
            <w:pPr>
              <w:jc w:val="center"/>
            </w:pPr>
            <w:r>
              <w:rPr>
                <w:rFonts w:ascii="Arial" w:cs="Arial" w:eastAsia="Arial" w:hAnsi="Arial"/>
                <w:b/>
                <w:bCs/>
                <w:sz w:val="17"/>
                <w:szCs w:val="17"/>
              </w:rPr>
              <w:t xml:space="preserve">Low</w:t>
            </w:r>
          </w:p>
        </w:tc>
      </w:tr>
      <w:tr>
        <w:tc>
          <w:tcPr>
            <w:tcW w:type="dxa" w:w="550"/>
            <w:shd w:fill="FFFFFF" w:val="clear"/>
            <w:vAlign w:val="center"/>
          </w:tcPr>
          <w:p>
            <w:pPr>
              <w:jc w:val="center"/>
            </w:pPr>
            <w:r>
              <w:rPr>
                <w:rFonts w:ascii="Arial" w:cs="Arial" w:eastAsia="Arial" w:hAnsi="Arial"/>
                <w:b/>
                <w:bCs/>
                <w:sz w:val="17"/>
                <w:szCs w:val="17"/>
              </w:rPr>
              <w:t xml:space="preserve">R13</w:t>
            </w:r>
          </w:p>
        </w:tc>
        <w:tc>
          <w:tcPr>
            <w:tcW w:type="dxa" w:w="2100"/>
            <w:shd w:fill="FFFFFF" w:val="clear"/>
            <w:vAlign w:val="center"/>
          </w:tcPr>
          <w:p>
            <w:pPr>
              <w:jc w:val="left"/>
            </w:pPr>
            <w:r>
              <w:rPr>
                <w:rFonts w:ascii="Arial" w:cs="Arial" w:eastAsia="Arial" w:hAnsi="Arial"/>
                <w:b w:val="false"/>
                <w:bCs w:val="false"/>
                <w:sz w:val="17"/>
                <w:szCs w:val="17"/>
              </w:rPr>
              <w:t xml:space="preserve">Reputational risk - social media complaints</w:t>
            </w:r>
          </w:p>
        </w:tc>
        <w:tc>
          <w:tcPr>
            <w:tcW w:type="dxa" w:w="1250"/>
            <w:shd w:fill="FFFFFF" w:val="clear"/>
            <w:vAlign w:val="center"/>
          </w:tcPr>
          <w:p>
            <w:pPr>
              <w:jc w:val="center"/>
            </w:pPr>
            <w:r>
              <w:rPr>
                <w:rFonts w:ascii="Arial" w:cs="Arial" w:eastAsia="Arial" w:hAnsi="Arial"/>
                <w:b/>
                <w:bCs/>
                <w:sz w:val="17"/>
                <w:szCs w:val="17"/>
              </w:rPr>
              <w:t xml:space="preserve">Mitigate</w:t>
            </w:r>
          </w:p>
        </w:tc>
        <w:tc>
          <w:tcPr>
            <w:tcW w:type="dxa" w:w="3700"/>
            <w:vAlign w:val="center"/>
          </w:tcPr>
          <w:p>
            <w:pPr>
              <w:pStyle w:val="ListParagraph"/>
              <w:numPr>
                <w:ilvl w:val="0"/>
                <w:numId w:val="1"/>
              </w:numPr>
            </w:pPr>
            <w:r>
              <w:rPr>
                <w:rFonts w:ascii="Arial" w:cs="Arial" w:eastAsia="Arial" w:hAnsi="Arial"/>
                <w:sz w:val="17"/>
                <w:szCs w:val="17"/>
              </w:rPr>
              <w:t xml:space="preserve">Implement documented complaints-handling &amp; escalation policy</w:t>
            </w:r>
          </w:p>
          <w:p>
            <w:pPr>
              <w:pStyle w:val="ListParagraph"/>
              <w:numPr>
                <w:ilvl w:val="0"/>
                <w:numId w:val="1"/>
              </w:numPr>
            </w:pPr>
            <w:r>
              <w:rPr>
                <w:rFonts w:ascii="Arial" w:cs="Arial" w:eastAsia="Arial" w:hAnsi="Arial"/>
                <w:sz w:val="17"/>
                <w:szCs w:val="17"/>
              </w:rPr>
              <w:t xml:space="preserve">Assign designated social media response owner</w:t>
            </w:r>
          </w:p>
        </w:tc>
        <w:tc>
          <w:tcPr>
            <w:tcW w:type="dxa" w:w="1400"/>
            <w:shd w:fill="FFFFFF" w:val="clear"/>
            <w:vAlign w:val="center"/>
          </w:tcPr>
          <w:p>
            <w:pPr>
              <w:jc w:val="left"/>
            </w:pPr>
            <w:r>
              <w:rPr>
                <w:rFonts w:ascii="Arial" w:cs="Arial" w:eastAsia="Arial" w:hAnsi="Arial"/>
                <w:b w:val="false"/>
                <w:bCs w:val="false"/>
                <w:sz w:val="17"/>
                <w:szCs w:val="17"/>
              </w:rPr>
              <w:t xml:space="preserve">Compliance Officer</w:t>
            </w:r>
          </w:p>
        </w:tc>
        <w:tc>
          <w:tcPr>
            <w:tcW w:type="dxa" w:w="1250"/>
            <w:shd w:fill="FFFFFF" w:val="clear"/>
            <w:vAlign w:val="center"/>
          </w:tcPr>
          <w:p>
            <w:pPr>
              <w:jc w:val="center"/>
            </w:pPr>
            <w:r>
              <w:rPr>
                <w:rFonts w:ascii="Arial" w:cs="Arial" w:eastAsia="Arial" w:hAnsi="Arial"/>
                <w:b w:val="false"/>
                <w:bCs w:val="false"/>
                <w:sz w:val="17"/>
                <w:szCs w:val="17"/>
              </w:rPr>
              <w:t xml:space="preserve">30 days</w:t>
            </w:r>
          </w:p>
        </w:tc>
        <w:tc>
          <w:tcPr>
            <w:tcW w:type="dxa" w:w="950"/>
            <w:shd w:fill="C6E0B4" w:val="clear"/>
            <w:vAlign w:val="center"/>
          </w:tcPr>
          <w:p>
            <w:pPr>
              <w:jc w:val="center"/>
            </w:pPr>
            <w:r>
              <w:rPr>
                <w:rFonts w:ascii="Arial" w:cs="Arial" w:eastAsia="Arial" w:hAnsi="Arial"/>
                <w:b/>
                <w:bCs/>
                <w:sz w:val="17"/>
                <w:szCs w:val="17"/>
              </w:rPr>
              <w:t xml:space="preserve">2</w:t>
            </w:r>
          </w:p>
        </w:tc>
        <w:tc>
          <w:tcPr>
            <w:tcW w:type="dxa" w:w="950"/>
            <w:shd w:fill="C6E0B4" w:val="clear"/>
            <w:vAlign w:val="center"/>
          </w:tcPr>
          <w:p>
            <w:pPr>
              <w:jc w:val="center"/>
            </w:pPr>
            <w:r>
              <w:rPr>
                <w:rFonts w:ascii="Arial" w:cs="Arial" w:eastAsia="Arial" w:hAnsi="Arial"/>
                <w:b/>
                <w:bCs/>
                <w:sz w:val="17"/>
                <w:szCs w:val="17"/>
              </w:rPr>
              <w:t xml:space="preserve">Low</w:t>
            </w:r>
          </w:p>
        </w:tc>
      </w:tr>
      <w:tr>
        <w:tc>
          <w:tcPr>
            <w:tcW w:type="dxa" w:w="550"/>
            <w:shd w:fill="F2F2F2" w:val="clear"/>
            <w:vAlign w:val="center"/>
          </w:tcPr>
          <w:p>
            <w:pPr>
              <w:jc w:val="center"/>
            </w:pPr>
            <w:r>
              <w:rPr>
                <w:rFonts w:ascii="Arial" w:cs="Arial" w:eastAsia="Arial" w:hAnsi="Arial"/>
                <w:b/>
                <w:bCs/>
                <w:sz w:val="17"/>
                <w:szCs w:val="17"/>
              </w:rPr>
              <w:t xml:space="preserve">R14</w:t>
            </w:r>
          </w:p>
        </w:tc>
        <w:tc>
          <w:tcPr>
            <w:tcW w:type="dxa" w:w="2100"/>
            <w:shd w:fill="F2F2F2" w:val="clear"/>
            <w:vAlign w:val="center"/>
          </w:tcPr>
          <w:p>
            <w:pPr>
              <w:jc w:val="left"/>
            </w:pPr>
            <w:r>
              <w:rPr>
                <w:rFonts w:ascii="Arial" w:cs="Arial" w:eastAsia="Arial" w:hAnsi="Arial"/>
                <w:b w:val="false"/>
                <w:bCs w:val="false"/>
                <w:sz w:val="17"/>
                <w:szCs w:val="17"/>
              </w:rPr>
              <w:t xml:space="preserve">Key-person risk - single Compliance Officer</w:t>
            </w:r>
          </w:p>
        </w:tc>
        <w:tc>
          <w:tcPr>
            <w:tcW w:type="dxa" w:w="1250"/>
            <w:shd w:fill="F2F2F2" w:val="clear"/>
            <w:vAlign w:val="center"/>
          </w:tcPr>
          <w:p>
            <w:pPr>
              <w:jc w:val="center"/>
            </w:pPr>
            <w:r>
              <w:rPr>
                <w:rFonts w:ascii="Arial" w:cs="Arial" w:eastAsia="Arial" w:hAnsi="Arial"/>
                <w:b/>
                <w:bCs/>
                <w:sz w:val="17"/>
                <w:szCs w:val="17"/>
              </w:rPr>
              <w:t xml:space="preserve">Mitigate</w:t>
            </w:r>
          </w:p>
        </w:tc>
        <w:tc>
          <w:tcPr>
            <w:tcW w:type="dxa" w:w="3700"/>
            <w:vAlign w:val="center"/>
          </w:tcPr>
          <w:p>
            <w:pPr>
              <w:pStyle w:val="ListParagraph"/>
              <w:numPr>
                <w:ilvl w:val="0"/>
                <w:numId w:val="1"/>
              </w:numPr>
            </w:pPr>
            <w:r>
              <w:rPr>
                <w:rFonts w:ascii="Arial" w:cs="Arial" w:eastAsia="Arial" w:hAnsi="Arial"/>
                <w:sz w:val="17"/>
                <w:szCs w:val="17"/>
              </w:rPr>
              <w:t xml:space="preserve">Document key compliance procedures (SOPs)</w:t>
            </w:r>
          </w:p>
          <w:p>
            <w:pPr>
              <w:pStyle w:val="ListParagraph"/>
              <w:numPr>
                <w:ilvl w:val="0"/>
                <w:numId w:val="1"/>
              </w:numPr>
            </w:pPr>
            <w:r>
              <w:rPr>
                <w:rFonts w:ascii="Arial" w:cs="Arial" w:eastAsia="Arial" w:hAnsi="Arial"/>
                <w:sz w:val="17"/>
                <w:szCs w:val="17"/>
              </w:rPr>
              <w:t xml:space="preserve">Cross-train a deputy compliance resource</w:t>
            </w:r>
          </w:p>
          <w:p>
            <w:pPr>
              <w:pStyle w:val="ListParagraph"/>
              <w:numPr>
                <w:ilvl w:val="0"/>
                <w:numId w:val="1"/>
              </w:numPr>
            </w:pPr>
            <w:r>
              <w:rPr>
                <w:rFonts w:ascii="Arial" w:cs="Arial" w:eastAsia="Arial" w:hAnsi="Arial"/>
                <w:sz w:val="17"/>
                <w:szCs w:val="17"/>
              </w:rPr>
              <w:t xml:space="preserve">Formalise a succession plan</w:t>
            </w:r>
          </w:p>
        </w:tc>
        <w:tc>
          <w:tcPr>
            <w:tcW w:type="dxa" w:w="1400"/>
            <w:shd w:fill="F2F2F2" w:val="clear"/>
            <w:vAlign w:val="center"/>
          </w:tcPr>
          <w:p>
            <w:pPr>
              <w:jc w:val="left"/>
            </w:pPr>
            <w:r>
              <w:rPr>
                <w:rFonts w:ascii="Arial" w:cs="Arial" w:eastAsia="Arial" w:hAnsi="Arial"/>
                <w:b w:val="false"/>
                <w:bCs w:val="false"/>
                <w:sz w:val="17"/>
                <w:szCs w:val="17"/>
              </w:rPr>
              <w:t xml:space="preserve">Managing Director</w:t>
            </w:r>
          </w:p>
        </w:tc>
        <w:tc>
          <w:tcPr>
            <w:tcW w:type="dxa" w:w="1250"/>
            <w:shd w:fill="F2F2F2" w:val="clear"/>
            <w:vAlign w:val="center"/>
          </w:tcPr>
          <w:p>
            <w:pPr>
              <w:jc w:val="center"/>
            </w:pPr>
            <w:r>
              <w:rPr>
                <w:rFonts w:ascii="Arial" w:cs="Arial" w:eastAsia="Arial" w:hAnsi="Arial"/>
                <w:b w:val="false"/>
                <w:bCs w:val="false"/>
                <w:sz w:val="17"/>
                <w:szCs w:val="17"/>
              </w:rPr>
              <w:t xml:space="preserve">90 days</w:t>
            </w:r>
          </w:p>
        </w:tc>
        <w:tc>
          <w:tcPr>
            <w:tcW w:type="dxa" w:w="950"/>
            <w:shd w:fill="C6E0B4" w:val="clear"/>
            <w:vAlign w:val="center"/>
          </w:tcPr>
          <w:p>
            <w:pPr>
              <w:jc w:val="center"/>
            </w:pPr>
            <w:r>
              <w:rPr>
                <w:rFonts w:ascii="Arial" w:cs="Arial" w:eastAsia="Arial" w:hAnsi="Arial"/>
                <w:b/>
                <w:bCs/>
                <w:sz w:val="17"/>
                <w:szCs w:val="17"/>
              </w:rPr>
              <w:t xml:space="preserve">2</w:t>
            </w:r>
          </w:p>
        </w:tc>
        <w:tc>
          <w:tcPr>
            <w:tcW w:type="dxa" w:w="950"/>
            <w:shd w:fill="C6E0B4" w:val="clear"/>
            <w:vAlign w:val="center"/>
          </w:tcPr>
          <w:p>
            <w:pPr>
              <w:jc w:val="center"/>
            </w:pPr>
            <w:r>
              <w:rPr>
                <w:rFonts w:ascii="Arial" w:cs="Arial" w:eastAsia="Arial" w:hAnsi="Arial"/>
                <w:b/>
                <w:bCs/>
                <w:sz w:val="17"/>
                <w:szCs w:val="17"/>
              </w:rPr>
              <w:t xml:space="preserve">Low</w:t>
            </w:r>
          </w:p>
        </w:tc>
      </w:tr>
    </w:tbl>
    <w:p>
      <w:pPr>
        <w:pStyle w:val="Heading1"/>
        <w:spacing w:after="120" w:before="200"/>
      </w:pPr>
      <w:r>
        <w:rPr>
          <w:rFonts w:ascii="Arial" w:cs="Arial" w:eastAsia="Arial" w:hAnsi="Arial"/>
          <w:b/>
          <w:bCs/>
          <w:color w:val="1F3864"/>
        </w:rPr>
        <w:t xml:space="preserve">4. Governance &amp; Review</w:t>
      </w:r>
    </w:p>
    <w:p>
      <w:pPr>
        <w:pStyle w:val="ListParagraph"/>
        <w:numPr>
          <w:ilvl w:val="0"/>
          <w:numId w:val="1"/>
        </w:numPr>
        <w:spacing w:after="60"/>
      </w:pPr>
      <w:r>
        <w:rPr>
          <w:rFonts w:ascii="Arial" w:cs="Arial" w:eastAsia="Arial" w:hAnsi="Arial"/>
          <w:sz w:val="20"/>
          <w:szCs w:val="20"/>
        </w:rPr>
        <w:t xml:space="preserve">This plan is owned by the Compliance Officer and reviewed quarterly by the Risk &amp; Compliance Committee (or equivalent senior forum).</w:t>
      </w:r>
    </w:p>
    <w:p>
      <w:pPr>
        <w:pStyle w:val="ListParagraph"/>
        <w:numPr>
          <w:ilvl w:val="0"/>
          <w:numId w:val="1"/>
        </w:numPr>
        <w:spacing w:after="60"/>
      </w:pPr>
      <w:r>
        <w:rPr>
          <w:rFonts w:ascii="Arial" w:cs="Arial" w:eastAsia="Arial" w:hAnsi="Arial"/>
          <w:sz w:val="20"/>
          <w:szCs w:val="20"/>
        </w:rPr>
        <w:t xml:space="preserve">Each action owner reports progress against target timeframes at monthly management meetings.</w:t>
      </w:r>
    </w:p>
    <w:p>
      <w:pPr>
        <w:pStyle w:val="ListParagraph"/>
        <w:numPr>
          <w:ilvl w:val="0"/>
          <w:numId w:val="1"/>
        </w:numPr>
        <w:spacing w:after="60"/>
      </w:pPr>
      <w:r>
        <w:rPr>
          <w:rFonts w:ascii="Arial" w:cs="Arial" w:eastAsia="Arial" w:hAnsi="Arial"/>
          <w:sz w:val="20"/>
          <w:szCs w:val="20"/>
        </w:rPr>
        <w:t xml:space="preserve">Any risk whose treatment is delayed beyond its target date must be escalated to the Managing Director with a revised timeline.</w:t>
      </w:r>
    </w:p>
    <w:p>
      <w:pPr>
        <w:pStyle w:val="ListParagraph"/>
        <w:numPr>
          <w:ilvl w:val="0"/>
          <w:numId w:val="1"/>
        </w:numPr>
        <w:spacing w:after="60"/>
      </w:pPr>
      <w:r>
        <w:rPr>
          <w:rFonts w:ascii="Arial" w:cs="Arial" w:eastAsia="Arial" w:hAnsi="Arial"/>
          <w:sz w:val="20"/>
          <w:szCs w:val="20"/>
        </w:rPr>
        <w:t xml:space="preserve">Once a control is implemented and verified, the corresponding entry in the Risk Register is updated and the risk is re-scored.</w:t>
      </w:r>
    </w:p>
    <w:p>
      <w:pPr>
        <w:pStyle w:val="ListParagraph"/>
        <w:numPr>
          <w:ilvl w:val="0"/>
          <w:numId w:val="1"/>
        </w:numPr>
        <w:spacing w:after="60"/>
      </w:pPr>
      <w:r>
        <w:rPr>
          <w:rFonts w:ascii="Arial" w:cs="Arial" w:eastAsia="Arial" w:hAnsi="Arial"/>
          <w:sz w:val="20"/>
          <w:szCs w:val="20"/>
        </w:rPr>
        <w:t xml:space="preserve">Risks rated Critical or High are prioritised for treatment ahead of Medium and Low rated risks, resourcing permitting.</w:t>
      </w:r>
    </w:p>
    <w:sectPr>
      <w:headerReference w:type="default" r:id="rId7"/>
      <w:footerReference w:type="default" r:id="rId8"/>
      <w:pgSz w:w="16838" w:h="11906" w:orient="landscape"/>
      <w:pgMar w:top="900" w:right="700" w:bottom="9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Happy Insurance Brokers — Risk Treatment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2026-08-15T02:57:31.760Z</dcterms:created>
  <dcterms:modified xsi:type="dcterms:W3CDTF">2026-08-15T02:57:31.760Z</dcterms:modified>
</cp:coreProperties>
</file>

<file path=docProps/custom.xml><?xml version="1.0" encoding="utf-8"?>
<Properties xmlns="http://schemas.openxmlformats.org/officeDocument/2006/custom-properties" xmlns:vt="http://schemas.openxmlformats.org/officeDocument/2006/docPropsVTypes"/>
</file>