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F3864"/>
          <w:sz w:val="36"/>
          <w:szCs w:val="36"/>
        </w:rPr>
        <w:t xml:space="preserve">Governance Charter</w:t>
      </w:r>
    </w:p>
    <w:p>
      <w:pPr>
        <w:spacing w:after="240"/>
      </w:pPr>
      <w:r>
        <w:rPr>
          <w:rFonts w:ascii="Arial" w:cs="Arial" w:eastAsia="Arial" w:hAnsi="Arial"/>
          <w:i/>
          <w:iCs/>
          <w:color w:val="595959"/>
          <w:sz w:val="20"/>
          <w:szCs w:val="20"/>
        </w:rPr>
        <w:t xml:space="preserve">Happy Insurance Brokers (Pty) Ltd — Fictional FSP | Approved by: Managing Director | Date: August 2026 | Review Cycle: Annual</w:t>
      </w:r>
    </w:p>
    <w:p>
      <w:pPr>
        <w:pStyle w:val="Heading1"/>
        <w:spacing w:after="120" w:before="260"/>
      </w:pPr>
      <w:r>
        <w:rPr>
          <w:rFonts w:ascii="Arial" w:cs="Arial" w:eastAsia="Arial" w:hAnsi="Arial"/>
          <w:b/>
          <w:bCs/>
          <w:color w:val="1F3864"/>
          <w:sz w:val="26"/>
          <w:szCs w:val="26"/>
        </w:rPr>
        <w:t xml:space="preserve">1. Purpose</w:t>
      </w:r>
    </w:p>
    <w:p>
      <w:pPr>
        <w:spacing w:after="140"/>
      </w:pPr>
      <w:r>
        <w:rPr>
          <w:rFonts w:ascii="Arial" w:cs="Arial" w:eastAsia="Arial" w:hAnsi="Arial"/>
          <w:sz w:val="21"/>
          <w:szCs w:val="21"/>
        </w:rPr>
        <w:t xml:space="preserve">This charter defines the governance structure through which Happy Insurance Brokers oversees risk, compliance, and information security decisions. It clarifies who is accountable, who is responsible, and how decisions escalate - closing the gap between naming individual risk owners (in the Risk Register) and showing how those owners fit into a coherent oversight structure.</w:t>
      </w:r>
    </w:p>
    <w:p>
      <w:pPr>
        <w:pStyle w:val="Heading1"/>
        <w:spacing w:after="120" w:before="260"/>
      </w:pPr>
      <w:r>
        <w:rPr>
          <w:rFonts w:ascii="Arial" w:cs="Arial" w:eastAsia="Arial" w:hAnsi="Arial"/>
          <w:b/>
          <w:bCs/>
          <w:color w:val="1F3864"/>
          <w:sz w:val="26"/>
          <w:szCs w:val="26"/>
        </w:rPr>
        <w:t xml:space="preserve">2. Governance Structure</w:t>
      </w:r>
    </w:p>
    <w:p>
      <w:pPr>
        <w:spacing w:after="140"/>
      </w:pPr>
      <w:r>
        <w:rPr>
          <w:rFonts w:ascii="Arial" w:cs="Arial" w:eastAsia="Arial" w:hAnsi="Arial"/>
          <w:sz w:val="21"/>
          <w:szCs w:val="21"/>
        </w:rPr>
        <w:t xml:space="preserve">Given the organization's size (a single-site brokerage), the governance model is intentionally lean but still separates strategic oversight (Board/Risk Committee) from operational ownership (business owners):</w:t>
      </w:r>
    </w:p>
    <w:tbl>
      <w:tblPr>
        <w:tblW w:type="dxa" w:w="6000"/>
        <w:jc w:val="center"/>
        <w:tblBorders>
          <w:top w:val="none"/>
          <w:left w:val="none"/>
          <w:bottom w:val="none"/>
          <w:right w:val="none"/>
          <w:insideH w:val="none"/>
          <w:insideV w:val="none"/>
        </w:tblBorders>
      </w:tblPr>
      <w:tblGrid>
        <w:gridCol w:w="100"/>
      </w:tblGrid>
      <w:tr>
        <w:tc>
          <w:tcPr>
            <w:tcW w:type="dxa" w:w="6000"/>
            <w:shd w:fill="DDEBF7" w:val="clear"/>
            <w:tcMar>
              <w:top w:type="dxa" w:w="120"/>
              <w:left w:type="dxa" w:w="120"/>
              <w:bottom w:type="dxa" w:w="120"/>
              <w:right w:type="dxa" w:w="120"/>
            </w:tcMar>
            <w:vAlign w:val="center"/>
          </w:tcPr>
          <w:p>
            <w:pPr>
              <w:jc w:val="center"/>
            </w:pPr>
            <w:r>
              <w:rPr>
                <w:rFonts w:ascii="Arial" w:cs="Arial" w:eastAsia="Arial" w:hAnsi="Arial"/>
                <w:b/>
                <w:bCs/>
                <w:color w:val="1F3864"/>
                <w:sz w:val="22"/>
                <w:szCs w:val="22"/>
              </w:rPr>
              <w:t xml:space="preserve">Board (Managing Director)</w:t>
            </w:r>
          </w:p>
        </w:tc>
      </w:tr>
      <w:tr>
        <w:tc>
          <w:tcPr>
            <w:tcW w:type="dxa" w:w="6000"/>
            <w:vAlign w:val="center"/>
          </w:tcPr>
          <w:p>
            <w:pPr>
              <w:jc w:val="center"/>
            </w:pPr>
            <w:r>
              <w:rPr>
                <w:rFonts w:ascii="Arial" w:cs="Arial" w:eastAsia="Arial" w:hAnsi="Arial"/>
                <w:b/>
                <w:bCs/>
                <w:color w:val="1F3864"/>
                <w:sz w:val="28"/>
                <w:szCs w:val="28"/>
              </w:rPr>
              <w:t xml:space="preserve">↓</w:t>
            </w:r>
          </w:p>
        </w:tc>
      </w:tr>
      <w:tr>
        <w:tc>
          <w:tcPr>
            <w:tcW w:type="dxa" w:w="6000"/>
            <w:shd w:fill="DDEBF7" w:val="clear"/>
            <w:tcMar>
              <w:top w:type="dxa" w:w="120"/>
              <w:left w:type="dxa" w:w="120"/>
              <w:bottom w:type="dxa" w:w="120"/>
              <w:right w:type="dxa" w:w="120"/>
            </w:tcMar>
            <w:vAlign w:val="center"/>
          </w:tcPr>
          <w:p>
            <w:pPr>
              <w:jc w:val="center"/>
            </w:pPr>
            <w:r>
              <w:rPr>
                <w:rFonts w:ascii="Arial" w:cs="Arial" w:eastAsia="Arial" w:hAnsi="Arial"/>
                <w:b/>
                <w:bCs/>
                <w:color w:val="1F3864"/>
                <w:sz w:val="22"/>
                <w:szCs w:val="22"/>
              </w:rPr>
              <w:t xml:space="preserve">Risk Committee</w:t>
            </w:r>
          </w:p>
        </w:tc>
      </w:tr>
      <w:tr>
        <w:tc>
          <w:tcPr>
            <w:tcW w:type="dxa" w:w="6000"/>
            <w:vAlign w:val="center"/>
          </w:tcPr>
          <w:p>
            <w:pPr>
              <w:jc w:val="center"/>
            </w:pPr>
            <w:r>
              <w:rPr>
                <w:rFonts w:ascii="Arial" w:cs="Arial" w:eastAsia="Arial" w:hAnsi="Arial"/>
                <w:b/>
                <w:bCs/>
                <w:color w:val="1F3864"/>
                <w:sz w:val="28"/>
                <w:szCs w:val="28"/>
              </w:rPr>
              <w:t xml:space="preserve">↓</w:t>
            </w:r>
          </w:p>
        </w:tc>
      </w:tr>
      <w:tr>
        <w:tc>
          <w:tcPr>
            <w:tcW w:type="dxa" w:w="6000"/>
            <w:shd w:fill="DDEBF7" w:val="clear"/>
            <w:tcMar>
              <w:top w:type="dxa" w:w="120"/>
              <w:left w:type="dxa" w:w="120"/>
              <w:bottom w:type="dxa" w:w="120"/>
              <w:right w:type="dxa" w:w="120"/>
            </w:tcMar>
            <w:vAlign w:val="center"/>
          </w:tcPr>
          <w:p>
            <w:pPr>
              <w:jc w:val="center"/>
            </w:pPr>
            <w:r>
              <w:rPr>
                <w:rFonts w:ascii="Arial" w:cs="Arial" w:eastAsia="Arial" w:hAnsi="Arial"/>
                <w:b/>
                <w:bCs/>
                <w:color w:val="1F3864"/>
                <w:sz w:val="22"/>
                <w:szCs w:val="22"/>
              </w:rPr>
              <w:t xml:space="preserve">Compliance Officer</w:t>
            </w:r>
          </w:p>
        </w:tc>
      </w:tr>
      <w:tr>
        <w:tc>
          <w:tcPr>
            <w:tcW w:type="dxa" w:w="6000"/>
            <w:vAlign w:val="center"/>
          </w:tcPr>
          <w:p>
            <w:pPr>
              <w:jc w:val="center"/>
            </w:pPr>
            <w:r>
              <w:rPr>
                <w:rFonts w:ascii="Arial" w:cs="Arial" w:eastAsia="Arial" w:hAnsi="Arial"/>
                <w:b/>
                <w:bCs/>
                <w:color w:val="1F3864"/>
                <w:sz w:val="28"/>
                <w:szCs w:val="28"/>
              </w:rPr>
              <w:t xml:space="preserve">↓</w:t>
            </w:r>
          </w:p>
        </w:tc>
      </w:tr>
      <w:tr>
        <w:tc>
          <w:tcPr>
            <w:tcW w:type="dxa" w:w="6000"/>
            <w:shd w:fill="DDEBF7" w:val="clear"/>
            <w:tcMar>
              <w:top w:type="dxa" w:w="120"/>
              <w:left w:type="dxa" w:w="120"/>
              <w:bottom w:type="dxa" w:w="120"/>
              <w:right w:type="dxa" w:w="120"/>
            </w:tcMar>
            <w:vAlign w:val="center"/>
          </w:tcPr>
          <w:p>
            <w:pPr>
              <w:jc w:val="center"/>
            </w:pPr>
            <w:r>
              <w:rPr>
                <w:rFonts w:ascii="Arial" w:cs="Arial" w:eastAsia="Arial" w:hAnsi="Arial"/>
                <w:b/>
                <w:bCs/>
                <w:color w:val="1F3864"/>
                <w:sz w:val="22"/>
                <w:szCs w:val="22"/>
              </w:rPr>
              <w:t xml:space="preserve">Business Owners (IT Manager, Claims Manager, Operations Manager)</w:t>
            </w:r>
          </w:p>
        </w:tc>
      </w:tr>
    </w:tbl>
    <w:p>
      <w:pPr>
        <w:spacing w:after="140"/>
      </w:pPr>
      <w:r>
        <w:rPr>
          <w:rFonts w:ascii="Arial" w:cs="Arial" w:eastAsia="Arial" w:hAnsi="Arial"/>
          <w:sz w:val="2"/>
          <w:szCs w:val="2"/>
        </w:rPr>
        <w:t xml:space="preserve"/>
      </w:r>
    </w:p>
    <w:p>
      <w:pPr>
        <w:pStyle w:val="Heading1"/>
        <w:spacing w:after="120" w:before="260"/>
      </w:pPr>
      <w:r>
        <w:rPr>
          <w:rFonts w:ascii="Arial" w:cs="Arial" w:eastAsia="Arial" w:hAnsi="Arial"/>
          <w:b/>
          <w:bCs/>
          <w:color w:val="1F3864"/>
          <w:sz w:val="26"/>
          <w:szCs w:val="26"/>
        </w:rPr>
        <w:t xml:space="preserve">3. Roles &amp; Bodies</w:t>
      </w:r>
    </w:p>
    <w:p>
      <w:pPr>
        <w:spacing w:after="140"/>
      </w:pPr>
      <w:r>
        <w:rPr>
          <w:rFonts w:ascii="Arial" w:cs="Arial" w:eastAsia="Arial" w:hAnsi="Arial"/>
          <w:sz w:val="21"/>
          <w:szCs w:val="21"/>
        </w:rPr>
        <w:t xml:space="preserve">Board (Managing Director) - Ultimate accountability for risk appetite, major regulatory exposure, and any Critical-rated risk. Approves the Risk Appetite Statement annually and is briefed on all High/Critical incidents.</w:t>
      </w:r>
    </w:p>
    <w:p>
      <w:pPr>
        <w:spacing w:after="140"/>
      </w:pPr>
      <w:r>
        <w:rPr>
          <w:rFonts w:ascii="Arial" w:cs="Arial" w:eastAsia="Arial" w:hAnsi="Arial"/>
          <w:sz w:val="21"/>
          <w:szCs w:val="21"/>
        </w:rPr>
        <w:t xml:space="preserve">Risk Committee - Chaired by the Managing Director, with the Compliance Officer, IT Manager, and Claims Manager as standing members. Meets quarterly (or ad hoc for Critical incidents) to review the Risk Register, Treatment Plan progress, and any risks exceeding their stated appetite.</w:t>
      </w:r>
    </w:p>
    <w:p>
      <w:pPr>
        <w:spacing w:after="140"/>
      </w:pPr>
      <w:r>
        <w:rPr>
          <w:rFonts w:ascii="Arial" w:cs="Arial" w:eastAsia="Arial" w:hAnsi="Arial"/>
          <w:sz w:val="21"/>
          <w:szCs w:val="21"/>
        </w:rPr>
        <w:t xml:space="preserve">Compliance Officer - Operational owner of the Risk Register, ISO 27001 Gap Assessment, and regulatory compliance monitoring (FAIS, POPIA, TCF). Reports to the Risk Committee and escalates any Critical finding to the Managing Director immediately rather than waiting for the next scheduled meeting.</w:t>
      </w:r>
    </w:p>
    <w:p>
      <w:pPr>
        <w:spacing w:after="140"/>
      </w:pPr>
      <w:r>
        <w:rPr>
          <w:rFonts w:ascii="Arial" w:cs="Arial" w:eastAsia="Arial" w:hAnsi="Arial"/>
          <w:sz w:val="21"/>
          <w:szCs w:val="21"/>
        </w:rPr>
        <w:t xml:space="preserve">Business Owners - The IT Manager (technical controls), Claims Manager (claims process controls), and Operations Manager (business continuity, physical controls) each own implementation of controls within their function, reporting progress to the Compliance Officer and Risk Committee.</w:t>
      </w:r>
    </w:p>
    <w:p>
      <w:pPr>
        <w:pStyle w:val="Heading1"/>
        <w:spacing w:after="120" w:before="260"/>
      </w:pPr>
      <w:r>
        <w:rPr>
          <w:rFonts w:ascii="Arial" w:cs="Arial" w:eastAsia="Arial" w:hAnsi="Arial"/>
          <w:b/>
          <w:bCs/>
          <w:color w:val="1F3864"/>
          <w:sz w:val="26"/>
          <w:szCs w:val="26"/>
        </w:rPr>
        <w:t xml:space="preserve">4. Decision Rights (RACI)</w:t>
      </w:r>
    </w:p>
    <w:p>
      <w:pPr>
        <w:spacing w:after="140"/>
      </w:pPr>
      <w:r>
        <w:rPr>
          <w:rFonts w:ascii="Arial" w:cs="Arial" w:eastAsia="Arial" w:hAnsi="Arial"/>
          <w:sz w:val="21"/>
          <w:szCs w:val="21"/>
        </w:rPr>
        <w:t xml:space="preserve">The table below clarifies who is Responsible, Accountable, Consulted, or Informed for key risk and compliance activities across this program:</w:t>
      </w:r>
    </w:p>
    <w:tbl>
      <w:tblPr>
        <w:tblW w:type="dxa" w:w="910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1300"/>
        <w:gridCol w:w="1300"/>
        <w:gridCol w:w="1300"/>
        <w:gridCol w:w="1300"/>
        <w:gridCol w:w="1300"/>
      </w:tblGrid>
      <w:tr>
        <w:trPr>
          <w:tblHeader/>
        </w:trPr>
        <w:tc>
          <w:tcPr>
            <w:tcW w:type="dxa" w:w="2600"/>
            <w:shd w:fill="1F3864" w:val="clear"/>
            <w:vAlign w:val="center"/>
          </w:tcPr>
          <w:p>
            <w:pPr>
              <w:jc w:val="center"/>
            </w:pPr>
            <w:r>
              <w:rPr>
                <w:rFonts w:ascii="Arial" w:cs="Arial" w:eastAsia="Arial" w:hAnsi="Arial"/>
                <w:b/>
                <w:bCs/>
                <w:color w:val="FFFFFF"/>
                <w:sz w:val="18"/>
                <w:szCs w:val="18"/>
              </w:rPr>
              <w:t xml:space="preserve">Activity</w:t>
            </w:r>
          </w:p>
        </w:tc>
        <w:tc>
          <w:tcPr>
            <w:tcW w:type="dxa" w:w="1300"/>
            <w:shd w:fill="1F3864" w:val="clear"/>
            <w:vAlign w:val="center"/>
          </w:tcPr>
          <w:p>
            <w:pPr>
              <w:jc w:val="center"/>
            </w:pPr>
            <w:r>
              <w:rPr>
                <w:rFonts w:ascii="Arial" w:cs="Arial" w:eastAsia="Arial" w:hAnsi="Arial"/>
                <w:b/>
                <w:bCs/>
                <w:color w:val="FFFFFF"/>
                <w:sz w:val="18"/>
                <w:szCs w:val="18"/>
              </w:rPr>
              <w:t xml:space="preserve">Board / MD</w:t>
            </w:r>
          </w:p>
        </w:tc>
        <w:tc>
          <w:tcPr>
            <w:tcW w:type="dxa" w:w="1300"/>
            <w:shd w:fill="1F3864" w:val="clear"/>
            <w:vAlign w:val="center"/>
          </w:tcPr>
          <w:p>
            <w:pPr>
              <w:jc w:val="center"/>
            </w:pPr>
            <w:r>
              <w:rPr>
                <w:rFonts w:ascii="Arial" w:cs="Arial" w:eastAsia="Arial" w:hAnsi="Arial"/>
                <w:b/>
                <w:bCs/>
                <w:color w:val="FFFFFF"/>
                <w:sz w:val="18"/>
                <w:szCs w:val="18"/>
              </w:rPr>
              <w:t xml:space="preserve">Risk Committee</w:t>
            </w:r>
          </w:p>
        </w:tc>
        <w:tc>
          <w:tcPr>
            <w:tcW w:type="dxa" w:w="1300"/>
            <w:shd w:fill="1F3864" w:val="clear"/>
            <w:vAlign w:val="center"/>
          </w:tcPr>
          <w:p>
            <w:pPr>
              <w:jc w:val="center"/>
            </w:pPr>
            <w:r>
              <w:rPr>
                <w:rFonts w:ascii="Arial" w:cs="Arial" w:eastAsia="Arial" w:hAnsi="Arial"/>
                <w:b/>
                <w:bCs/>
                <w:color w:val="FFFFFF"/>
                <w:sz w:val="18"/>
                <w:szCs w:val="18"/>
              </w:rPr>
              <w:t xml:space="preserve">Compliance Officer</w:t>
            </w:r>
          </w:p>
        </w:tc>
        <w:tc>
          <w:tcPr>
            <w:tcW w:type="dxa" w:w="1300"/>
            <w:shd w:fill="1F3864" w:val="clear"/>
            <w:vAlign w:val="center"/>
          </w:tcPr>
          <w:p>
            <w:pPr>
              <w:jc w:val="center"/>
            </w:pPr>
            <w:r>
              <w:rPr>
                <w:rFonts w:ascii="Arial" w:cs="Arial" w:eastAsia="Arial" w:hAnsi="Arial"/>
                <w:b/>
                <w:bCs/>
                <w:color w:val="FFFFFF"/>
                <w:sz w:val="18"/>
                <w:szCs w:val="18"/>
              </w:rPr>
              <w:t xml:space="preserve">IT Manager</w:t>
            </w:r>
          </w:p>
        </w:tc>
        <w:tc>
          <w:tcPr>
            <w:tcW w:type="dxa" w:w="1300"/>
            <w:shd w:fill="1F3864" w:val="clear"/>
            <w:vAlign w:val="center"/>
          </w:tcPr>
          <w:p>
            <w:pPr>
              <w:jc w:val="center"/>
            </w:pPr>
            <w:r>
              <w:rPr>
                <w:rFonts w:ascii="Arial" w:cs="Arial" w:eastAsia="Arial" w:hAnsi="Arial"/>
                <w:b/>
                <w:bCs/>
                <w:color w:val="FFFFFF"/>
                <w:sz w:val="18"/>
                <w:szCs w:val="18"/>
              </w:rPr>
              <w:t xml:space="preserve">Claims Manager</w:t>
            </w:r>
          </w:p>
        </w:tc>
      </w:tr>
      <w:tr>
        <w:tc>
          <w:tcPr>
            <w:tcW w:type="dxa" w:w="2600"/>
            <w:shd w:fill="FFFFFF" w:val="clear"/>
            <w:vAlign w:val="center"/>
          </w:tcPr>
          <w:p>
            <w:pPr>
              <w:jc w:val="left"/>
            </w:pPr>
            <w:r>
              <w:rPr>
                <w:rFonts w:ascii="Arial" w:cs="Arial" w:eastAsia="Arial" w:hAnsi="Arial"/>
                <w:b/>
                <w:bCs/>
                <w:sz w:val="18"/>
                <w:szCs w:val="18"/>
              </w:rPr>
              <w:t xml:space="preserve">Approve Risk Appetite Statement</w:t>
            </w:r>
          </w:p>
        </w:tc>
        <w:tc>
          <w:tcPr>
            <w:tcW w:type="dxa" w:w="1300"/>
            <w:shd w:fill="FFFFFF" w:val="clear"/>
            <w:vAlign w:val="center"/>
          </w:tcPr>
          <w:p>
            <w:pPr>
              <w:jc w:val="center"/>
            </w:pPr>
            <w:r>
              <w:rPr>
                <w:rFonts w:ascii="Arial" w:cs="Arial" w:eastAsia="Arial" w:hAnsi="Arial"/>
                <w:b w:val="false"/>
                <w:bCs w:val="false"/>
                <w:sz w:val="18"/>
                <w:szCs w:val="18"/>
              </w:rPr>
              <w:t xml:space="preserve">A</w:t>
            </w:r>
          </w:p>
        </w:tc>
        <w:tc>
          <w:tcPr>
            <w:tcW w:type="dxa" w:w="1300"/>
            <w:shd w:fill="FFFFFF" w:val="clear"/>
            <w:vAlign w:val="center"/>
          </w:tcPr>
          <w:p>
            <w:pPr>
              <w:jc w:val="center"/>
            </w:pPr>
            <w:r>
              <w:rPr>
                <w:rFonts w:ascii="Arial" w:cs="Arial" w:eastAsia="Arial" w:hAnsi="Arial"/>
                <w:b w:val="false"/>
                <w:bCs w:val="false"/>
                <w:sz w:val="18"/>
                <w:szCs w:val="18"/>
              </w:rPr>
              <w:t xml:space="preserve">C</w:t>
            </w:r>
          </w:p>
        </w:tc>
        <w:tc>
          <w:tcPr>
            <w:tcW w:type="dxa" w:w="1300"/>
            <w:shd w:fill="FFFFFF" w:val="clear"/>
            <w:vAlign w:val="center"/>
          </w:tcPr>
          <w:p>
            <w:pPr>
              <w:jc w:val="center"/>
            </w:pPr>
            <w:r>
              <w:rPr>
                <w:rFonts w:ascii="Arial" w:cs="Arial" w:eastAsia="Arial" w:hAnsi="Arial"/>
                <w:b w:val="false"/>
                <w:bCs w:val="false"/>
                <w:sz w:val="18"/>
                <w:szCs w:val="18"/>
              </w:rPr>
              <w:t xml:space="preserve">R</w:t>
            </w:r>
          </w:p>
        </w:tc>
        <w:tc>
          <w:tcPr>
            <w:tcW w:type="dxa" w:w="1300"/>
            <w:shd w:fill="FFFFFF" w:val="clear"/>
            <w:vAlign w:val="center"/>
          </w:tcPr>
          <w:p>
            <w:pPr>
              <w:jc w:val="center"/>
            </w:pPr>
            <w:r>
              <w:rPr>
                <w:rFonts w:ascii="Arial" w:cs="Arial" w:eastAsia="Arial" w:hAnsi="Arial"/>
                <w:b w:val="false"/>
                <w:bCs w:val="false"/>
                <w:sz w:val="18"/>
                <w:szCs w:val="18"/>
              </w:rPr>
              <w:t xml:space="preserve">I</w:t>
            </w:r>
          </w:p>
        </w:tc>
        <w:tc>
          <w:tcPr>
            <w:tcW w:type="dxa" w:w="1300"/>
            <w:shd w:fill="FFFFFF" w:val="clear"/>
            <w:vAlign w:val="center"/>
          </w:tcPr>
          <w:p>
            <w:pPr>
              <w:jc w:val="center"/>
            </w:pPr>
            <w:r>
              <w:rPr>
                <w:rFonts w:ascii="Arial" w:cs="Arial" w:eastAsia="Arial" w:hAnsi="Arial"/>
                <w:b w:val="false"/>
                <w:bCs w:val="false"/>
                <w:sz w:val="18"/>
                <w:szCs w:val="18"/>
              </w:rPr>
              <w:t xml:space="preserve">I</w:t>
            </w:r>
          </w:p>
        </w:tc>
      </w:tr>
      <w:tr>
        <w:tc>
          <w:tcPr>
            <w:tcW w:type="dxa" w:w="2600"/>
            <w:shd w:fill="F2F2F2" w:val="clear"/>
            <w:vAlign w:val="center"/>
          </w:tcPr>
          <w:p>
            <w:pPr>
              <w:jc w:val="left"/>
            </w:pPr>
            <w:r>
              <w:rPr>
                <w:rFonts w:ascii="Arial" w:cs="Arial" w:eastAsia="Arial" w:hAnsi="Arial"/>
                <w:b/>
                <w:bCs/>
                <w:sz w:val="18"/>
                <w:szCs w:val="18"/>
              </w:rPr>
              <w:t xml:space="preserve">Approve Risk Register updates</w:t>
            </w:r>
          </w:p>
        </w:tc>
        <w:tc>
          <w:tcPr>
            <w:tcW w:type="dxa" w:w="1300"/>
            <w:shd w:fill="F2F2F2" w:val="clear"/>
            <w:vAlign w:val="center"/>
          </w:tcPr>
          <w:p>
            <w:pPr>
              <w:jc w:val="center"/>
            </w:pPr>
            <w:r>
              <w:rPr>
                <w:rFonts w:ascii="Arial" w:cs="Arial" w:eastAsia="Arial" w:hAnsi="Arial"/>
                <w:b w:val="false"/>
                <w:bCs w:val="false"/>
                <w:sz w:val="18"/>
                <w:szCs w:val="18"/>
              </w:rPr>
              <w:t xml:space="preserve">I</w:t>
            </w:r>
          </w:p>
        </w:tc>
        <w:tc>
          <w:tcPr>
            <w:tcW w:type="dxa" w:w="1300"/>
            <w:shd w:fill="F2F2F2" w:val="clear"/>
            <w:vAlign w:val="center"/>
          </w:tcPr>
          <w:p>
            <w:pPr>
              <w:jc w:val="center"/>
            </w:pPr>
            <w:r>
              <w:rPr>
                <w:rFonts w:ascii="Arial" w:cs="Arial" w:eastAsia="Arial" w:hAnsi="Arial"/>
                <w:b w:val="false"/>
                <w:bCs w:val="false"/>
                <w:sz w:val="18"/>
                <w:szCs w:val="18"/>
              </w:rPr>
              <w:t xml:space="preserve">A</w:t>
            </w:r>
          </w:p>
        </w:tc>
        <w:tc>
          <w:tcPr>
            <w:tcW w:type="dxa" w:w="1300"/>
            <w:shd w:fill="F2F2F2" w:val="clear"/>
            <w:vAlign w:val="center"/>
          </w:tcPr>
          <w:p>
            <w:pPr>
              <w:jc w:val="center"/>
            </w:pPr>
            <w:r>
              <w:rPr>
                <w:rFonts w:ascii="Arial" w:cs="Arial" w:eastAsia="Arial" w:hAnsi="Arial"/>
                <w:b w:val="false"/>
                <w:bCs w:val="false"/>
                <w:sz w:val="18"/>
                <w:szCs w:val="18"/>
              </w:rPr>
              <w:t xml:space="preserve">R</w:t>
            </w:r>
          </w:p>
        </w:tc>
        <w:tc>
          <w:tcPr>
            <w:tcW w:type="dxa" w:w="1300"/>
            <w:shd w:fill="F2F2F2" w:val="clear"/>
            <w:vAlign w:val="center"/>
          </w:tcPr>
          <w:p>
            <w:pPr>
              <w:jc w:val="center"/>
            </w:pPr>
            <w:r>
              <w:rPr>
                <w:rFonts w:ascii="Arial" w:cs="Arial" w:eastAsia="Arial" w:hAnsi="Arial"/>
                <w:b w:val="false"/>
                <w:bCs w:val="false"/>
                <w:sz w:val="18"/>
                <w:szCs w:val="18"/>
              </w:rPr>
              <w:t xml:space="preserve">C</w:t>
            </w:r>
          </w:p>
        </w:tc>
        <w:tc>
          <w:tcPr>
            <w:tcW w:type="dxa" w:w="1300"/>
            <w:shd w:fill="F2F2F2" w:val="clear"/>
            <w:vAlign w:val="center"/>
          </w:tcPr>
          <w:p>
            <w:pPr>
              <w:jc w:val="center"/>
            </w:pPr>
            <w:r>
              <w:rPr>
                <w:rFonts w:ascii="Arial" w:cs="Arial" w:eastAsia="Arial" w:hAnsi="Arial"/>
                <w:b w:val="false"/>
                <w:bCs w:val="false"/>
                <w:sz w:val="18"/>
                <w:szCs w:val="18"/>
              </w:rPr>
              <w:t xml:space="preserve">C</w:t>
            </w:r>
          </w:p>
        </w:tc>
      </w:tr>
      <w:tr>
        <w:tc>
          <w:tcPr>
            <w:tcW w:type="dxa" w:w="2600"/>
            <w:shd w:fill="FFFFFF" w:val="clear"/>
            <w:vAlign w:val="center"/>
          </w:tcPr>
          <w:p>
            <w:pPr>
              <w:jc w:val="left"/>
            </w:pPr>
            <w:r>
              <w:rPr>
                <w:rFonts w:ascii="Arial" w:cs="Arial" w:eastAsia="Arial" w:hAnsi="Arial"/>
                <w:b/>
                <w:bCs/>
                <w:sz w:val="18"/>
                <w:szCs w:val="18"/>
              </w:rPr>
              <w:t xml:space="preserve">Approve Risk Treatment Plan</w:t>
            </w:r>
          </w:p>
        </w:tc>
        <w:tc>
          <w:tcPr>
            <w:tcW w:type="dxa" w:w="1300"/>
            <w:shd w:fill="FFFFFF" w:val="clear"/>
            <w:vAlign w:val="center"/>
          </w:tcPr>
          <w:p>
            <w:pPr>
              <w:jc w:val="center"/>
            </w:pPr>
            <w:r>
              <w:rPr>
                <w:rFonts w:ascii="Arial" w:cs="Arial" w:eastAsia="Arial" w:hAnsi="Arial"/>
                <w:b w:val="false"/>
                <w:bCs w:val="false"/>
                <w:sz w:val="18"/>
                <w:szCs w:val="18"/>
              </w:rPr>
              <w:t xml:space="preserve">I</w:t>
            </w:r>
          </w:p>
        </w:tc>
        <w:tc>
          <w:tcPr>
            <w:tcW w:type="dxa" w:w="1300"/>
            <w:shd w:fill="FFFFFF" w:val="clear"/>
            <w:vAlign w:val="center"/>
          </w:tcPr>
          <w:p>
            <w:pPr>
              <w:jc w:val="center"/>
            </w:pPr>
            <w:r>
              <w:rPr>
                <w:rFonts w:ascii="Arial" w:cs="Arial" w:eastAsia="Arial" w:hAnsi="Arial"/>
                <w:b w:val="false"/>
                <w:bCs w:val="false"/>
                <w:sz w:val="18"/>
                <w:szCs w:val="18"/>
              </w:rPr>
              <w:t xml:space="preserve">A</w:t>
            </w:r>
          </w:p>
        </w:tc>
        <w:tc>
          <w:tcPr>
            <w:tcW w:type="dxa" w:w="1300"/>
            <w:shd w:fill="FFFFFF" w:val="clear"/>
            <w:vAlign w:val="center"/>
          </w:tcPr>
          <w:p>
            <w:pPr>
              <w:jc w:val="center"/>
            </w:pPr>
            <w:r>
              <w:rPr>
                <w:rFonts w:ascii="Arial" w:cs="Arial" w:eastAsia="Arial" w:hAnsi="Arial"/>
                <w:b w:val="false"/>
                <w:bCs w:val="false"/>
                <w:sz w:val="18"/>
                <w:szCs w:val="18"/>
              </w:rPr>
              <w:t xml:space="preserve">R</w:t>
            </w:r>
          </w:p>
        </w:tc>
        <w:tc>
          <w:tcPr>
            <w:tcW w:type="dxa" w:w="1300"/>
            <w:shd w:fill="FFFFFF" w:val="clear"/>
            <w:vAlign w:val="center"/>
          </w:tcPr>
          <w:p>
            <w:pPr>
              <w:jc w:val="center"/>
            </w:pPr>
            <w:r>
              <w:rPr>
                <w:rFonts w:ascii="Arial" w:cs="Arial" w:eastAsia="Arial" w:hAnsi="Arial"/>
                <w:b w:val="false"/>
                <w:bCs w:val="false"/>
                <w:sz w:val="18"/>
                <w:szCs w:val="18"/>
              </w:rPr>
              <w:t xml:space="preserve">C</w:t>
            </w:r>
          </w:p>
        </w:tc>
        <w:tc>
          <w:tcPr>
            <w:tcW w:type="dxa" w:w="1300"/>
            <w:shd w:fill="FFFFFF" w:val="clear"/>
            <w:vAlign w:val="center"/>
          </w:tcPr>
          <w:p>
            <w:pPr>
              <w:jc w:val="center"/>
            </w:pPr>
            <w:r>
              <w:rPr>
                <w:rFonts w:ascii="Arial" w:cs="Arial" w:eastAsia="Arial" w:hAnsi="Arial"/>
                <w:b w:val="false"/>
                <w:bCs w:val="false"/>
                <w:sz w:val="18"/>
                <w:szCs w:val="18"/>
              </w:rPr>
              <w:t xml:space="preserve">C</w:t>
            </w:r>
          </w:p>
        </w:tc>
      </w:tr>
      <w:tr>
        <w:tc>
          <w:tcPr>
            <w:tcW w:type="dxa" w:w="2600"/>
            <w:shd w:fill="F2F2F2" w:val="clear"/>
            <w:vAlign w:val="center"/>
          </w:tcPr>
          <w:p>
            <w:pPr>
              <w:jc w:val="left"/>
            </w:pPr>
            <w:r>
              <w:rPr>
                <w:rFonts w:ascii="Arial" w:cs="Arial" w:eastAsia="Arial" w:hAnsi="Arial"/>
                <w:b/>
                <w:bCs/>
                <w:sz w:val="18"/>
                <w:szCs w:val="18"/>
              </w:rPr>
              <w:t xml:space="preserve">Implement technical controls (MFA, backups, encryption)</w:t>
            </w:r>
          </w:p>
        </w:tc>
        <w:tc>
          <w:tcPr>
            <w:tcW w:type="dxa" w:w="1300"/>
            <w:shd w:fill="F2F2F2" w:val="clear"/>
            <w:vAlign w:val="center"/>
          </w:tcPr>
          <w:p>
            <w:pPr>
              <w:jc w:val="center"/>
            </w:pPr>
            <w:r>
              <w:rPr>
                <w:rFonts w:ascii="Arial" w:cs="Arial" w:eastAsia="Arial" w:hAnsi="Arial"/>
                <w:b w:val="false"/>
                <w:bCs w:val="false"/>
                <w:sz w:val="18"/>
                <w:szCs w:val="18"/>
              </w:rPr>
              <w:t xml:space="preserve">I</w:t>
            </w:r>
          </w:p>
        </w:tc>
        <w:tc>
          <w:tcPr>
            <w:tcW w:type="dxa" w:w="1300"/>
            <w:shd w:fill="F2F2F2" w:val="clear"/>
            <w:vAlign w:val="center"/>
          </w:tcPr>
          <w:p>
            <w:pPr>
              <w:jc w:val="center"/>
            </w:pPr>
            <w:r>
              <w:rPr>
                <w:rFonts w:ascii="Arial" w:cs="Arial" w:eastAsia="Arial" w:hAnsi="Arial"/>
                <w:b w:val="false"/>
                <w:bCs w:val="false"/>
                <w:sz w:val="18"/>
                <w:szCs w:val="18"/>
              </w:rPr>
              <w:t xml:space="preserve">I</w:t>
            </w:r>
          </w:p>
        </w:tc>
        <w:tc>
          <w:tcPr>
            <w:tcW w:type="dxa" w:w="1300"/>
            <w:shd w:fill="F2F2F2" w:val="clear"/>
            <w:vAlign w:val="center"/>
          </w:tcPr>
          <w:p>
            <w:pPr>
              <w:jc w:val="center"/>
            </w:pPr>
            <w:r>
              <w:rPr>
                <w:rFonts w:ascii="Arial" w:cs="Arial" w:eastAsia="Arial" w:hAnsi="Arial"/>
                <w:b w:val="false"/>
                <w:bCs w:val="false"/>
                <w:sz w:val="18"/>
                <w:szCs w:val="18"/>
              </w:rPr>
              <w:t xml:space="preserve">C</w:t>
            </w:r>
          </w:p>
        </w:tc>
        <w:tc>
          <w:tcPr>
            <w:tcW w:type="dxa" w:w="1300"/>
            <w:shd w:fill="F2F2F2" w:val="clear"/>
            <w:vAlign w:val="center"/>
          </w:tcPr>
          <w:p>
            <w:pPr>
              <w:jc w:val="center"/>
            </w:pPr>
            <w:r>
              <w:rPr>
                <w:rFonts w:ascii="Arial" w:cs="Arial" w:eastAsia="Arial" w:hAnsi="Arial"/>
                <w:b w:val="false"/>
                <w:bCs w:val="false"/>
                <w:sz w:val="18"/>
                <w:szCs w:val="18"/>
              </w:rPr>
              <w:t xml:space="preserve">R/A</w:t>
            </w:r>
          </w:p>
        </w:tc>
        <w:tc>
          <w:tcPr>
            <w:tcW w:type="dxa" w:w="1300"/>
            <w:shd w:fill="F2F2F2" w:val="clear"/>
            <w:vAlign w:val="center"/>
          </w:tcPr>
          <w:p>
            <w:pPr>
              <w:jc w:val="center"/>
            </w:pPr>
            <w:r>
              <w:rPr>
                <w:rFonts w:ascii="Arial" w:cs="Arial" w:eastAsia="Arial" w:hAnsi="Arial"/>
                <w:b w:val="false"/>
                <w:bCs w:val="false"/>
                <w:sz w:val="18"/>
                <w:szCs w:val="18"/>
              </w:rPr>
              <w:t xml:space="preserve">I</w:t>
            </w:r>
          </w:p>
        </w:tc>
      </w:tr>
      <w:tr>
        <w:tc>
          <w:tcPr>
            <w:tcW w:type="dxa" w:w="2600"/>
            <w:shd w:fill="FFFFFF" w:val="clear"/>
            <w:vAlign w:val="center"/>
          </w:tcPr>
          <w:p>
            <w:pPr>
              <w:jc w:val="left"/>
            </w:pPr>
            <w:r>
              <w:rPr>
                <w:rFonts w:ascii="Arial" w:cs="Arial" w:eastAsia="Arial" w:hAnsi="Arial"/>
                <w:b/>
                <w:bCs/>
                <w:sz w:val="18"/>
                <w:szCs w:val="18"/>
              </w:rPr>
              <w:t xml:space="preserve">Monitor FAIS/POPIA/TCF compliance</w:t>
            </w:r>
          </w:p>
        </w:tc>
        <w:tc>
          <w:tcPr>
            <w:tcW w:type="dxa" w:w="1300"/>
            <w:shd w:fill="FFFFFF" w:val="clear"/>
            <w:vAlign w:val="center"/>
          </w:tcPr>
          <w:p>
            <w:pPr>
              <w:jc w:val="center"/>
            </w:pPr>
            <w:r>
              <w:rPr>
                <w:rFonts w:ascii="Arial" w:cs="Arial" w:eastAsia="Arial" w:hAnsi="Arial"/>
                <w:b w:val="false"/>
                <w:bCs w:val="false"/>
                <w:sz w:val="18"/>
                <w:szCs w:val="18"/>
              </w:rPr>
              <w:t xml:space="preserve">I</w:t>
            </w:r>
          </w:p>
        </w:tc>
        <w:tc>
          <w:tcPr>
            <w:tcW w:type="dxa" w:w="1300"/>
            <w:shd w:fill="FFFFFF" w:val="clear"/>
            <w:vAlign w:val="center"/>
          </w:tcPr>
          <w:p>
            <w:pPr>
              <w:jc w:val="center"/>
            </w:pPr>
            <w:r>
              <w:rPr>
                <w:rFonts w:ascii="Arial" w:cs="Arial" w:eastAsia="Arial" w:hAnsi="Arial"/>
                <w:b w:val="false"/>
                <w:bCs w:val="false"/>
                <w:sz w:val="18"/>
                <w:szCs w:val="18"/>
              </w:rPr>
              <w:t xml:space="preserve">I</w:t>
            </w:r>
          </w:p>
        </w:tc>
        <w:tc>
          <w:tcPr>
            <w:tcW w:type="dxa" w:w="1300"/>
            <w:shd w:fill="FFFFFF" w:val="clear"/>
            <w:vAlign w:val="center"/>
          </w:tcPr>
          <w:p>
            <w:pPr>
              <w:jc w:val="center"/>
            </w:pPr>
            <w:r>
              <w:rPr>
                <w:rFonts w:ascii="Arial" w:cs="Arial" w:eastAsia="Arial" w:hAnsi="Arial"/>
                <w:b w:val="false"/>
                <w:bCs w:val="false"/>
                <w:sz w:val="18"/>
                <w:szCs w:val="18"/>
              </w:rPr>
              <w:t xml:space="preserve">R/A</w:t>
            </w:r>
          </w:p>
        </w:tc>
        <w:tc>
          <w:tcPr>
            <w:tcW w:type="dxa" w:w="1300"/>
            <w:shd w:fill="FFFFFF" w:val="clear"/>
            <w:vAlign w:val="center"/>
          </w:tcPr>
          <w:p>
            <w:pPr>
              <w:jc w:val="center"/>
            </w:pPr>
            <w:r>
              <w:rPr>
                <w:rFonts w:ascii="Arial" w:cs="Arial" w:eastAsia="Arial" w:hAnsi="Arial"/>
                <w:b w:val="false"/>
                <w:bCs w:val="false"/>
                <w:sz w:val="18"/>
                <w:szCs w:val="18"/>
              </w:rPr>
              <w:t xml:space="preserve">I</w:t>
            </w:r>
          </w:p>
        </w:tc>
        <w:tc>
          <w:tcPr>
            <w:tcW w:type="dxa" w:w="1300"/>
            <w:shd w:fill="FFFFFF" w:val="clear"/>
            <w:vAlign w:val="center"/>
          </w:tcPr>
          <w:p>
            <w:pPr>
              <w:jc w:val="center"/>
            </w:pPr>
            <w:r>
              <w:rPr>
                <w:rFonts w:ascii="Arial" w:cs="Arial" w:eastAsia="Arial" w:hAnsi="Arial"/>
                <w:b w:val="false"/>
                <w:bCs w:val="false"/>
                <w:sz w:val="18"/>
                <w:szCs w:val="18"/>
              </w:rPr>
              <w:t xml:space="preserve">C</w:t>
            </w:r>
          </w:p>
        </w:tc>
      </w:tr>
      <w:tr>
        <w:tc>
          <w:tcPr>
            <w:tcW w:type="dxa" w:w="2600"/>
            <w:shd w:fill="F2F2F2" w:val="clear"/>
            <w:vAlign w:val="center"/>
          </w:tcPr>
          <w:p>
            <w:pPr>
              <w:jc w:val="left"/>
            </w:pPr>
            <w:r>
              <w:rPr>
                <w:rFonts w:ascii="Arial" w:cs="Arial" w:eastAsia="Arial" w:hAnsi="Arial"/>
                <w:b/>
                <w:bCs/>
                <w:sz w:val="18"/>
                <w:szCs w:val="18"/>
              </w:rPr>
              <w:t xml:space="preserve">Investigate and respond to incidents</w:t>
            </w:r>
          </w:p>
        </w:tc>
        <w:tc>
          <w:tcPr>
            <w:tcW w:type="dxa" w:w="1300"/>
            <w:shd w:fill="F2F2F2" w:val="clear"/>
            <w:vAlign w:val="center"/>
          </w:tcPr>
          <w:p>
            <w:pPr>
              <w:jc w:val="center"/>
            </w:pPr>
            <w:r>
              <w:rPr>
                <w:rFonts w:ascii="Arial" w:cs="Arial" w:eastAsia="Arial" w:hAnsi="Arial"/>
                <w:b w:val="false"/>
                <w:bCs w:val="false"/>
                <w:sz w:val="18"/>
                <w:szCs w:val="18"/>
              </w:rPr>
              <w:t xml:space="preserve">I</w:t>
            </w:r>
          </w:p>
        </w:tc>
        <w:tc>
          <w:tcPr>
            <w:tcW w:type="dxa" w:w="1300"/>
            <w:shd w:fill="F2F2F2" w:val="clear"/>
            <w:vAlign w:val="center"/>
          </w:tcPr>
          <w:p>
            <w:pPr>
              <w:jc w:val="center"/>
            </w:pPr>
            <w:r>
              <w:rPr>
                <w:rFonts w:ascii="Arial" w:cs="Arial" w:eastAsia="Arial" w:hAnsi="Arial"/>
                <w:b w:val="false"/>
                <w:bCs w:val="false"/>
                <w:sz w:val="18"/>
                <w:szCs w:val="18"/>
              </w:rPr>
              <w:t xml:space="preserve">I</w:t>
            </w:r>
          </w:p>
        </w:tc>
        <w:tc>
          <w:tcPr>
            <w:tcW w:type="dxa" w:w="1300"/>
            <w:shd w:fill="F2F2F2" w:val="clear"/>
            <w:vAlign w:val="center"/>
          </w:tcPr>
          <w:p>
            <w:pPr>
              <w:jc w:val="center"/>
            </w:pPr>
            <w:r>
              <w:rPr>
                <w:rFonts w:ascii="Arial" w:cs="Arial" w:eastAsia="Arial" w:hAnsi="Arial"/>
                <w:b w:val="false"/>
                <w:bCs w:val="false"/>
                <w:sz w:val="18"/>
                <w:szCs w:val="18"/>
              </w:rPr>
              <w:t xml:space="preserve">A</w:t>
            </w:r>
          </w:p>
        </w:tc>
        <w:tc>
          <w:tcPr>
            <w:tcW w:type="dxa" w:w="1300"/>
            <w:shd w:fill="F2F2F2" w:val="clear"/>
            <w:vAlign w:val="center"/>
          </w:tcPr>
          <w:p>
            <w:pPr>
              <w:jc w:val="center"/>
            </w:pPr>
            <w:r>
              <w:rPr>
                <w:rFonts w:ascii="Arial" w:cs="Arial" w:eastAsia="Arial" w:hAnsi="Arial"/>
                <w:b w:val="false"/>
                <w:bCs w:val="false"/>
                <w:sz w:val="18"/>
                <w:szCs w:val="18"/>
              </w:rPr>
              <w:t xml:space="preserve">R</w:t>
            </w:r>
          </w:p>
        </w:tc>
        <w:tc>
          <w:tcPr>
            <w:tcW w:type="dxa" w:w="1300"/>
            <w:shd w:fill="F2F2F2" w:val="clear"/>
            <w:vAlign w:val="center"/>
          </w:tcPr>
          <w:p>
            <w:pPr>
              <w:jc w:val="center"/>
            </w:pPr>
            <w:r>
              <w:rPr>
                <w:rFonts w:ascii="Arial" w:cs="Arial" w:eastAsia="Arial" w:hAnsi="Arial"/>
                <w:b w:val="false"/>
                <w:bCs w:val="false"/>
                <w:sz w:val="18"/>
                <w:szCs w:val="18"/>
              </w:rPr>
              <w:t xml:space="preserve">C</w:t>
            </w:r>
          </w:p>
        </w:tc>
      </w:tr>
      <w:tr>
        <w:tc>
          <w:tcPr>
            <w:tcW w:type="dxa" w:w="2600"/>
            <w:shd w:fill="FFFFFF" w:val="clear"/>
            <w:vAlign w:val="center"/>
          </w:tcPr>
          <w:p>
            <w:pPr>
              <w:jc w:val="left"/>
            </w:pPr>
            <w:r>
              <w:rPr>
                <w:rFonts w:ascii="Arial" w:cs="Arial" w:eastAsia="Arial" w:hAnsi="Arial"/>
                <w:b/>
                <w:bCs/>
                <w:sz w:val="18"/>
                <w:szCs w:val="18"/>
              </w:rPr>
              <w:t xml:space="preserve">Segregation of duties in claims payment</w:t>
            </w:r>
          </w:p>
        </w:tc>
        <w:tc>
          <w:tcPr>
            <w:tcW w:type="dxa" w:w="1300"/>
            <w:shd w:fill="FFFFFF" w:val="clear"/>
            <w:vAlign w:val="center"/>
          </w:tcPr>
          <w:p>
            <w:pPr>
              <w:jc w:val="center"/>
            </w:pPr>
            <w:r>
              <w:rPr>
                <w:rFonts w:ascii="Arial" w:cs="Arial" w:eastAsia="Arial" w:hAnsi="Arial"/>
                <w:b w:val="false"/>
                <w:bCs w:val="false"/>
                <w:sz w:val="18"/>
                <w:szCs w:val="18"/>
              </w:rPr>
              <w:t xml:space="preserve">I</w:t>
            </w:r>
          </w:p>
        </w:tc>
        <w:tc>
          <w:tcPr>
            <w:tcW w:type="dxa" w:w="1300"/>
            <w:shd w:fill="FFFFFF" w:val="clear"/>
            <w:vAlign w:val="center"/>
          </w:tcPr>
          <w:p>
            <w:pPr>
              <w:jc w:val="center"/>
            </w:pPr>
            <w:r>
              <w:rPr>
                <w:rFonts w:ascii="Arial" w:cs="Arial" w:eastAsia="Arial" w:hAnsi="Arial"/>
                <w:b w:val="false"/>
                <w:bCs w:val="false"/>
                <w:sz w:val="18"/>
                <w:szCs w:val="18"/>
              </w:rPr>
              <w:t xml:space="preserve">I</w:t>
            </w:r>
          </w:p>
        </w:tc>
        <w:tc>
          <w:tcPr>
            <w:tcW w:type="dxa" w:w="1300"/>
            <w:shd w:fill="FFFFFF" w:val="clear"/>
            <w:vAlign w:val="center"/>
          </w:tcPr>
          <w:p>
            <w:pPr>
              <w:jc w:val="center"/>
            </w:pPr>
            <w:r>
              <w:rPr>
                <w:rFonts w:ascii="Arial" w:cs="Arial" w:eastAsia="Arial" w:hAnsi="Arial"/>
                <w:b w:val="false"/>
                <w:bCs w:val="false"/>
                <w:sz w:val="18"/>
                <w:szCs w:val="18"/>
              </w:rPr>
              <w:t xml:space="preserve">C</w:t>
            </w:r>
          </w:p>
        </w:tc>
        <w:tc>
          <w:tcPr>
            <w:tcW w:type="dxa" w:w="1300"/>
            <w:shd w:fill="FFFFFF" w:val="clear"/>
            <w:vAlign w:val="center"/>
          </w:tcPr>
          <w:p>
            <w:pPr>
              <w:jc w:val="center"/>
            </w:pPr>
            <w:r>
              <w:rPr>
                <w:rFonts w:ascii="Arial" w:cs="Arial" w:eastAsia="Arial" w:hAnsi="Arial"/>
                <w:b w:val="false"/>
                <w:bCs w:val="false"/>
                <w:sz w:val="18"/>
                <w:szCs w:val="18"/>
              </w:rPr>
              <w:t xml:space="preserve">I</w:t>
            </w:r>
          </w:p>
        </w:tc>
        <w:tc>
          <w:tcPr>
            <w:tcW w:type="dxa" w:w="1300"/>
            <w:shd w:fill="FFFFFF" w:val="clear"/>
            <w:vAlign w:val="center"/>
          </w:tcPr>
          <w:p>
            <w:pPr>
              <w:jc w:val="center"/>
            </w:pPr>
            <w:r>
              <w:rPr>
                <w:rFonts w:ascii="Arial" w:cs="Arial" w:eastAsia="Arial" w:hAnsi="Arial"/>
                <w:b w:val="false"/>
                <w:bCs w:val="false"/>
                <w:sz w:val="18"/>
                <w:szCs w:val="18"/>
              </w:rPr>
              <w:t xml:space="preserve">R/A</w:t>
            </w:r>
          </w:p>
        </w:tc>
      </w:tr>
      <w:tr>
        <w:tc>
          <w:tcPr>
            <w:tcW w:type="dxa" w:w="2600"/>
            <w:shd w:fill="F2F2F2" w:val="clear"/>
            <w:vAlign w:val="center"/>
          </w:tcPr>
          <w:p>
            <w:pPr>
              <w:jc w:val="left"/>
            </w:pPr>
            <w:r>
              <w:rPr>
                <w:rFonts w:ascii="Arial" w:cs="Arial" w:eastAsia="Arial" w:hAnsi="Arial"/>
                <w:b/>
                <w:bCs/>
                <w:sz w:val="18"/>
                <w:szCs w:val="18"/>
              </w:rPr>
              <w:t xml:space="preserve">Vendor security due diligence</w:t>
            </w:r>
          </w:p>
        </w:tc>
        <w:tc>
          <w:tcPr>
            <w:tcW w:type="dxa" w:w="1300"/>
            <w:shd w:fill="F2F2F2" w:val="clear"/>
            <w:vAlign w:val="center"/>
          </w:tcPr>
          <w:p>
            <w:pPr>
              <w:jc w:val="center"/>
            </w:pPr>
            <w:r>
              <w:rPr>
                <w:rFonts w:ascii="Arial" w:cs="Arial" w:eastAsia="Arial" w:hAnsi="Arial"/>
                <w:b w:val="false"/>
                <w:bCs w:val="false"/>
                <w:sz w:val="18"/>
                <w:szCs w:val="18"/>
              </w:rPr>
              <w:t xml:space="preserve">I</w:t>
            </w:r>
          </w:p>
        </w:tc>
        <w:tc>
          <w:tcPr>
            <w:tcW w:type="dxa" w:w="1300"/>
            <w:shd w:fill="F2F2F2" w:val="clear"/>
            <w:vAlign w:val="center"/>
          </w:tcPr>
          <w:p>
            <w:pPr>
              <w:jc w:val="center"/>
            </w:pPr>
            <w:r>
              <w:rPr>
                <w:rFonts w:ascii="Arial" w:cs="Arial" w:eastAsia="Arial" w:hAnsi="Arial"/>
                <w:b w:val="false"/>
                <w:bCs w:val="false"/>
                <w:sz w:val="18"/>
                <w:szCs w:val="18"/>
              </w:rPr>
              <w:t xml:space="preserve">I</w:t>
            </w:r>
          </w:p>
        </w:tc>
        <w:tc>
          <w:tcPr>
            <w:tcW w:type="dxa" w:w="1300"/>
            <w:shd w:fill="F2F2F2" w:val="clear"/>
            <w:vAlign w:val="center"/>
          </w:tcPr>
          <w:p>
            <w:pPr>
              <w:jc w:val="center"/>
            </w:pPr>
            <w:r>
              <w:rPr>
                <w:rFonts w:ascii="Arial" w:cs="Arial" w:eastAsia="Arial" w:hAnsi="Arial"/>
                <w:b w:val="false"/>
                <w:bCs w:val="false"/>
                <w:sz w:val="18"/>
                <w:szCs w:val="18"/>
              </w:rPr>
              <w:t xml:space="preserve">R/A</w:t>
            </w:r>
          </w:p>
        </w:tc>
        <w:tc>
          <w:tcPr>
            <w:tcW w:type="dxa" w:w="1300"/>
            <w:shd w:fill="F2F2F2" w:val="clear"/>
            <w:vAlign w:val="center"/>
          </w:tcPr>
          <w:p>
            <w:pPr>
              <w:jc w:val="center"/>
            </w:pPr>
            <w:r>
              <w:rPr>
                <w:rFonts w:ascii="Arial" w:cs="Arial" w:eastAsia="Arial" w:hAnsi="Arial"/>
                <w:b w:val="false"/>
                <w:bCs w:val="false"/>
                <w:sz w:val="18"/>
                <w:szCs w:val="18"/>
              </w:rPr>
              <w:t xml:space="preserve">C</w:t>
            </w:r>
          </w:p>
        </w:tc>
        <w:tc>
          <w:tcPr>
            <w:tcW w:type="dxa" w:w="1300"/>
            <w:shd w:fill="F2F2F2" w:val="clear"/>
            <w:vAlign w:val="center"/>
          </w:tcPr>
          <w:p>
            <w:pPr>
              <w:jc w:val="center"/>
            </w:pPr>
            <w:r>
              <w:rPr>
                <w:rFonts w:ascii="Arial" w:cs="Arial" w:eastAsia="Arial" w:hAnsi="Arial"/>
                <w:b w:val="false"/>
                <w:bCs w:val="false"/>
                <w:sz w:val="18"/>
                <w:szCs w:val="18"/>
              </w:rPr>
              <w:t xml:space="preserve">I</w:t>
            </w:r>
          </w:p>
        </w:tc>
      </w:tr>
      <w:tr>
        <w:tc>
          <w:tcPr>
            <w:tcW w:type="dxa" w:w="2600"/>
            <w:shd w:fill="FFFFFF" w:val="clear"/>
            <w:vAlign w:val="center"/>
          </w:tcPr>
          <w:p>
            <w:pPr>
              <w:jc w:val="left"/>
            </w:pPr>
            <w:r>
              <w:rPr>
                <w:rFonts w:ascii="Arial" w:cs="Arial" w:eastAsia="Arial" w:hAnsi="Arial"/>
                <w:b/>
                <w:bCs/>
                <w:sz w:val="18"/>
                <w:szCs w:val="18"/>
              </w:rPr>
              <w:t xml:space="preserve">Quarterly risk review</w:t>
            </w:r>
          </w:p>
        </w:tc>
        <w:tc>
          <w:tcPr>
            <w:tcW w:type="dxa" w:w="1300"/>
            <w:shd w:fill="FFFFFF" w:val="clear"/>
            <w:vAlign w:val="center"/>
          </w:tcPr>
          <w:p>
            <w:pPr>
              <w:jc w:val="center"/>
            </w:pPr>
            <w:r>
              <w:rPr>
                <w:rFonts w:ascii="Arial" w:cs="Arial" w:eastAsia="Arial" w:hAnsi="Arial"/>
                <w:b w:val="false"/>
                <w:bCs w:val="false"/>
                <w:sz w:val="18"/>
                <w:szCs w:val="18"/>
              </w:rPr>
              <w:t xml:space="preserve">I</w:t>
            </w:r>
          </w:p>
        </w:tc>
        <w:tc>
          <w:tcPr>
            <w:tcW w:type="dxa" w:w="1300"/>
            <w:shd w:fill="FFFFFF" w:val="clear"/>
            <w:vAlign w:val="center"/>
          </w:tcPr>
          <w:p>
            <w:pPr>
              <w:jc w:val="center"/>
            </w:pPr>
            <w:r>
              <w:rPr>
                <w:rFonts w:ascii="Arial" w:cs="Arial" w:eastAsia="Arial" w:hAnsi="Arial"/>
                <w:b w:val="false"/>
                <w:bCs w:val="false"/>
                <w:sz w:val="18"/>
                <w:szCs w:val="18"/>
              </w:rPr>
              <w:t xml:space="preserve">A</w:t>
            </w:r>
          </w:p>
        </w:tc>
        <w:tc>
          <w:tcPr>
            <w:tcW w:type="dxa" w:w="1300"/>
            <w:shd w:fill="FFFFFF" w:val="clear"/>
            <w:vAlign w:val="center"/>
          </w:tcPr>
          <w:p>
            <w:pPr>
              <w:jc w:val="center"/>
            </w:pPr>
            <w:r>
              <w:rPr>
                <w:rFonts w:ascii="Arial" w:cs="Arial" w:eastAsia="Arial" w:hAnsi="Arial"/>
                <w:b w:val="false"/>
                <w:bCs w:val="false"/>
                <w:sz w:val="18"/>
                <w:szCs w:val="18"/>
              </w:rPr>
              <w:t xml:space="preserve">R</w:t>
            </w:r>
          </w:p>
        </w:tc>
        <w:tc>
          <w:tcPr>
            <w:tcW w:type="dxa" w:w="1300"/>
            <w:shd w:fill="FFFFFF" w:val="clear"/>
            <w:vAlign w:val="center"/>
          </w:tcPr>
          <w:p>
            <w:pPr>
              <w:jc w:val="center"/>
            </w:pPr>
            <w:r>
              <w:rPr>
                <w:rFonts w:ascii="Arial" w:cs="Arial" w:eastAsia="Arial" w:hAnsi="Arial"/>
                <w:b w:val="false"/>
                <w:bCs w:val="false"/>
                <w:sz w:val="18"/>
                <w:szCs w:val="18"/>
              </w:rPr>
              <w:t xml:space="preserve">C</w:t>
            </w:r>
          </w:p>
        </w:tc>
        <w:tc>
          <w:tcPr>
            <w:tcW w:type="dxa" w:w="1300"/>
            <w:shd w:fill="FFFFFF" w:val="clear"/>
            <w:vAlign w:val="center"/>
          </w:tcPr>
          <w:p>
            <w:pPr>
              <w:jc w:val="center"/>
            </w:pPr>
            <w:r>
              <w:rPr>
                <w:rFonts w:ascii="Arial" w:cs="Arial" w:eastAsia="Arial" w:hAnsi="Arial"/>
                <w:b w:val="false"/>
                <w:bCs w:val="false"/>
                <w:sz w:val="18"/>
                <w:szCs w:val="18"/>
              </w:rPr>
              <w:t xml:space="preserve">C</w:t>
            </w:r>
          </w:p>
        </w:tc>
      </w:tr>
      <w:tr>
        <w:tc>
          <w:tcPr>
            <w:tcW w:type="dxa" w:w="2600"/>
            <w:shd w:fill="F2F2F2" w:val="clear"/>
            <w:vAlign w:val="center"/>
          </w:tcPr>
          <w:p>
            <w:pPr>
              <w:jc w:val="left"/>
            </w:pPr>
            <w:r>
              <w:rPr>
                <w:rFonts w:ascii="Arial" w:cs="Arial" w:eastAsia="Arial" w:hAnsi="Arial"/>
                <w:b/>
                <w:bCs/>
                <w:sz w:val="18"/>
                <w:szCs w:val="18"/>
              </w:rPr>
              <w:t xml:space="preserve">Approve Business Continuity Plan</w:t>
            </w:r>
          </w:p>
        </w:tc>
        <w:tc>
          <w:tcPr>
            <w:tcW w:type="dxa" w:w="1300"/>
            <w:shd w:fill="F2F2F2" w:val="clear"/>
            <w:vAlign w:val="center"/>
          </w:tcPr>
          <w:p>
            <w:pPr>
              <w:jc w:val="center"/>
            </w:pPr>
            <w:r>
              <w:rPr>
                <w:rFonts w:ascii="Arial" w:cs="Arial" w:eastAsia="Arial" w:hAnsi="Arial"/>
                <w:b w:val="false"/>
                <w:bCs w:val="false"/>
                <w:sz w:val="18"/>
                <w:szCs w:val="18"/>
              </w:rPr>
              <w:t xml:space="preserve">A</w:t>
            </w:r>
          </w:p>
        </w:tc>
        <w:tc>
          <w:tcPr>
            <w:tcW w:type="dxa" w:w="1300"/>
            <w:shd w:fill="F2F2F2" w:val="clear"/>
            <w:vAlign w:val="center"/>
          </w:tcPr>
          <w:p>
            <w:pPr>
              <w:jc w:val="center"/>
            </w:pPr>
            <w:r>
              <w:rPr>
                <w:rFonts w:ascii="Arial" w:cs="Arial" w:eastAsia="Arial" w:hAnsi="Arial"/>
                <w:b w:val="false"/>
                <w:bCs w:val="false"/>
                <w:sz w:val="18"/>
                <w:szCs w:val="18"/>
              </w:rPr>
              <w:t xml:space="preserve">R</w:t>
            </w:r>
          </w:p>
        </w:tc>
        <w:tc>
          <w:tcPr>
            <w:tcW w:type="dxa" w:w="1300"/>
            <w:shd w:fill="F2F2F2" w:val="clear"/>
            <w:vAlign w:val="center"/>
          </w:tcPr>
          <w:p>
            <w:pPr>
              <w:jc w:val="center"/>
            </w:pPr>
            <w:r>
              <w:rPr>
                <w:rFonts w:ascii="Arial" w:cs="Arial" w:eastAsia="Arial" w:hAnsi="Arial"/>
                <w:b w:val="false"/>
                <w:bCs w:val="false"/>
                <w:sz w:val="18"/>
                <w:szCs w:val="18"/>
              </w:rPr>
              <w:t xml:space="preserve">C</w:t>
            </w:r>
          </w:p>
        </w:tc>
        <w:tc>
          <w:tcPr>
            <w:tcW w:type="dxa" w:w="1300"/>
            <w:shd w:fill="F2F2F2" w:val="clear"/>
            <w:vAlign w:val="center"/>
          </w:tcPr>
          <w:p>
            <w:pPr>
              <w:jc w:val="center"/>
            </w:pPr>
            <w:r>
              <w:rPr>
                <w:rFonts w:ascii="Arial" w:cs="Arial" w:eastAsia="Arial" w:hAnsi="Arial"/>
                <w:b w:val="false"/>
                <w:bCs w:val="false"/>
                <w:sz w:val="18"/>
                <w:szCs w:val="18"/>
              </w:rPr>
              <w:t xml:space="preserve">C</w:t>
            </w:r>
          </w:p>
        </w:tc>
        <w:tc>
          <w:tcPr>
            <w:tcW w:type="dxa" w:w="1300"/>
            <w:shd w:fill="F2F2F2" w:val="clear"/>
            <w:vAlign w:val="center"/>
          </w:tcPr>
          <w:p>
            <w:pPr>
              <w:jc w:val="center"/>
            </w:pPr>
            <w:r>
              <w:rPr>
                <w:rFonts w:ascii="Arial" w:cs="Arial" w:eastAsia="Arial" w:hAnsi="Arial"/>
                <w:b w:val="false"/>
                <w:bCs w:val="false"/>
                <w:sz w:val="18"/>
                <w:szCs w:val="18"/>
              </w:rPr>
              <w:t xml:space="preserve">C</w:t>
            </w:r>
          </w:p>
        </w:tc>
      </w:tr>
    </w:tbl>
    <w:p>
      <w:pPr>
        <w:pStyle w:val="Heading1"/>
        <w:spacing w:after="120" w:before="260"/>
      </w:pPr>
      <w:r>
        <w:rPr>
          <w:rFonts w:ascii="Arial" w:cs="Arial" w:eastAsia="Arial" w:hAnsi="Arial"/>
          <w:b/>
          <w:bCs/>
          <w:color w:val="1F3864"/>
          <w:sz w:val="26"/>
          <w:szCs w:val="26"/>
        </w:rPr>
        <w:t xml:space="preserve">5. Meeting Cadence &amp; Escalation</w:t>
      </w:r>
    </w:p>
    <w:p>
      <w:pPr>
        <w:pStyle w:val="ListParagraph"/>
        <w:numPr>
          <w:ilvl w:val="0"/>
          <w:numId w:val="1"/>
        </w:numPr>
        <w:spacing w:after="80"/>
      </w:pPr>
      <w:r>
        <w:rPr>
          <w:rFonts w:ascii="Arial" w:cs="Arial" w:eastAsia="Arial" w:hAnsi="Arial"/>
          <w:sz w:val="21"/>
          <w:szCs w:val="21"/>
        </w:rPr>
        <w:t xml:space="preserve">Risk Committee meets quarterly as standard practice, reviewing the Risk Register, Treatment Plan progress, and Gap Assessment Remediation Roadmap status.</w:t>
      </w:r>
    </w:p>
    <w:p>
      <w:pPr>
        <w:pStyle w:val="ListParagraph"/>
        <w:numPr>
          <w:ilvl w:val="0"/>
          <w:numId w:val="1"/>
        </w:numPr>
        <w:spacing w:after="80"/>
      </w:pPr>
      <w:r>
        <w:rPr>
          <w:rFonts w:ascii="Arial" w:cs="Arial" w:eastAsia="Arial" w:hAnsi="Arial"/>
          <w:sz w:val="21"/>
          <w:szCs w:val="21"/>
        </w:rPr>
        <w:t xml:space="preserve">Any risk newly rated Critical is escalated to the Managing Director within 24 hours of identification, without waiting for the next scheduled Risk Committee meeting.</w:t>
      </w:r>
    </w:p>
    <w:p>
      <w:pPr>
        <w:pStyle w:val="ListParagraph"/>
        <w:numPr>
          <w:ilvl w:val="0"/>
          <w:numId w:val="1"/>
        </w:numPr>
        <w:spacing w:after="80"/>
      </w:pPr>
      <w:r>
        <w:rPr>
          <w:rFonts w:ascii="Arial" w:cs="Arial" w:eastAsia="Arial" w:hAnsi="Arial"/>
          <w:sz w:val="21"/>
          <w:szCs w:val="21"/>
        </w:rPr>
        <w:t xml:space="preserve">Any risk exceeding its stated Risk Appetite (see Risk Appetite Statement) and not yet under active treatment must be tabled at the next Risk Committee meeting.</w:t>
      </w:r>
    </w:p>
    <w:p>
      <w:pPr>
        <w:pStyle w:val="ListParagraph"/>
        <w:numPr>
          <w:ilvl w:val="0"/>
          <w:numId w:val="1"/>
        </w:numPr>
        <w:spacing w:after="80"/>
      </w:pPr>
      <w:r>
        <w:rPr>
          <w:rFonts w:ascii="Arial" w:cs="Arial" w:eastAsia="Arial" w:hAnsi="Arial"/>
          <w:sz w:val="21"/>
          <w:szCs w:val="21"/>
        </w:rPr>
        <w:t xml:space="preserve">Annual review: the Risk Appetite Statement, this Governance Charter, and the Compliance Obligations Register are reviewed together each year, since a change in one typically implies a change in the others.</w:t>
      </w:r>
    </w:p>
    <w:p>
      <w:pPr>
        <w:pStyle w:val="Heading1"/>
        <w:spacing w:after="120" w:before="260"/>
      </w:pPr>
      <w:r>
        <w:rPr>
          <w:rFonts w:ascii="Arial" w:cs="Arial" w:eastAsia="Arial" w:hAnsi="Arial"/>
          <w:b/>
          <w:bCs/>
          <w:color w:val="1F3864"/>
          <w:sz w:val="26"/>
          <w:szCs w:val="26"/>
        </w:rPr>
        <w:t xml:space="preserve">6. Relationship to Other Documents</w:t>
      </w:r>
    </w:p>
    <w:p>
      <w:pPr>
        <w:pStyle w:val="ListParagraph"/>
        <w:numPr>
          <w:ilvl w:val="0"/>
          <w:numId w:val="1"/>
        </w:numPr>
        <w:spacing w:after="80"/>
      </w:pPr>
      <w:r>
        <w:rPr>
          <w:rFonts w:ascii="Arial" w:cs="Arial" w:eastAsia="Arial" w:hAnsi="Arial"/>
          <w:sz w:val="21"/>
          <w:szCs w:val="21"/>
        </w:rPr>
        <w:t xml:space="preserve">Risk Appetite Statement - sets the criteria the Risk Committee uses to judge risk ratings.</w:t>
      </w:r>
    </w:p>
    <w:p>
      <w:pPr>
        <w:pStyle w:val="ListParagraph"/>
        <w:numPr>
          <w:ilvl w:val="0"/>
          <w:numId w:val="1"/>
        </w:numPr>
        <w:spacing w:after="80"/>
      </w:pPr>
      <w:r>
        <w:rPr>
          <w:rFonts w:ascii="Arial" w:cs="Arial" w:eastAsia="Arial" w:hAnsi="Arial"/>
          <w:sz w:val="21"/>
          <w:szCs w:val="21"/>
        </w:rPr>
        <w:t xml:space="preserve">Risk Register, Risk Treatment Plan - the operational output the Risk Committee reviews each quarter.</w:t>
      </w:r>
    </w:p>
    <w:p>
      <w:pPr>
        <w:pStyle w:val="ListParagraph"/>
        <w:numPr>
          <w:ilvl w:val="0"/>
          <w:numId w:val="1"/>
        </w:numPr>
        <w:spacing w:after="80"/>
      </w:pPr>
      <w:r>
        <w:rPr>
          <w:rFonts w:ascii="Arial" w:cs="Arial" w:eastAsia="Arial" w:hAnsi="Arial"/>
          <w:sz w:val="21"/>
          <w:szCs w:val="21"/>
        </w:rPr>
        <w:t xml:space="preserve">Compliance Obligations Register - tracks the regulatory obligations the Compliance Officer reports against.</w:t>
      </w:r>
    </w:p>
    <w:p>
      <w:pPr>
        <w:pStyle w:val="ListParagraph"/>
        <w:numPr>
          <w:ilvl w:val="0"/>
          <w:numId w:val="1"/>
        </w:numPr>
        <w:spacing w:after="80"/>
      </w:pPr>
      <w:r>
        <w:rPr>
          <w:rFonts w:ascii="Arial" w:cs="Arial" w:eastAsia="Arial" w:hAnsi="Arial"/>
          <w:sz w:val="21"/>
          <w:szCs w:val="21"/>
        </w:rPr>
        <w:t xml:space="preserve">Control Register - tracks control implementation status that business owners report against.</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Happy Insurance Brokers — Governance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2026-08-18T10:32:03.847Z</dcterms:created>
  <dcterms:modified xsi:type="dcterms:W3CDTF">2026-08-18T10:32:03.848Z</dcterms:modified>
</cp:coreProperties>
</file>

<file path=docProps/custom.xml><?xml version="1.0" encoding="utf-8"?>
<Properties xmlns="http://schemas.openxmlformats.org/officeDocument/2006/custom-properties" xmlns:vt="http://schemas.openxmlformats.org/officeDocument/2006/docPropsVTypes"/>
</file>