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F3864"/>
          <w:sz w:val="34"/>
          <w:szCs w:val="34"/>
        </w:rPr>
        <w:t xml:space="preserve">Risk Assessment — Executive Summary</w:t>
      </w:r>
    </w:p>
    <w:p>
      <w:pPr>
        <w:spacing w:after="200"/>
      </w:pPr>
      <w:r>
        <w:rPr>
          <w:rFonts w:ascii="Arial" w:cs="Arial" w:eastAsia="Arial" w:hAnsi="Arial"/>
          <w:i/>
          <w:iCs/>
          <w:color w:val="595959"/>
          <w:sz w:val="18"/>
          <w:szCs w:val="18"/>
        </w:rPr>
        <w:t xml:space="preserve">Happy Insurance Brokers (Pty) Ltd — Fictional FSP | Prepared by: [Your Name], Compliance/GRC Analyst (portfolio project) | Date: August 2026</w:t>
      </w:r>
    </w:p>
    <w:p>
      <w:pPr>
        <w:pStyle w:val="Heading1"/>
        <w:spacing w:after="100" w:before="200"/>
      </w:pPr>
      <w:r>
        <w:rPr>
          <w:rFonts w:ascii="Arial" w:cs="Arial" w:eastAsia="Arial" w:hAnsi="Arial"/>
          <w:b/>
          <w:bCs/>
          <w:color w:val="1F3864"/>
          <w:sz w:val="24"/>
          <w:szCs w:val="24"/>
        </w:rPr>
        <w:t xml:space="preserve">Purpose &amp; Scope</w:t>
      </w:r>
    </w:p>
    <w:p>
      <w:pPr>
        <w:spacing w:after="120"/>
      </w:pPr>
      <w:r>
        <w:rPr>
          <w:rFonts w:ascii="Arial" w:cs="Arial" w:eastAsia="Arial" w:hAnsi="Arial"/>
          <w:sz w:val="20"/>
          <w:szCs w:val="20"/>
        </w:rPr>
        <w:t xml:space="preserve">This assessment identifies and evaluates the key information security, operational, and regulatory compliance risks facing Happy Insurance Brokers, a fictional short-term insurance brokerage operating as an authorised Financial Services Provider (FSP) under FAIS. The scope covers client data handling (POPIA), advice and sales conduct (FAIS/TCF), IT infrastructure, third-party vendors, and business continuity. It excludes market, credit, and underwriting risk, which fall outside the brokerage's own risk-management remit.</w:t>
      </w:r>
    </w:p>
    <w:p>
      <w:pPr>
        <w:pStyle w:val="Heading1"/>
        <w:spacing w:after="100" w:before="200"/>
      </w:pPr>
      <w:r>
        <w:rPr>
          <w:rFonts w:ascii="Arial" w:cs="Arial" w:eastAsia="Arial" w:hAnsi="Arial"/>
          <w:b/>
          <w:bCs/>
          <w:color w:val="1F3864"/>
          <w:sz w:val="24"/>
          <w:szCs w:val="24"/>
        </w:rPr>
        <w:t xml:space="preserve">Methodology</w:t>
      </w:r>
    </w:p>
    <w:p>
      <w:pPr>
        <w:spacing w:after="120"/>
      </w:pPr>
      <w:r>
        <w:rPr>
          <w:rFonts w:ascii="Arial" w:cs="Arial" w:eastAsia="Arial" w:hAnsi="Arial"/>
          <w:sz w:val="20"/>
          <w:szCs w:val="20"/>
        </w:rPr>
        <w:t xml:space="preserve">Risks were identified through an asset-based approach: each key asset (systems, data, people, hardware, third parties, reputation) was assessed against plausible threats and the vulnerabilities that would allow those threats to materialise. Each risk was rated on a standard 5x5 matrix:</w:t>
      </w:r>
    </w:p>
    <w:p>
      <w:pPr>
        <w:pStyle w:val="ListParagraph"/>
        <w:numPr>
          <w:ilvl w:val="0"/>
          <w:numId w:val="1"/>
        </w:numPr>
        <w:spacing w:after="60"/>
      </w:pPr>
      <w:r>
        <w:rPr>
          <w:rFonts w:ascii="Arial" w:cs="Arial" w:eastAsia="Arial" w:hAnsi="Arial"/>
          <w:sz w:val="20"/>
          <w:szCs w:val="20"/>
        </w:rPr>
        <w:t xml:space="preserve">Likelihood (1-5): Rare, Unlikely, Possible, Likely, Almost Certain</w:t>
      </w:r>
    </w:p>
    <w:p>
      <w:pPr>
        <w:pStyle w:val="ListParagraph"/>
        <w:numPr>
          <w:ilvl w:val="0"/>
          <w:numId w:val="1"/>
        </w:numPr>
        <w:spacing w:after="60"/>
      </w:pPr>
      <w:r>
        <w:rPr>
          <w:rFonts w:ascii="Arial" w:cs="Arial" w:eastAsia="Arial" w:hAnsi="Arial"/>
          <w:sz w:val="20"/>
          <w:szCs w:val="20"/>
        </w:rPr>
        <w:t xml:space="preserve">Impact (1-5): Negligible, Minor, Moderate, Major, Severe</w:t>
      </w:r>
    </w:p>
    <w:p>
      <w:pPr>
        <w:pStyle w:val="ListParagraph"/>
        <w:numPr>
          <w:ilvl w:val="0"/>
          <w:numId w:val="1"/>
        </w:numPr>
        <w:spacing w:after="60"/>
      </w:pPr>
      <w:r>
        <w:rPr>
          <w:rFonts w:ascii="Arial" w:cs="Arial" w:eastAsia="Arial" w:hAnsi="Arial"/>
          <w:sz w:val="20"/>
          <w:szCs w:val="20"/>
        </w:rPr>
        <w:t xml:space="preserve">Risk Score = Likelihood x Impact, banded into Low (1-4), Medium (5-9), High (10-15), and Critical (16-25)</w:t>
      </w:r>
    </w:p>
    <w:p>
      <w:pPr>
        <w:spacing w:after="120"/>
      </w:pPr>
      <w:r>
        <w:rPr>
          <w:rFonts w:ascii="Arial" w:cs="Arial" w:eastAsia="Arial" w:hAnsi="Arial"/>
          <w:sz w:val="20"/>
          <w:szCs w:val="20"/>
        </w:rPr>
        <w:t xml:space="preserve">This mirrors common industry approaches (e.g. ISO 31000 risk-assessment principles and NIST CSF risk-identification practices) scaled to a single-site brokerage rather than a large enterprise.</w:t>
      </w:r>
    </w:p>
    <w:p>
      <w:pPr>
        <w:pStyle w:val="Heading1"/>
        <w:spacing w:after="100" w:before="200"/>
      </w:pPr>
      <w:r>
        <w:rPr>
          <w:rFonts w:ascii="Arial" w:cs="Arial" w:eastAsia="Arial" w:hAnsi="Arial"/>
          <w:b/>
          <w:bCs/>
          <w:color w:val="1F3864"/>
          <w:sz w:val="24"/>
          <w:szCs w:val="24"/>
        </w:rPr>
        <w:t xml:space="preserve">Key Findings</w:t>
      </w:r>
    </w:p>
    <w:p>
      <w:pPr>
        <w:spacing w:after="120"/>
      </w:pPr>
      <w:r>
        <w:rPr>
          <w:rFonts w:ascii="Arial" w:cs="Arial" w:eastAsia="Arial" w:hAnsi="Arial"/>
          <w:sz w:val="20"/>
          <w:szCs w:val="20"/>
        </w:rPr>
        <w:t xml:space="preserve">Fourteen risks were identified across six asset categories. Two rated Critical, six rated High, and the remainder Medium or Low. The highest-priority risks cluster around two themes: (1) weak technical access controls (no MFA, no encryption, no offsite backups) exposing client data to external attackers, and (2) documentation and monitoring gaps in regulatory compliance (POPIA retention policy, FAIS CPD/RE5 tracking) that create exposure even without a live incident. The top five risks by score are summarised below; full detail is in the Risk Register.</w:t>
      </w:r>
    </w:p>
    <w:tbl>
      <w:tblPr>
        <w:tblW w:type="dxa" w:w="10800"/>
        <w:tblBorders>
          <w:top w:val="single" w:color="BFBFBF" w:sz="2"/>
          <w:left w:val="single" w:color="BFBFBF" w:sz="2"/>
          <w:bottom w:val="single" w:color="BFBFBF" w:sz="2"/>
          <w:right w:val="single" w:color="BFBFBF" w:sz="2"/>
          <w:insideH w:val="single" w:color="BFBFBF" w:sz="2"/>
          <w:insideV w:val="single" w:color="BFBFBF" w:sz="2"/>
        </w:tblBorders>
      </w:tblPr>
      <w:tblGrid>
        <w:gridCol w:w="900"/>
        <w:gridCol w:w="4200"/>
        <w:gridCol w:w="1600"/>
        <w:gridCol w:w="1600"/>
        <w:gridCol w:w="2500"/>
      </w:tblGrid>
      <w:tr>
        <w:trPr>
          <w:tblHeader/>
        </w:trPr>
        <w:tc>
          <w:tcPr>
            <w:tcW w:type="dxa" w:w="900"/>
            <w:shd w:fill="1F3864" w:val="clear"/>
            <w:vAlign w:val="center"/>
          </w:tcPr>
          <w:p>
            <w:pPr>
              <w:jc w:val="center"/>
            </w:pPr>
            <w:r>
              <w:rPr>
                <w:rFonts w:ascii="Arial" w:cs="Arial" w:eastAsia="Arial" w:hAnsi="Arial"/>
                <w:b/>
                <w:bCs/>
                <w:color w:val="FFFFFF"/>
                <w:sz w:val="18"/>
                <w:szCs w:val="18"/>
              </w:rPr>
              <w:t xml:space="preserve">ID</w:t>
            </w:r>
          </w:p>
        </w:tc>
        <w:tc>
          <w:tcPr>
            <w:tcW w:type="dxa" w:w="4200"/>
            <w:shd w:fill="1F3864" w:val="clear"/>
            <w:vAlign w:val="center"/>
          </w:tcPr>
          <w:p>
            <w:pPr>
              <w:jc w:val="center"/>
            </w:pPr>
            <w:r>
              <w:rPr>
                <w:rFonts w:ascii="Arial" w:cs="Arial" w:eastAsia="Arial" w:hAnsi="Arial"/>
                <w:b/>
                <w:bCs/>
                <w:color w:val="FFFFFF"/>
                <w:sz w:val="18"/>
                <w:szCs w:val="18"/>
              </w:rPr>
              <w:t xml:space="preserve">Risk</w:t>
            </w:r>
          </w:p>
        </w:tc>
        <w:tc>
          <w:tcPr>
            <w:tcW w:type="dxa" w:w="1600"/>
            <w:shd w:fill="1F3864" w:val="clear"/>
            <w:vAlign w:val="center"/>
          </w:tcPr>
          <w:p>
            <w:pPr>
              <w:jc w:val="center"/>
            </w:pPr>
            <w:r>
              <w:rPr>
                <w:rFonts w:ascii="Arial" w:cs="Arial" w:eastAsia="Arial" w:hAnsi="Arial"/>
                <w:b/>
                <w:bCs/>
                <w:color w:val="FFFFFF"/>
                <w:sz w:val="18"/>
                <w:szCs w:val="18"/>
              </w:rPr>
              <w:t xml:space="preserve">Score</w:t>
            </w:r>
          </w:p>
        </w:tc>
        <w:tc>
          <w:tcPr>
            <w:tcW w:type="dxa" w:w="1600"/>
            <w:shd w:fill="1F3864" w:val="clear"/>
            <w:vAlign w:val="center"/>
          </w:tcPr>
          <w:p>
            <w:pPr>
              <w:jc w:val="center"/>
            </w:pPr>
            <w:r>
              <w:rPr>
                <w:rFonts w:ascii="Arial" w:cs="Arial" w:eastAsia="Arial" w:hAnsi="Arial"/>
                <w:b/>
                <w:bCs/>
                <w:color w:val="FFFFFF"/>
                <w:sz w:val="18"/>
                <w:szCs w:val="18"/>
              </w:rPr>
              <w:t xml:space="preserve">Rating</w:t>
            </w:r>
          </w:p>
        </w:tc>
        <w:tc>
          <w:tcPr>
            <w:tcW w:type="dxa" w:w="2500"/>
            <w:shd w:fill="1F3864" w:val="clear"/>
            <w:vAlign w:val="center"/>
          </w:tcPr>
          <w:p>
            <w:pPr>
              <w:jc w:val="center"/>
            </w:pPr>
            <w:r>
              <w:rPr>
                <w:rFonts w:ascii="Arial" w:cs="Arial" w:eastAsia="Arial" w:hAnsi="Arial"/>
                <w:b/>
                <w:bCs/>
                <w:color w:val="FFFFFF"/>
                <w:sz w:val="18"/>
                <w:szCs w:val="18"/>
              </w:rPr>
              <w:t xml:space="preserve">Owner</w:t>
            </w:r>
          </w:p>
        </w:tc>
      </w:tr>
      <w:tr>
        <w:tc>
          <w:tcPr>
            <w:tcW w:type="dxa" w:w="900"/>
            <w:shd w:fill="FFFFFF" w:val="clear"/>
            <w:vAlign w:val="center"/>
          </w:tcPr>
          <w:p>
            <w:pPr>
              <w:jc w:val="center"/>
            </w:pPr>
            <w:r>
              <w:rPr>
                <w:rFonts w:ascii="Arial" w:cs="Arial" w:eastAsia="Arial" w:hAnsi="Arial"/>
                <w:b/>
                <w:bCs/>
                <w:sz w:val="18"/>
                <w:szCs w:val="18"/>
              </w:rPr>
              <w:t xml:space="preserve">R1</w:t>
            </w:r>
          </w:p>
        </w:tc>
        <w:tc>
          <w:tcPr>
            <w:tcW w:type="dxa" w:w="4200"/>
            <w:shd w:fill="FFFFFF" w:val="clear"/>
            <w:vAlign w:val="center"/>
          </w:tcPr>
          <w:p>
            <w:pPr>
              <w:jc w:val="left"/>
            </w:pPr>
            <w:r>
              <w:rPr>
                <w:rFonts w:ascii="Arial" w:cs="Arial" w:eastAsia="Arial" w:hAnsi="Arial"/>
                <w:b w:val="false"/>
                <w:bCs w:val="false"/>
                <w:sz w:val="18"/>
                <w:szCs w:val="18"/>
              </w:rPr>
              <w:t xml:space="preserve">Client CRM data breach via phishing (no MFA)</w:t>
            </w:r>
          </w:p>
        </w:tc>
        <w:tc>
          <w:tcPr>
            <w:tcW w:type="dxa" w:w="1600"/>
            <w:shd w:fill="FF9999" w:val="clear"/>
            <w:vAlign w:val="center"/>
          </w:tcPr>
          <w:p>
            <w:pPr>
              <w:jc w:val="center"/>
            </w:pPr>
            <w:r>
              <w:rPr>
                <w:rFonts w:ascii="Arial" w:cs="Arial" w:eastAsia="Arial" w:hAnsi="Arial"/>
                <w:b/>
                <w:bCs/>
                <w:sz w:val="18"/>
                <w:szCs w:val="18"/>
              </w:rPr>
              <w:t xml:space="preserve">20</w:t>
            </w:r>
          </w:p>
        </w:tc>
        <w:tc>
          <w:tcPr>
            <w:tcW w:type="dxa" w:w="1600"/>
            <w:shd w:fill="FF9999" w:val="clear"/>
            <w:vAlign w:val="center"/>
          </w:tcPr>
          <w:p>
            <w:pPr>
              <w:jc w:val="center"/>
            </w:pPr>
            <w:r>
              <w:rPr>
                <w:rFonts w:ascii="Arial" w:cs="Arial" w:eastAsia="Arial" w:hAnsi="Arial"/>
                <w:b/>
                <w:bCs/>
                <w:sz w:val="18"/>
                <w:szCs w:val="18"/>
              </w:rPr>
              <w:t xml:space="preserve">Critical</w:t>
            </w:r>
          </w:p>
        </w:tc>
        <w:tc>
          <w:tcPr>
            <w:tcW w:type="dxa" w:w="2500"/>
            <w:shd w:fill="FFFFFF" w:val="clear"/>
            <w:vAlign w:val="center"/>
          </w:tcPr>
          <w:p>
            <w:pPr>
              <w:jc w:val="left"/>
            </w:pPr>
            <w:r>
              <w:rPr>
                <w:rFonts w:ascii="Arial" w:cs="Arial" w:eastAsia="Arial" w:hAnsi="Arial"/>
                <w:b w:val="false"/>
                <w:bCs w:val="false"/>
                <w:sz w:val="18"/>
                <w:szCs w:val="18"/>
              </w:rPr>
              <w:t xml:space="preserve">IT Manager</w:t>
            </w:r>
          </w:p>
        </w:tc>
      </w:tr>
      <w:tr>
        <w:tc>
          <w:tcPr>
            <w:tcW w:type="dxa" w:w="900"/>
            <w:shd w:fill="F2F2F2" w:val="clear"/>
            <w:vAlign w:val="center"/>
          </w:tcPr>
          <w:p>
            <w:pPr>
              <w:jc w:val="center"/>
            </w:pPr>
            <w:r>
              <w:rPr>
                <w:rFonts w:ascii="Arial" w:cs="Arial" w:eastAsia="Arial" w:hAnsi="Arial"/>
                <w:b/>
                <w:bCs/>
                <w:sz w:val="18"/>
                <w:szCs w:val="18"/>
              </w:rPr>
              <w:t xml:space="preserve">R5</w:t>
            </w:r>
          </w:p>
        </w:tc>
        <w:tc>
          <w:tcPr>
            <w:tcW w:type="dxa" w:w="4200"/>
            <w:shd w:fill="F2F2F2" w:val="clear"/>
            <w:vAlign w:val="center"/>
          </w:tcPr>
          <w:p>
            <w:pPr>
              <w:jc w:val="left"/>
            </w:pPr>
            <w:r>
              <w:rPr>
                <w:rFonts w:ascii="Arial" w:cs="Arial" w:eastAsia="Arial" w:hAnsi="Arial"/>
                <w:b w:val="false"/>
                <w:bCs w:val="false"/>
                <w:sz w:val="18"/>
                <w:szCs w:val="18"/>
              </w:rPr>
              <w:t xml:space="preserve">POPIA non-compliance - no data retention/disposal policy</w:t>
            </w:r>
          </w:p>
        </w:tc>
        <w:tc>
          <w:tcPr>
            <w:tcW w:type="dxa" w:w="1600"/>
            <w:shd w:fill="FF9999" w:val="clear"/>
            <w:vAlign w:val="center"/>
          </w:tcPr>
          <w:p>
            <w:pPr>
              <w:jc w:val="center"/>
            </w:pPr>
            <w:r>
              <w:rPr>
                <w:rFonts w:ascii="Arial" w:cs="Arial" w:eastAsia="Arial" w:hAnsi="Arial"/>
                <w:b/>
                <w:bCs/>
                <w:sz w:val="18"/>
                <w:szCs w:val="18"/>
              </w:rPr>
              <w:t xml:space="preserve">16</w:t>
            </w:r>
          </w:p>
        </w:tc>
        <w:tc>
          <w:tcPr>
            <w:tcW w:type="dxa" w:w="1600"/>
            <w:shd w:fill="FF9999" w:val="clear"/>
            <w:vAlign w:val="center"/>
          </w:tcPr>
          <w:p>
            <w:pPr>
              <w:jc w:val="center"/>
            </w:pPr>
            <w:r>
              <w:rPr>
                <w:rFonts w:ascii="Arial" w:cs="Arial" w:eastAsia="Arial" w:hAnsi="Arial"/>
                <w:b/>
                <w:bCs/>
                <w:sz w:val="18"/>
                <w:szCs w:val="18"/>
              </w:rPr>
              <w:t xml:space="preserve">Critical</w:t>
            </w:r>
          </w:p>
        </w:tc>
        <w:tc>
          <w:tcPr>
            <w:tcW w:type="dxa" w:w="2500"/>
            <w:shd w:fill="F2F2F2" w:val="clear"/>
            <w:vAlign w:val="center"/>
          </w:tcPr>
          <w:p>
            <w:pPr>
              <w:jc w:val="left"/>
            </w:pPr>
            <w:r>
              <w:rPr>
                <w:rFonts w:ascii="Arial" w:cs="Arial" w:eastAsia="Arial" w:hAnsi="Arial"/>
                <w:b w:val="false"/>
                <w:bCs w:val="false"/>
                <w:sz w:val="18"/>
                <w:szCs w:val="18"/>
              </w:rPr>
              <w:t xml:space="preserve">Compliance Officer</w:t>
            </w:r>
          </w:p>
        </w:tc>
      </w:tr>
      <w:tr>
        <w:tc>
          <w:tcPr>
            <w:tcW w:type="dxa" w:w="900"/>
            <w:shd w:fill="FFFFFF" w:val="clear"/>
            <w:vAlign w:val="center"/>
          </w:tcPr>
          <w:p>
            <w:pPr>
              <w:jc w:val="center"/>
            </w:pPr>
            <w:r>
              <w:rPr>
                <w:rFonts w:ascii="Arial" w:cs="Arial" w:eastAsia="Arial" w:hAnsi="Arial"/>
                <w:b/>
                <w:bCs/>
                <w:sz w:val="18"/>
                <w:szCs w:val="18"/>
              </w:rPr>
              <w:t xml:space="preserve">R2</w:t>
            </w:r>
          </w:p>
        </w:tc>
        <w:tc>
          <w:tcPr>
            <w:tcW w:type="dxa" w:w="4200"/>
            <w:shd w:fill="FFFFFF" w:val="clear"/>
            <w:vAlign w:val="center"/>
          </w:tcPr>
          <w:p>
            <w:pPr>
              <w:jc w:val="left"/>
            </w:pPr>
            <w:r>
              <w:rPr>
                <w:rFonts w:ascii="Arial" w:cs="Arial" w:eastAsia="Arial" w:hAnsi="Arial"/>
                <w:b w:val="false"/>
                <w:bCs w:val="false"/>
                <w:sz w:val="18"/>
                <w:szCs w:val="18"/>
              </w:rPr>
              <w:t xml:space="preserve">Ransomware on policy admin system / file server</w:t>
            </w:r>
          </w:p>
        </w:tc>
        <w:tc>
          <w:tcPr>
            <w:tcW w:type="dxa" w:w="1600"/>
            <w:shd w:fill="F8CBAD" w:val="clear"/>
            <w:vAlign w:val="center"/>
          </w:tcPr>
          <w:p>
            <w:pPr>
              <w:jc w:val="center"/>
            </w:pPr>
            <w:r>
              <w:rPr>
                <w:rFonts w:ascii="Arial" w:cs="Arial" w:eastAsia="Arial" w:hAnsi="Arial"/>
                <w:b/>
                <w:bCs/>
                <w:sz w:val="18"/>
                <w:szCs w:val="18"/>
              </w:rPr>
              <w:t xml:space="preserve">12</w:t>
            </w:r>
          </w:p>
        </w:tc>
        <w:tc>
          <w:tcPr>
            <w:tcW w:type="dxa" w:w="1600"/>
            <w:shd w:fill="F8CBAD" w:val="clear"/>
            <w:vAlign w:val="center"/>
          </w:tcPr>
          <w:p>
            <w:pPr>
              <w:jc w:val="center"/>
            </w:pPr>
            <w:r>
              <w:rPr>
                <w:rFonts w:ascii="Arial" w:cs="Arial" w:eastAsia="Arial" w:hAnsi="Arial"/>
                <w:b/>
                <w:bCs/>
                <w:sz w:val="18"/>
                <w:szCs w:val="18"/>
              </w:rPr>
              <w:t xml:space="preserve">High</w:t>
            </w:r>
          </w:p>
        </w:tc>
        <w:tc>
          <w:tcPr>
            <w:tcW w:type="dxa" w:w="2500"/>
            <w:shd w:fill="FFFFFF" w:val="clear"/>
            <w:vAlign w:val="center"/>
          </w:tcPr>
          <w:p>
            <w:pPr>
              <w:jc w:val="left"/>
            </w:pPr>
            <w:r>
              <w:rPr>
                <w:rFonts w:ascii="Arial" w:cs="Arial" w:eastAsia="Arial" w:hAnsi="Arial"/>
                <w:b w:val="false"/>
                <w:bCs w:val="false"/>
                <w:sz w:val="18"/>
                <w:szCs w:val="18"/>
              </w:rPr>
              <w:t xml:space="preserve">IT Manager</w:t>
            </w:r>
          </w:p>
        </w:tc>
      </w:tr>
      <w:tr>
        <w:tc>
          <w:tcPr>
            <w:tcW w:type="dxa" w:w="900"/>
            <w:shd w:fill="F2F2F2" w:val="clear"/>
            <w:vAlign w:val="center"/>
          </w:tcPr>
          <w:p>
            <w:pPr>
              <w:jc w:val="center"/>
            </w:pPr>
            <w:r>
              <w:rPr>
                <w:rFonts w:ascii="Arial" w:cs="Arial" w:eastAsia="Arial" w:hAnsi="Arial"/>
                <w:b/>
                <w:bCs/>
                <w:sz w:val="18"/>
                <w:szCs w:val="18"/>
              </w:rPr>
              <w:t xml:space="preserve">R9</w:t>
            </w:r>
          </w:p>
        </w:tc>
        <w:tc>
          <w:tcPr>
            <w:tcW w:type="dxa" w:w="4200"/>
            <w:shd w:fill="F2F2F2" w:val="clear"/>
            <w:vAlign w:val="center"/>
          </w:tcPr>
          <w:p>
            <w:pPr>
              <w:jc w:val="left"/>
            </w:pPr>
            <w:r>
              <w:rPr>
                <w:rFonts w:ascii="Arial" w:cs="Arial" w:eastAsia="Arial" w:hAnsi="Arial"/>
                <w:b w:val="false"/>
                <w:bCs w:val="false"/>
                <w:sz w:val="18"/>
                <w:szCs w:val="18"/>
              </w:rPr>
              <w:t xml:space="preserve">Load shedding / power outage - no BCP</w:t>
            </w:r>
          </w:p>
        </w:tc>
        <w:tc>
          <w:tcPr>
            <w:tcW w:type="dxa" w:w="1600"/>
            <w:shd w:fill="F8CBAD" w:val="clear"/>
            <w:vAlign w:val="center"/>
          </w:tcPr>
          <w:p>
            <w:pPr>
              <w:jc w:val="center"/>
            </w:pPr>
            <w:r>
              <w:rPr>
                <w:rFonts w:ascii="Arial" w:cs="Arial" w:eastAsia="Arial" w:hAnsi="Arial"/>
                <w:b/>
                <w:bCs/>
                <w:sz w:val="18"/>
                <w:szCs w:val="18"/>
              </w:rPr>
              <w:t xml:space="preserve">12</w:t>
            </w:r>
          </w:p>
        </w:tc>
        <w:tc>
          <w:tcPr>
            <w:tcW w:type="dxa" w:w="1600"/>
            <w:shd w:fill="F8CBAD" w:val="clear"/>
            <w:vAlign w:val="center"/>
          </w:tcPr>
          <w:p>
            <w:pPr>
              <w:jc w:val="center"/>
            </w:pPr>
            <w:r>
              <w:rPr>
                <w:rFonts w:ascii="Arial" w:cs="Arial" w:eastAsia="Arial" w:hAnsi="Arial"/>
                <w:b/>
                <w:bCs/>
                <w:sz w:val="18"/>
                <w:szCs w:val="18"/>
              </w:rPr>
              <w:t xml:space="preserve">High</w:t>
            </w:r>
          </w:p>
        </w:tc>
        <w:tc>
          <w:tcPr>
            <w:tcW w:type="dxa" w:w="2500"/>
            <w:shd w:fill="F2F2F2" w:val="clear"/>
            <w:vAlign w:val="center"/>
          </w:tcPr>
          <w:p>
            <w:pPr>
              <w:jc w:val="left"/>
            </w:pPr>
            <w:r>
              <w:rPr>
                <w:rFonts w:ascii="Arial" w:cs="Arial" w:eastAsia="Arial" w:hAnsi="Arial"/>
                <w:b w:val="false"/>
                <w:bCs w:val="false"/>
                <w:sz w:val="18"/>
                <w:szCs w:val="18"/>
              </w:rPr>
              <w:t xml:space="preserve">Operations Manager</w:t>
            </w:r>
          </w:p>
        </w:tc>
      </w:tr>
      <w:tr>
        <w:tc>
          <w:tcPr>
            <w:tcW w:type="dxa" w:w="900"/>
            <w:shd w:fill="FFFFFF" w:val="clear"/>
            <w:vAlign w:val="center"/>
          </w:tcPr>
          <w:p>
            <w:pPr>
              <w:jc w:val="center"/>
            </w:pPr>
            <w:r>
              <w:rPr>
                <w:rFonts w:ascii="Arial" w:cs="Arial" w:eastAsia="Arial" w:hAnsi="Arial"/>
                <w:b/>
                <w:bCs/>
                <w:sz w:val="18"/>
                <w:szCs w:val="18"/>
              </w:rPr>
              <w:t xml:space="preserve">R6</w:t>
            </w:r>
          </w:p>
        </w:tc>
        <w:tc>
          <w:tcPr>
            <w:tcW w:type="dxa" w:w="4200"/>
            <w:shd w:fill="FFFFFF" w:val="clear"/>
            <w:vAlign w:val="center"/>
          </w:tcPr>
          <w:p>
            <w:pPr>
              <w:jc w:val="left"/>
            </w:pPr>
            <w:r>
              <w:rPr>
                <w:rFonts w:ascii="Arial" w:cs="Arial" w:eastAsia="Arial" w:hAnsi="Arial"/>
                <w:b w:val="false"/>
                <w:bCs w:val="false"/>
                <w:sz w:val="18"/>
                <w:szCs w:val="18"/>
              </w:rPr>
              <w:t xml:space="preserve">FAIS non-compliance - RE5/CPD not tracked</w:t>
            </w:r>
          </w:p>
        </w:tc>
        <w:tc>
          <w:tcPr>
            <w:tcW w:type="dxa" w:w="1600"/>
            <w:shd w:fill="F8CBAD" w:val="clear"/>
            <w:vAlign w:val="center"/>
          </w:tcPr>
          <w:p>
            <w:pPr>
              <w:jc w:val="center"/>
            </w:pPr>
            <w:r>
              <w:rPr>
                <w:rFonts w:ascii="Arial" w:cs="Arial" w:eastAsia="Arial" w:hAnsi="Arial"/>
                <w:b/>
                <w:bCs/>
                <w:sz w:val="18"/>
                <w:szCs w:val="18"/>
              </w:rPr>
              <w:t xml:space="preserve">12</w:t>
            </w:r>
          </w:p>
        </w:tc>
        <w:tc>
          <w:tcPr>
            <w:tcW w:type="dxa" w:w="1600"/>
            <w:shd w:fill="F8CBAD" w:val="clear"/>
            <w:vAlign w:val="center"/>
          </w:tcPr>
          <w:p>
            <w:pPr>
              <w:jc w:val="center"/>
            </w:pPr>
            <w:r>
              <w:rPr>
                <w:rFonts w:ascii="Arial" w:cs="Arial" w:eastAsia="Arial" w:hAnsi="Arial"/>
                <w:b/>
                <w:bCs/>
                <w:sz w:val="18"/>
                <w:szCs w:val="18"/>
              </w:rPr>
              <w:t xml:space="preserve">High</w:t>
            </w:r>
          </w:p>
        </w:tc>
        <w:tc>
          <w:tcPr>
            <w:tcW w:type="dxa" w:w="2500"/>
            <w:shd w:fill="FFFFFF" w:val="clear"/>
            <w:vAlign w:val="center"/>
          </w:tcPr>
          <w:p>
            <w:pPr>
              <w:jc w:val="left"/>
            </w:pPr>
            <w:r>
              <w:rPr>
                <w:rFonts w:ascii="Arial" w:cs="Arial" w:eastAsia="Arial" w:hAnsi="Arial"/>
                <w:b w:val="false"/>
                <w:bCs w:val="false"/>
                <w:sz w:val="18"/>
                <w:szCs w:val="18"/>
              </w:rPr>
              <w:t xml:space="preserve">Compliance Officer</w:t>
            </w:r>
          </w:p>
        </w:tc>
      </w:tr>
    </w:tbl>
    <w:p>
      <w:pPr>
        <w:pStyle w:val="Heading1"/>
        <w:spacing w:after="100" w:before="200"/>
      </w:pPr>
      <w:r>
        <w:rPr>
          <w:rFonts w:ascii="Arial" w:cs="Arial" w:eastAsia="Arial" w:hAnsi="Arial"/>
          <w:b/>
          <w:bCs/>
          <w:color w:val="1F3864"/>
          <w:sz w:val="24"/>
          <w:szCs w:val="24"/>
        </w:rPr>
        <w:t xml:space="preserve">Recommended Priorities</w:t>
      </w:r>
    </w:p>
    <w:p>
      <w:pPr>
        <w:pStyle w:val="ListParagraph"/>
        <w:numPr>
          <w:ilvl w:val="0"/>
          <w:numId w:val="1"/>
        </w:numPr>
        <w:spacing w:after="60"/>
      </w:pPr>
      <w:r>
        <w:rPr>
          <w:rFonts w:ascii="Arial" w:cs="Arial" w:eastAsia="Arial" w:hAnsi="Arial"/>
          <w:sz w:val="20"/>
          <w:szCs w:val="20"/>
        </w:rPr>
        <w:t xml:space="preserve">Immediate (0-30 days): Enforce MFA across client-facing systems; begin drafting the POPIA data retention &amp; disposal policy; start CPD/RE5 tracking.</w:t>
      </w:r>
    </w:p>
    <w:p>
      <w:pPr>
        <w:pStyle w:val="ListParagraph"/>
        <w:numPr>
          <w:ilvl w:val="0"/>
          <w:numId w:val="1"/>
        </w:numPr>
        <w:spacing w:after="60"/>
      </w:pPr>
      <w:r>
        <w:rPr>
          <w:rFonts w:ascii="Arial" w:cs="Arial" w:eastAsia="Arial" w:hAnsi="Arial"/>
          <w:sz w:val="20"/>
          <w:szCs w:val="20"/>
        </w:rPr>
        <w:t xml:space="preserve">Short-term (30-90 days): Deploy endpoint protection and patch management; implement offsite backups; establish the Business Continuity Plan and UPS/generator coverage.</w:t>
      </w:r>
    </w:p>
    <w:p>
      <w:pPr>
        <w:pStyle w:val="ListParagraph"/>
        <w:numPr>
          <w:ilvl w:val="0"/>
          <w:numId w:val="1"/>
        </w:numPr>
        <w:spacing w:after="60"/>
      </w:pPr>
      <w:r>
        <w:rPr>
          <w:rFonts w:ascii="Arial" w:cs="Arial" w:eastAsia="Arial" w:hAnsi="Arial"/>
          <w:sz w:val="20"/>
          <w:szCs w:val="20"/>
        </w:rPr>
        <w:t xml:space="preserve">Ongoing: Quarterly review of the Risk Register and Treatment Plan by the Compliance Officer, with escalation of overdue actions to the Managing Director.</w:t>
      </w:r>
    </w:p>
    <w:p>
      <w:pPr>
        <w:pStyle w:val="Heading1"/>
        <w:spacing w:after="100" w:before="200"/>
      </w:pPr>
      <w:r>
        <w:rPr>
          <w:rFonts w:ascii="Arial" w:cs="Arial" w:eastAsia="Arial" w:hAnsi="Arial"/>
          <w:b/>
          <w:bCs/>
          <w:color w:val="1F3864"/>
          <w:sz w:val="24"/>
          <w:szCs w:val="24"/>
        </w:rPr>
        <w:t xml:space="preserve">Deliverables</w:t>
      </w:r>
    </w:p>
    <w:p>
      <w:pPr>
        <w:pStyle w:val="ListParagraph"/>
        <w:numPr>
          <w:ilvl w:val="0"/>
          <w:numId w:val="1"/>
        </w:numPr>
        <w:spacing w:after="60"/>
      </w:pPr>
      <w:r>
        <w:rPr>
          <w:rFonts w:ascii="Arial" w:cs="Arial" w:eastAsia="Arial" w:hAnsi="Arial"/>
          <w:sz w:val="20"/>
          <w:szCs w:val="20"/>
        </w:rPr>
        <w:t xml:space="preserve">Risk Register (Excel) - full asset/threat/vulnerability/risk/control detail with auto-calculating scores and ratings</w:t>
      </w:r>
    </w:p>
    <w:p>
      <w:pPr>
        <w:pStyle w:val="ListParagraph"/>
        <w:numPr>
          <w:ilvl w:val="0"/>
          <w:numId w:val="1"/>
        </w:numPr>
        <w:spacing w:after="60"/>
      </w:pPr>
      <w:r>
        <w:rPr>
          <w:rFonts w:ascii="Arial" w:cs="Arial" w:eastAsia="Arial" w:hAnsi="Arial"/>
          <w:sz w:val="20"/>
          <w:szCs w:val="20"/>
        </w:rPr>
        <w:t xml:space="preserve">Risk Matrix (Excel) - 5x5 heat map visualising all 14 risks by likelihood and impact</w:t>
      </w:r>
    </w:p>
    <w:p>
      <w:pPr>
        <w:pStyle w:val="ListParagraph"/>
        <w:numPr>
          <w:ilvl w:val="0"/>
          <w:numId w:val="1"/>
        </w:numPr>
        <w:spacing w:after="60"/>
      </w:pPr>
      <w:r>
        <w:rPr>
          <w:rFonts w:ascii="Arial" w:cs="Arial" w:eastAsia="Arial" w:hAnsi="Arial"/>
          <w:sz w:val="20"/>
          <w:szCs w:val="20"/>
        </w:rPr>
        <w:t xml:space="preserve">Risk Treatment Plan (Word) - treatment strategy, action items, owners, timeframes, and residual risk for each identified risk</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Happy Insurance Brokers —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2026-08-15T03:00:23.498Z</dcterms:created>
  <dcterms:modified xsi:type="dcterms:W3CDTF">2026-08-15T03:00:23.499Z</dcterms:modified>
</cp:coreProperties>
</file>

<file path=docProps/custom.xml><?xml version="1.0" encoding="utf-8"?>
<Properties xmlns="http://schemas.openxmlformats.org/officeDocument/2006/custom-properties" xmlns:vt="http://schemas.openxmlformats.org/officeDocument/2006/docPropsVTypes"/>
</file>