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32"/>
          <w:szCs w:val="32"/>
        </w:rPr>
        <w:t xml:space="preserve">KOPANO COMMUNITY HOSPITAL</w:t>
      </w:r>
    </w:p>
    <w:p>
      <w:pPr>
        <w:spacing w:before="200"/>
        <w:jc w:val="center"/>
      </w:pPr>
      <w:r>
        <w:rPr>
          <w:color w:val="595959"/>
          <w:sz w:val="22"/>
          <w:szCs w:val="22"/>
        </w:rPr>
        <w:t xml:space="preserve">Katlehong, Ekurhuleni, Gauteng</w:t>
      </w:r>
    </w:p>
    <w:p>
      <w:pPr>
        <w:spacing w:before="1200"/>
      </w:pPr>
    </w:p>
    <w:p>
      <w:pPr>
        <w:jc w:val="center"/>
      </w:pPr>
      <w:r>
        <w:rPr>
          <w:b/>
          <w:bCs/>
          <w:color w:val="1F3864"/>
          <w:sz w:val="40"/>
          <w:szCs w:val="40"/>
        </w:rPr>
        <w:t xml:space="preserve">Governance, Risk &amp; Compliance Charter</w:t>
      </w:r>
    </w:p>
    <w:p>
      <w:pPr>
        <w:spacing w:before="200"/>
        <w:jc w:val="center"/>
      </w:pPr>
      <w:r>
        <w:rPr>
          <w:color w:val="595959"/>
          <w:sz w:val="24"/>
          <w:szCs w:val="24"/>
        </w:rPr>
        <w:t xml:space="preserve">Establishing the mandate, structure, and responsibilities for information governance</w:t>
      </w:r>
    </w:p>
    <w:p>
      <w:pPr>
        <w:spacing w:before="1600"/>
      </w:pPr>
    </w:p>
    <w:p>
      <w:pPr>
        <w:jc w:val="center"/>
      </w:pPr>
      <w:r>
        <w:rPr>
          <w:color w:val="595959"/>
          <w:sz w:val="20"/>
          <w:szCs w:val="20"/>
        </w:rPr>
        <w:t xml:space="preserve">Document Reference: KCH-GOV-001, Version 1.0</w:t>
      </w:r>
    </w:p>
    <w:p>
      <w:pPr>
        <w:jc w:val="center"/>
      </w:pPr>
      <w:r>
        <w:rPr>
          <w:color w:val="595959"/>
          <w:sz w:val="20"/>
          <w:szCs w:val="20"/>
        </w:rPr>
        <w:t xml:space="preserve">Classification: Internal Use Only</w:t>
      </w:r>
    </w:p>
    <w:p>
      <w:pPr>
        <w:jc w:val="center"/>
      </w:pPr>
      <w:r>
        <w:rPr>
          <w:i/>
          <w:iCs/>
          <w:color w:val="595959"/>
          <w:sz w:val="20"/>
          <w:szCs w:val="20"/>
        </w:rPr>
        <w:t xml:space="preserve">Portfolio Project — Fictional Organisation</w:t>
      </w:r>
    </w:p>
    <w:p>
      <w:r>
        <w:br w:type="page"/>
      </w:r>
    </w:p>
    <w:p>
      <w:pPr>
        <w:pStyle w:val="Heading1"/>
        <w:spacing w:after="160" w:before="360"/>
      </w:pPr>
      <w:r>
        <w:t xml:space="preserve">1. Purpose and Scope</w:t>
      </w:r>
    </w:p>
    <w:p>
      <w:pPr>
        <w:spacing w:after="160"/>
      </w:pPr>
      <w:r>
        <w:t xml:space="preserve">This charter establishes the Governance, Risk and Compliance (GRC) framework for Kopano Community Hospital ("the Hospital"). It defines the governance structures, roles, and responsibilities that ensure information security, data privacy, and regulatory compliance are managed consistently across all clinical and administrative systems.</w:t>
      </w:r>
    </w:p>
    <w:p>
      <w:pPr>
        <w:spacing w:after="160"/>
      </w:pPr>
      <w:r>
        <w:t xml:space="preserve">The scope of this charter covers all information assets used in the delivery of patient care and hospital administration, including the Electronic Health Record (EHR), Picture Archiving and Communication System (PACS), Laboratory Information System (LIS), pharmacy dispensing system, networked biomedical devices, and supporting IT infrastructure.</w:t>
      </w:r>
    </w:p>
    <w:p>
      <w:pPr>
        <w:pStyle w:val="Heading1"/>
        <w:spacing w:after="160" w:before="360"/>
      </w:pPr>
      <w:r>
        <w:t xml:space="preserve">2. Governing Principles</w:t>
      </w:r>
    </w:p>
    <w:p>
      <w:pPr>
        <w:pStyle w:val="ListParagraph"/>
        <w:numPr>
          <w:ilvl w:val="0"/>
          <w:numId w:val="1"/>
        </w:numPr>
        <w:spacing w:after="80"/>
      </w:pPr>
      <w:r>
        <w:t xml:space="preserve">Patient safety and continuity of care take precedence in any security or compliance decision that could affect clinical operations.</w:t>
      </w:r>
    </w:p>
    <w:p>
      <w:pPr>
        <w:pStyle w:val="ListParagraph"/>
        <w:numPr>
          <w:ilvl w:val="0"/>
          <w:numId w:val="1"/>
        </w:numPr>
        <w:spacing w:after="80"/>
      </w:pPr>
      <w:r>
        <w:t xml:space="preserve">Patient health information is treated as special personal information under the Protection of Personal Information Act (POPIA), warranting the highest standard of care.</w:t>
      </w:r>
    </w:p>
    <w:p>
      <w:pPr>
        <w:pStyle w:val="ListParagraph"/>
        <w:numPr>
          <w:ilvl w:val="0"/>
          <w:numId w:val="1"/>
        </w:numPr>
        <w:spacing w:after="80"/>
      </w:pPr>
      <w:r>
        <w:t xml:space="preserve">Information security controls follow the ISO/IEC 27001:2022 framework, adapted to the operating constraints of a public community hospital.</w:t>
      </w:r>
    </w:p>
    <w:p>
      <w:pPr>
        <w:pStyle w:val="ListParagraph"/>
        <w:numPr>
          <w:ilvl w:val="0"/>
          <w:numId w:val="1"/>
        </w:numPr>
        <w:spacing w:after="80"/>
      </w:pPr>
      <w:r>
        <w:t xml:space="preserve">Risk decisions are made transparently, documented in the Risk Register, and owned by a named individual — not a committee alone.</w:t>
      </w:r>
    </w:p>
    <w:p>
      <w:pPr>
        <w:pStyle w:val="ListParagraph"/>
        <w:numPr>
          <w:ilvl w:val="0"/>
          <w:numId w:val="1"/>
        </w:numPr>
        <w:spacing w:after="80"/>
      </w:pPr>
      <w:r>
        <w:t xml:space="preserve">Compliance obligations under POPIA, the National Health Act, HPCSA guidance, and (for connected medical devices) SAHPRA requirements are reviewed at least annually.</w:t>
      </w:r>
    </w:p>
    <w:p>
      <w:pPr>
        <w:pStyle w:val="Heading1"/>
        <w:spacing w:after="160" w:before="360"/>
      </w:pPr>
      <w:r>
        <w:t xml:space="preserve">3. Governance Structure</w:t>
      </w:r>
    </w:p>
    <w:p>
      <w:pPr>
        <w:pStyle w:val="Heading2"/>
        <w:spacing w:after="120" w:before="280"/>
      </w:pPr>
      <w:r>
        <w:t xml:space="preserve">3.1 Hospital Information Governance Committee (HIGC)</w:t>
      </w:r>
    </w:p>
    <w:p>
      <w:pPr>
        <w:spacing w:after="160"/>
      </w:pPr>
      <w:r>
        <w:t xml:space="preserve">The HIGC is the senior body accountable for information governance at the Hospital. It meets quarterly, or urgently following a significant incident, and reports to the Hospital Chief Executive Officer (CEO).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rPr>
              <w:t xml:space="preserve">Role</w:t>
            </w:r>
          </w:p>
        </w:tc>
        <w:tc>
          <w:tcPr>
            <w:tcW w:type="dxa" w:w="6300"/>
            <w:shd w:fill="1F3864" w:val="clear"/>
            <w:tcMar>
              <w:top w:type="dxa" w:w="80"/>
              <w:left w:type="dxa" w:w="100"/>
              <w:bottom w:type="dxa" w:w="80"/>
              <w:right w:type="dxa" w:w="100"/>
            </w:tcMar>
            <w:vAlign w:val="center"/>
          </w:tcPr>
          <w:p>
            <w:pPr>
              <w:jc w:val="center"/>
            </w:pPr>
            <w:r>
              <w:rPr>
                <w:b/>
                <w:bCs/>
                <w:color w:val="FFFFFF"/>
              </w:rPr>
              <w:t xml:space="preserve">Committee Function</w:t>
            </w:r>
          </w:p>
        </w:tc>
      </w:tr>
      <w:tr>
        <w:tc>
          <w:tcPr>
            <w:tcW w:type="dxa" w:w="3200"/>
            <w:tcMar>
              <w:top w:type="dxa" w:w="80"/>
              <w:left w:type="dxa" w:w="100"/>
              <w:bottom w:type="dxa" w:w="80"/>
              <w:right w:type="dxa" w:w="100"/>
            </w:tcMar>
            <w:vAlign w:val="center"/>
          </w:tcPr>
          <w:p>
            <w:pPr>
              <w:jc w:val="left"/>
            </w:pPr>
            <w:r>
              <w:rPr>
                <w:b w:val="false"/>
                <w:bCs w:val="false"/>
                <w:color w:val="000000"/>
              </w:rPr>
              <w:t xml:space="preserve">Hospital CEO (Chair)</w:t>
            </w:r>
          </w:p>
        </w:tc>
        <w:tc>
          <w:tcPr>
            <w:tcW w:type="dxa" w:w="6300"/>
            <w:tcMar>
              <w:top w:type="dxa" w:w="80"/>
              <w:left w:type="dxa" w:w="100"/>
              <w:bottom w:type="dxa" w:w="80"/>
              <w:right w:type="dxa" w:w="100"/>
            </w:tcMar>
            <w:vAlign w:val="center"/>
          </w:tcPr>
          <w:p>
            <w:pPr>
              <w:jc w:val="left"/>
            </w:pPr>
            <w:r>
              <w:rPr>
                <w:b w:val="false"/>
                <w:bCs w:val="false"/>
                <w:color w:val="000000"/>
              </w:rPr>
              <w:t xml:space="preserve">Accountable officer; approves policy and resourcing for GRC initiatives</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Chief Information Officer (CIO)</w:t>
            </w:r>
          </w:p>
        </w:tc>
        <w:tc>
          <w:tcPr>
            <w:tcW w:type="dxa" w:w="6300"/>
            <w:shd w:fill="F2F2F2" w:val="clear"/>
            <w:tcMar>
              <w:top w:type="dxa" w:w="80"/>
              <w:left w:type="dxa" w:w="100"/>
              <w:bottom w:type="dxa" w:w="80"/>
              <w:right w:type="dxa" w:w="100"/>
            </w:tcMar>
            <w:vAlign w:val="center"/>
          </w:tcPr>
          <w:p>
            <w:pPr>
              <w:jc w:val="left"/>
            </w:pPr>
            <w:r>
              <w:rPr>
                <w:b w:val="false"/>
                <w:bCs w:val="false"/>
                <w:color w:val="000000"/>
              </w:rPr>
              <w:t xml:space="preserve">Owns the overall IT and information security strategy</w:t>
            </w:r>
          </w:p>
        </w:tc>
      </w:tr>
      <w:tr>
        <w:tc>
          <w:tcPr>
            <w:tcW w:type="dxa" w:w="3200"/>
            <w:tcMar>
              <w:top w:type="dxa" w:w="80"/>
              <w:left w:type="dxa" w:w="100"/>
              <w:bottom w:type="dxa" w:w="80"/>
              <w:right w:type="dxa" w:w="100"/>
            </w:tcMar>
            <w:vAlign w:val="center"/>
          </w:tcPr>
          <w:p>
            <w:pPr>
              <w:jc w:val="left"/>
            </w:pPr>
            <w:r>
              <w:rPr>
                <w:b w:val="false"/>
                <w:bCs w:val="false"/>
                <w:color w:val="000000"/>
              </w:rPr>
              <w:t xml:space="preserve">Information Officer (POPIA)</w:t>
            </w:r>
          </w:p>
        </w:tc>
        <w:tc>
          <w:tcPr>
            <w:tcW w:type="dxa" w:w="6300"/>
            <w:tcMar>
              <w:top w:type="dxa" w:w="80"/>
              <w:left w:type="dxa" w:w="100"/>
              <w:bottom w:type="dxa" w:w="80"/>
              <w:right w:type="dxa" w:w="100"/>
            </w:tcMar>
            <w:vAlign w:val="center"/>
          </w:tcPr>
          <w:p>
            <w:pPr>
              <w:jc w:val="left"/>
            </w:pPr>
            <w:r>
              <w:rPr>
                <w:b w:val="false"/>
                <w:bCs w:val="false"/>
                <w:color w:val="000000"/>
              </w:rPr>
              <w:t xml:space="preserve">Statutory role; oversees POPIA compliance and breach response</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Clinical Governance Lead</w:t>
            </w:r>
          </w:p>
        </w:tc>
        <w:tc>
          <w:tcPr>
            <w:tcW w:type="dxa" w:w="6300"/>
            <w:shd w:fill="F2F2F2" w:val="clear"/>
            <w:tcMar>
              <w:top w:type="dxa" w:w="80"/>
              <w:left w:type="dxa" w:w="100"/>
              <w:bottom w:type="dxa" w:w="80"/>
              <w:right w:type="dxa" w:w="100"/>
            </w:tcMar>
            <w:vAlign w:val="center"/>
          </w:tcPr>
          <w:p>
            <w:pPr>
              <w:jc w:val="left"/>
            </w:pPr>
            <w:r>
              <w:rPr>
                <w:b w:val="false"/>
                <w:bCs w:val="false"/>
                <w:color w:val="000000"/>
              </w:rPr>
              <w:t xml:space="preserve">Represents patient safety and clinical workflow impact</w:t>
            </w:r>
          </w:p>
        </w:tc>
      </w:tr>
      <w:tr>
        <w:tc>
          <w:tcPr>
            <w:tcW w:type="dxa" w:w="3200"/>
            <w:tcMar>
              <w:top w:type="dxa" w:w="80"/>
              <w:left w:type="dxa" w:w="100"/>
              <w:bottom w:type="dxa" w:w="80"/>
              <w:right w:type="dxa" w:w="100"/>
            </w:tcMar>
            <w:vAlign w:val="center"/>
          </w:tcPr>
          <w:p>
            <w:pPr>
              <w:jc w:val="left"/>
            </w:pPr>
            <w:r>
              <w:rPr>
                <w:b w:val="false"/>
                <w:bCs w:val="false"/>
                <w:color w:val="000000"/>
              </w:rPr>
              <w:t xml:space="preserve">IT Manager</w:t>
            </w:r>
          </w:p>
        </w:tc>
        <w:tc>
          <w:tcPr>
            <w:tcW w:type="dxa" w:w="6300"/>
            <w:tcMar>
              <w:top w:type="dxa" w:w="80"/>
              <w:left w:type="dxa" w:w="100"/>
              <w:bottom w:type="dxa" w:w="80"/>
              <w:right w:type="dxa" w:w="100"/>
            </w:tcMar>
            <w:vAlign w:val="center"/>
          </w:tcPr>
          <w:p>
            <w:pPr>
              <w:jc w:val="left"/>
            </w:pPr>
            <w:r>
              <w:rPr>
                <w:b w:val="false"/>
                <w:bCs w:val="false"/>
                <w:color w:val="000000"/>
              </w:rPr>
              <w:t xml:space="preserve">Operational owner of technical controls and system administration</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Biomedical Engineering Lead</w:t>
            </w:r>
          </w:p>
        </w:tc>
        <w:tc>
          <w:tcPr>
            <w:tcW w:type="dxa" w:w="6300"/>
            <w:shd w:fill="F2F2F2" w:val="clear"/>
            <w:tcMar>
              <w:top w:type="dxa" w:w="80"/>
              <w:left w:type="dxa" w:w="100"/>
              <w:bottom w:type="dxa" w:w="80"/>
              <w:right w:type="dxa" w:w="100"/>
            </w:tcMar>
            <w:vAlign w:val="center"/>
          </w:tcPr>
          <w:p>
            <w:pPr>
              <w:jc w:val="left"/>
            </w:pPr>
            <w:r>
              <w:rPr>
                <w:b w:val="false"/>
                <w:bCs w:val="false"/>
                <w:color w:val="000000"/>
              </w:rPr>
              <w:t xml:space="preserve">Owns the medical device asset register and device security</w:t>
            </w:r>
          </w:p>
        </w:tc>
      </w:tr>
      <w:tr>
        <w:tc>
          <w:tcPr>
            <w:tcW w:type="dxa" w:w="3200"/>
            <w:tcMar>
              <w:top w:type="dxa" w:w="80"/>
              <w:left w:type="dxa" w:w="100"/>
              <w:bottom w:type="dxa" w:w="80"/>
              <w:right w:type="dxa" w:w="100"/>
            </w:tcMar>
            <w:vAlign w:val="center"/>
          </w:tcPr>
          <w:p>
            <w:pPr>
              <w:jc w:val="left"/>
            </w:pPr>
            <w:r>
              <w:rPr>
                <w:b w:val="false"/>
                <w:bCs w:val="false"/>
                <w:color w:val="000000"/>
              </w:rPr>
              <w:t xml:space="preserve">Facilities Manager</w:t>
            </w:r>
          </w:p>
        </w:tc>
        <w:tc>
          <w:tcPr>
            <w:tcW w:type="dxa" w:w="6300"/>
            <w:tcMar>
              <w:top w:type="dxa" w:w="80"/>
              <w:left w:type="dxa" w:w="100"/>
              <w:bottom w:type="dxa" w:w="80"/>
              <w:right w:type="dxa" w:w="100"/>
            </w:tcMar>
            <w:vAlign w:val="center"/>
          </w:tcPr>
          <w:p>
            <w:pPr>
              <w:jc w:val="left"/>
            </w:pPr>
            <w:r>
              <w:rPr>
                <w:b w:val="false"/>
                <w:bCs w:val="false"/>
                <w:color w:val="000000"/>
              </w:rPr>
              <w:t xml:space="preserve">Owns physical security and business continuity infrastructure</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HR Manager</w:t>
            </w:r>
          </w:p>
        </w:tc>
        <w:tc>
          <w:tcPr>
            <w:tcW w:type="dxa" w:w="6300"/>
            <w:shd w:fill="F2F2F2" w:val="clear"/>
            <w:tcMar>
              <w:top w:type="dxa" w:w="80"/>
              <w:left w:type="dxa" w:w="100"/>
              <w:bottom w:type="dxa" w:w="80"/>
              <w:right w:type="dxa" w:w="100"/>
            </w:tcMar>
            <w:vAlign w:val="center"/>
          </w:tcPr>
          <w:p>
            <w:pPr>
              <w:jc w:val="left"/>
            </w:pPr>
            <w:r>
              <w:rPr>
                <w:b w:val="false"/>
                <w:bCs w:val="false"/>
                <w:color w:val="000000"/>
              </w:rPr>
              <w:t xml:space="preserve">Owns staff onboarding, confidentiality undertakings, and disciplinary process</w:t>
            </w:r>
          </w:p>
        </w:tc>
      </w:tr>
    </w:tbl>
    <w:p>
      <w:pPr>
        <w:pStyle w:val="Heading2"/>
        <w:spacing w:after="120" w:before="280"/>
      </w:pPr>
      <w:r>
        <w:t xml:space="preserve">3.2 Meeting Cadence and Reporting</w:t>
      </w:r>
    </w:p>
    <w:p>
      <w:pPr>
        <w:pStyle w:val="ListParagraph"/>
        <w:numPr>
          <w:ilvl w:val="0"/>
          <w:numId w:val="1"/>
        </w:numPr>
        <w:spacing w:after="80"/>
      </w:pPr>
      <w:r>
        <w:t xml:space="preserve">Quarterly HIGC meeting reviewing the Risk Register, ISO 27001 Gap Assessment progress, and open POPIA actions.</w:t>
      </w:r>
    </w:p>
    <w:p>
      <w:pPr>
        <w:pStyle w:val="ListParagraph"/>
        <w:numPr>
          <w:ilvl w:val="0"/>
          <w:numId w:val="1"/>
        </w:numPr>
        <w:spacing w:after="80"/>
      </w:pPr>
      <w:r>
        <w:t xml:space="preserve">Monthly IT/Information Security operational review between the CIO, IT Manager, and Information Officer.</w:t>
      </w:r>
    </w:p>
    <w:p>
      <w:pPr>
        <w:pStyle w:val="ListParagraph"/>
        <w:numPr>
          <w:ilvl w:val="0"/>
          <w:numId w:val="1"/>
        </w:numPr>
        <w:spacing w:after="80"/>
      </w:pPr>
      <w:r>
        <w:t xml:space="preserve">Annual report to the Hospital Board summarising the state of information governance, incidents, and audit findings.</w:t>
      </w:r>
    </w:p>
    <w:p>
      <w:pPr>
        <w:pStyle w:val="ListParagraph"/>
        <w:numPr>
          <w:ilvl w:val="0"/>
          <w:numId w:val="1"/>
        </w:numPr>
        <w:spacing w:after="80"/>
      </w:pPr>
      <w:r>
        <w:t xml:space="preserve">Immediate escalation to the CEO and Information Officer for any suspected personal information breach, per the Incident Response Playbook.</w:t>
      </w:r>
    </w:p>
    <w:p>
      <w:pPr>
        <w:pStyle w:val="Heading1"/>
        <w:spacing w:after="160" w:before="360"/>
      </w:pPr>
      <w:r>
        <w:t xml:space="preserve">4. Roles and Responsibilities (RACI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2100"/>
        <w:gridCol w:w="1400"/>
      </w:tblGrid>
      <w:tr>
        <w:trPr>
          <w:tblHeader/>
        </w:trPr>
        <w:tc>
          <w:tcPr>
            <w:tcW w:type="dxa" w:w="2600"/>
            <w:shd w:fill="1F3864" w:val="clear"/>
            <w:tcMar>
              <w:top w:type="dxa" w:w="80"/>
              <w:left w:type="dxa" w:w="100"/>
              <w:bottom w:type="dxa" w:w="80"/>
              <w:right w:type="dxa" w:w="100"/>
            </w:tcMar>
            <w:vAlign w:val="center"/>
          </w:tcPr>
          <w:p>
            <w:pPr>
              <w:jc w:val="center"/>
            </w:pPr>
            <w:r>
              <w:rPr>
                <w:b/>
                <w:bCs/>
                <w:color w:val="FFFFFF"/>
              </w:rPr>
              <w:t xml:space="preserve">Activity</w:t>
            </w:r>
          </w:p>
        </w:tc>
        <w:tc>
          <w:tcPr>
            <w:tcW w:type="dxa" w:w="1800"/>
            <w:shd w:fill="1F3864" w:val="clear"/>
            <w:tcMar>
              <w:top w:type="dxa" w:w="80"/>
              <w:left w:type="dxa" w:w="100"/>
              <w:bottom w:type="dxa" w:w="80"/>
              <w:right w:type="dxa" w:w="100"/>
            </w:tcMar>
            <w:vAlign w:val="center"/>
          </w:tcPr>
          <w:p>
            <w:pPr>
              <w:jc w:val="center"/>
            </w:pPr>
            <w:r>
              <w:rPr>
                <w:b/>
                <w:bCs/>
                <w:color w:val="FFFFFF"/>
              </w:rPr>
              <w:t xml:space="preserve">Responsible</w:t>
            </w:r>
          </w:p>
        </w:tc>
        <w:tc>
          <w:tcPr>
            <w:tcW w:type="dxa" w:w="1600"/>
            <w:shd w:fill="1F3864" w:val="clear"/>
            <w:tcMar>
              <w:top w:type="dxa" w:w="80"/>
              <w:left w:type="dxa" w:w="100"/>
              <w:bottom w:type="dxa" w:w="80"/>
              <w:right w:type="dxa" w:w="100"/>
            </w:tcMar>
            <w:vAlign w:val="center"/>
          </w:tcPr>
          <w:p>
            <w:pPr>
              <w:jc w:val="center"/>
            </w:pPr>
            <w:r>
              <w:rPr>
                <w:b/>
                <w:bCs/>
                <w:color w:val="FFFFFF"/>
              </w:rPr>
              <w:t xml:space="preserve">Accountable</w:t>
            </w:r>
          </w:p>
        </w:tc>
        <w:tc>
          <w:tcPr>
            <w:tcW w:type="dxa" w:w="2100"/>
            <w:shd w:fill="1F3864" w:val="clear"/>
            <w:tcMar>
              <w:top w:type="dxa" w:w="80"/>
              <w:left w:type="dxa" w:w="100"/>
              <w:bottom w:type="dxa" w:w="80"/>
              <w:right w:type="dxa" w:w="100"/>
            </w:tcMar>
            <w:vAlign w:val="center"/>
          </w:tcPr>
          <w:p>
            <w:pPr>
              <w:jc w:val="center"/>
            </w:pPr>
            <w:r>
              <w:rPr>
                <w:b/>
                <w:bCs/>
                <w:color w:val="FFFFFF"/>
              </w:rPr>
              <w:t xml:space="preserve">Consulted</w:t>
            </w:r>
          </w:p>
        </w:tc>
        <w:tc>
          <w:tcPr>
            <w:tcW w:type="dxa" w:w="1400"/>
            <w:shd w:fill="1F3864" w:val="clear"/>
            <w:tcMar>
              <w:top w:type="dxa" w:w="80"/>
              <w:left w:type="dxa" w:w="100"/>
              <w:bottom w:type="dxa" w:w="80"/>
              <w:right w:type="dxa" w:w="100"/>
            </w:tcMar>
            <w:vAlign w:val="center"/>
          </w:tcPr>
          <w:p>
            <w:pPr>
              <w:jc w:val="center"/>
            </w:pPr>
            <w:r>
              <w:rPr>
                <w:b/>
                <w:bCs/>
                <w:color w:val="FFFFFF"/>
              </w:rPr>
              <w:t xml:space="preserve">Informed</w:t>
            </w:r>
          </w:p>
        </w:tc>
      </w:tr>
      <w:tr>
        <w:tc>
          <w:tcPr>
            <w:tcW w:type="dxa" w:w="2600"/>
            <w:tcMar>
              <w:top w:type="dxa" w:w="80"/>
              <w:left w:type="dxa" w:w="100"/>
              <w:bottom w:type="dxa" w:w="80"/>
              <w:right w:type="dxa" w:w="100"/>
            </w:tcMar>
            <w:vAlign w:val="center"/>
          </w:tcPr>
          <w:p>
            <w:pPr>
              <w:jc w:val="left"/>
            </w:pPr>
            <w:r>
              <w:rPr>
                <w:b w:val="false"/>
                <w:bCs w:val="false"/>
                <w:color w:val="000000"/>
              </w:rPr>
              <w:t xml:space="preserve">Risk Register maintenance</w:t>
            </w:r>
          </w:p>
        </w:tc>
        <w:tc>
          <w:tcPr>
            <w:tcW w:type="dxa" w:w="1800"/>
            <w:tcMar>
              <w:top w:type="dxa" w:w="80"/>
              <w:left w:type="dxa" w:w="100"/>
              <w:bottom w:type="dxa" w:w="80"/>
              <w:right w:type="dxa" w:w="100"/>
            </w:tcMar>
            <w:vAlign w:val="center"/>
          </w:tcPr>
          <w:p>
            <w:pPr>
              <w:jc w:val="left"/>
            </w:pPr>
            <w:r>
              <w:rPr>
                <w:b w:val="false"/>
                <w:bCs w:val="false"/>
                <w:color w:val="000000"/>
              </w:rPr>
              <w:t xml:space="preserve">IT Manager</w:t>
            </w:r>
          </w:p>
        </w:tc>
        <w:tc>
          <w:tcPr>
            <w:tcW w:type="dxa" w:w="1600"/>
            <w:tcMar>
              <w:top w:type="dxa" w:w="80"/>
              <w:left w:type="dxa" w:w="100"/>
              <w:bottom w:type="dxa" w:w="80"/>
              <w:right w:type="dxa" w:w="100"/>
            </w:tcMar>
            <w:vAlign w:val="center"/>
          </w:tcPr>
          <w:p>
            <w:pPr>
              <w:jc w:val="left"/>
            </w:pPr>
            <w:r>
              <w:rPr>
                <w:b w:val="false"/>
                <w:bCs w:val="false"/>
                <w:color w:val="000000"/>
              </w:rPr>
              <w:t xml:space="preserve">CIO</w:t>
            </w:r>
          </w:p>
        </w:tc>
        <w:tc>
          <w:tcPr>
            <w:tcW w:type="dxa" w:w="2100"/>
            <w:tcMar>
              <w:top w:type="dxa" w:w="80"/>
              <w:left w:type="dxa" w:w="100"/>
              <w:bottom w:type="dxa" w:w="80"/>
              <w:right w:type="dxa" w:w="100"/>
            </w:tcMar>
            <w:vAlign w:val="center"/>
          </w:tcPr>
          <w:p>
            <w:pPr>
              <w:jc w:val="left"/>
            </w:pPr>
            <w:r>
              <w:rPr>
                <w:b w:val="false"/>
                <w:bCs w:val="false"/>
                <w:color w:val="000000"/>
              </w:rPr>
              <w:t xml:space="preserve">Risk Owners</w:t>
            </w:r>
          </w:p>
        </w:tc>
        <w:tc>
          <w:tcPr>
            <w:tcW w:type="dxa" w:w="1400"/>
            <w:tcMar>
              <w:top w:type="dxa" w:w="80"/>
              <w:left w:type="dxa" w:w="100"/>
              <w:bottom w:type="dxa" w:w="80"/>
              <w:right w:type="dxa" w:w="100"/>
            </w:tcMar>
            <w:vAlign w:val="center"/>
          </w:tcPr>
          <w:p>
            <w:pPr>
              <w:jc w:val="left"/>
            </w:pPr>
            <w:r>
              <w:rPr>
                <w:b w:val="false"/>
                <w:bCs w:val="false"/>
                <w:color w:val="000000"/>
              </w:rPr>
              <w:t xml:space="preserve">HIGC</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POPIA compliance &amp; breach response</w:t>
            </w:r>
          </w:p>
        </w:tc>
        <w:tc>
          <w:tcPr>
            <w:tcW w:type="dxa" w:w="1800"/>
            <w:shd w:fill="F2F2F2" w:val="clear"/>
            <w:tcMar>
              <w:top w:type="dxa" w:w="80"/>
              <w:left w:type="dxa" w:w="100"/>
              <w:bottom w:type="dxa" w:w="80"/>
              <w:right w:type="dxa" w:w="100"/>
            </w:tcMar>
            <w:vAlign w:val="center"/>
          </w:tcPr>
          <w:p>
            <w:pPr>
              <w:jc w:val="left"/>
            </w:pPr>
            <w:r>
              <w:rPr>
                <w:b w:val="false"/>
                <w:bCs w:val="false"/>
                <w:color w:val="000000"/>
              </w:rPr>
              <w:t xml:space="preserve">Information Officer</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CEO</w:t>
            </w:r>
          </w:p>
        </w:tc>
        <w:tc>
          <w:tcPr>
            <w:tcW w:type="dxa" w:w="2100"/>
            <w:shd w:fill="F2F2F2" w:val="clear"/>
            <w:tcMar>
              <w:top w:type="dxa" w:w="80"/>
              <w:left w:type="dxa" w:w="100"/>
              <w:bottom w:type="dxa" w:w="80"/>
              <w:right w:type="dxa" w:w="100"/>
            </w:tcMar>
            <w:vAlign w:val="center"/>
          </w:tcPr>
          <w:p>
            <w:pPr>
              <w:jc w:val="left"/>
            </w:pPr>
            <w:r>
              <w:rPr>
                <w:b w:val="false"/>
                <w:bCs w:val="false"/>
                <w:color w:val="000000"/>
              </w:rPr>
              <w:t xml:space="preserve">Legal, IT Manager</w:t>
            </w:r>
          </w:p>
        </w:tc>
        <w:tc>
          <w:tcPr>
            <w:tcW w:type="dxa" w:w="1400"/>
            <w:shd w:fill="F2F2F2" w:val="clear"/>
            <w:tcMar>
              <w:top w:type="dxa" w:w="80"/>
              <w:left w:type="dxa" w:w="100"/>
              <w:bottom w:type="dxa" w:w="80"/>
              <w:right w:type="dxa" w:w="100"/>
            </w:tcMar>
            <w:vAlign w:val="center"/>
          </w:tcPr>
          <w:p>
            <w:pPr>
              <w:jc w:val="left"/>
            </w:pPr>
            <w:r>
              <w:rPr>
                <w:b w:val="false"/>
                <w:bCs w:val="false"/>
                <w:color w:val="000000"/>
              </w:rPr>
              <w:t xml:space="preserve">HIGC, Information Regulator</w:t>
            </w:r>
          </w:p>
        </w:tc>
      </w:tr>
      <w:tr>
        <w:tc>
          <w:tcPr>
            <w:tcW w:type="dxa" w:w="2600"/>
            <w:tcMar>
              <w:top w:type="dxa" w:w="80"/>
              <w:left w:type="dxa" w:w="100"/>
              <w:bottom w:type="dxa" w:w="80"/>
              <w:right w:type="dxa" w:w="100"/>
            </w:tcMar>
            <w:vAlign w:val="center"/>
          </w:tcPr>
          <w:p>
            <w:pPr>
              <w:jc w:val="left"/>
            </w:pPr>
            <w:r>
              <w:rPr>
                <w:b w:val="false"/>
                <w:bCs w:val="false"/>
                <w:color w:val="000000"/>
              </w:rPr>
              <w:t xml:space="preserve">ISO 27001 control implementation</w:t>
            </w:r>
          </w:p>
        </w:tc>
        <w:tc>
          <w:tcPr>
            <w:tcW w:type="dxa" w:w="1800"/>
            <w:tcMar>
              <w:top w:type="dxa" w:w="80"/>
              <w:left w:type="dxa" w:w="100"/>
              <w:bottom w:type="dxa" w:w="80"/>
              <w:right w:type="dxa" w:w="100"/>
            </w:tcMar>
            <w:vAlign w:val="center"/>
          </w:tcPr>
          <w:p>
            <w:pPr>
              <w:jc w:val="left"/>
            </w:pPr>
            <w:r>
              <w:rPr>
                <w:b w:val="false"/>
                <w:bCs w:val="false"/>
                <w:color w:val="000000"/>
              </w:rPr>
              <w:t xml:space="preserve">IT Manager</w:t>
            </w:r>
          </w:p>
        </w:tc>
        <w:tc>
          <w:tcPr>
            <w:tcW w:type="dxa" w:w="1600"/>
            <w:tcMar>
              <w:top w:type="dxa" w:w="80"/>
              <w:left w:type="dxa" w:w="100"/>
              <w:bottom w:type="dxa" w:w="80"/>
              <w:right w:type="dxa" w:w="100"/>
            </w:tcMar>
            <w:vAlign w:val="center"/>
          </w:tcPr>
          <w:p>
            <w:pPr>
              <w:jc w:val="left"/>
            </w:pPr>
            <w:r>
              <w:rPr>
                <w:b w:val="false"/>
                <w:bCs w:val="false"/>
                <w:color w:val="000000"/>
              </w:rPr>
              <w:t xml:space="preserve">CIO</w:t>
            </w:r>
          </w:p>
        </w:tc>
        <w:tc>
          <w:tcPr>
            <w:tcW w:type="dxa" w:w="2100"/>
            <w:tcMar>
              <w:top w:type="dxa" w:w="80"/>
              <w:left w:type="dxa" w:w="100"/>
              <w:bottom w:type="dxa" w:w="80"/>
              <w:right w:type="dxa" w:w="100"/>
            </w:tcMar>
            <w:vAlign w:val="center"/>
          </w:tcPr>
          <w:p>
            <w:pPr>
              <w:jc w:val="left"/>
            </w:pPr>
            <w:r>
              <w:rPr>
                <w:b w:val="false"/>
                <w:bCs w:val="false"/>
                <w:color w:val="000000"/>
              </w:rPr>
              <w:t xml:space="preserve">Biomedical Eng., Facilities</w:t>
            </w:r>
          </w:p>
        </w:tc>
        <w:tc>
          <w:tcPr>
            <w:tcW w:type="dxa" w:w="1400"/>
            <w:tcMar>
              <w:top w:type="dxa" w:w="80"/>
              <w:left w:type="dxa" w:w="100"/>
              <w:bottom w:type="dxa" w:w="80"/>
              <w:right w:type="dxa" w:w="100"/>
            </w:tcMar>
            <w:vAlign w:val="center"/>
          </w:tcPr>
          <w:p>
            <w:pPr>
              <w:jc w:val="left"/>
            </w:pPr>
            <w:r>
              <w:rPr>
                <w:b w:val="false"/>
                <w:bCs w:val="false"/>
                <w:color w:val="000000"/>
              </w:rPr>
              <w:t xml:space="preserve">HIGC</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Incident response execution</w:t>
            </w:r>
          </w:p>
        </w:tc>
        <w:tc>
          <w:tcPr>
            <w:tcW w:type="dxa" w:w="1800"/>
            <w:shd w:fill="F2F2F2" w:val="clear"/>
            <w:tcMar>
              <w:top w:type="dxa" w:w="80"/>
              <w:left w:type="dxa" w:w="100"/>
              <w:bottom w:type="dxa" w:w="80"/>
              <w:right w:type="dxa" w:w="100"/>
            </w:tcMar>
            <w:vAlign w:val="center"/>
          </w:tcPr>
          <w:p>
            <w:pPr>
              <w:jc w:val="left"/>
            </w:pPr>
            <w:r>
              <w:rPr>
                <w:b w:val="false"/>
                <w:bCs w:val="false"/>
                <w:color w:val="000000"/>
              </w:rPr>
              <w:t xml:space="preserve">IT Manager</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CIO</w:t>
            </w:r>
          </w:p>
        </w:tc>
        <w:tc>
          <w:tcPr>
            <w:tcW w:type="dxa" w:w="2100"/>
            <w:shd w:fill="F2F2F2" w:val="clear"/>
            <w:tcMar>
              <w:top w:type="dxa" w:w="80"/>
              <w:left w:type="dxa" w:w="100"/>
              <w:bottom w:type="dxa" w:w="80"/>
              <w:right w:type="dxa" w:w="100"/>
            </w:tcMar>
            <w:vAlign w:val="center"/>
          </w:tcPr>
          <w:p>
            <w:pPr>
              <w:jc w:val="left"/>
            </w:pPr>
            <w:r>
              <w:rPr>
                <w:b w:val="false"/>
                <w:bCs w:val="false"/>
                <w:color w:val="000000"/>
              </w:rPr>
              <w:t xml:space="preserve">Clinical Governance, Comms</w:t>
            </w:r>
          </w:p>
        </w:tc>
        <w:tc>
          <w:tcPr>
            <w:tcW w:type="dxa" w:w="1400"/>
            <w:shd w:fill="F2F2F2" w:val="clear"/>
            <w:tcMar>
              <w:top w:type="dxa" w:w="80"/>
              <w:left w:type="dxa" w:w="100"/>
              <w:bottom w:type="dxa" w:w="80"/>
              <w:right w:type="dxa" w:w="100"/>
            </w:tcMar>
            <w:vAlign w:val="center"/>
          </w:tcPr>
          <w:p>
            <w:pPr>
              <w:jc w:val="left"/>
            </w:pPr>
            <w:r>
              <w:rPr>
                <w:b w:val="false"/>
                <w:bCs w:val="false"/>
                <w:color w:val="000000"/>
              </w:rPr>
              <w:t xml:space="preserve">CEO, HIGC</w:t>
            </w:r>
          </w:p>
        </w:tc>
      </w:tr>
      <w:tr>
        <w:tc>
          <w:tcPr>
            <w:tcW w:type="dxa" w:w="2600"/>
            <w:tcMar>
              <w:top w:type="dxa" w:w="80"/>
              <w:left w:type="dxa" w:w="100"/>
              <w:bottom w:type="dxa" w:w="80"/>
              <w:right w:type="dxa" w:w="100"/>
            </w:tcMar>
            <w:vAlign w:val="center"/>
          </w:tcPr>
          <w:p>
            <w:pPr>
              <w:jc w:val="left"/>
            </w:pPr>
            <w:r>
              <w:rPr>
                <w:b w:val="false"/>
                <w:bCs w:val="false"/>
                <w:color w:val="000000"/>
              </w:rPr>
              <w:t xml:space="preserve">Business continuity / DR testing</w:t>
            </w:r>
          </w:p>
        </w:tc>
        <w:tc>
          <w:tcPr>
            <w:tcW w:type="dxa" w:w="1800"/>
            <w:tcMar>
              <w:top w:type="dxa" w:w="80"/>
              <w:left w:type="dxa" w:w="100"/>
              <w:bottom w:type="dxa" w:w="80"/>
              <w:right w:type="dxa" w:w="100"/>
            </w:tcMar>
            <w:vAlign w:val="center"/>
          </w:tcPr>
          <w:p>
            <w:pPr>
              <w:jc w:val="left"/>
            </w:pPr>
            <w:r>
              <w:rPr>
                <w:b w:val="false"/>
                <w:bCs w:val="false"/>
                <w:color w:val="000000"/>
              </w:rPr>
              <w:t xml:space="preserve">Facilities Manager</w:t>
            </w:r>
          </w:p>
        </w:tc>
        <w:tc>
          <w:tcPr>
            <w:tcW w:type="dxa" w:w="1600"/>
            <w:tcMar>
              <w:top w:type="dxa" w:w="80"/>
              <w:left w:type="dxa" w:w="100"/>
              <w:bottom w:type="dxa" w:w="80"/>
              <w:right w:type="dxa" w:w="100"/>
            </w:tcMar>
            <w:vAlign w:val="center"/>
          </w:tcPr>
          <w:p>
            <w:pPr>
              <w:jc w:val="left"/>
            </w:pPr>
            <w:r>
              <w:rPr>
                <w:b w:val="false"/>
                <w:bCs w:val="false"/>
                <w:color w:val="000000"/>
              </w:rPr>
              <w:t xml:space="preserve">CIO</w:t>
            </w:r>
          </w:p>
        </w:tc>
        <w:tc>
          <w:tcPr>
            <w:tcW w:type="dxa" w:w="2100"/>
            <w:tcMar>
              <w:top w:type="dxa" w:w="80"/>
              <w:left w:type="dxa" w:w="100"/>
              <w:bottom w:type="dxa" w:w="80"/>
              <w:right w:type="dxa" w:w="100"/>
            </w:tcMar>
            <w:vAlign w:val="center"/>
          </w:tcPr>
          <w:p>
            <w:pPr>
              <w:jc w:val="left"/>
            </w:pPr>
            <w:r>
              <w:rPr>
                <w:b w:val="false"/>
                <w:bCs w:val="false"/>
                <w:color w:val="000000"/>
              </w:rPr>
              <w:t xml:space="preserve">IT Manager, Clinical Governance</w:t>
            </w:r>
          </w:p>
        </w:tc>
        <w:tc>
          <w:tcPr>
            <w:tcW w:type="dxa" w:w="1400"/>
            <w:tcMar>
              <w:top w:type="dxa" w:w="80"/>
              <w:left w:type="dxa" w:w="100"/>
              <w:bottom w:type="dxa" w:w="80"/>
              <w:right w:type="dxa" w:w="100"/>
            </w:tcMar>
            <w:vAlign w:val="center"/>
          </w:tcPr>
          <w:p>
            <w:pPr>
              <w:jc w:val="left"/>
            </w:pPr>
            <w:r>
              <w:rPr>
                <w:b w:val="false"/>
                <w:bCs w:val="false"/>
                <w:color w:val="000000"/>
              </w:rPr>
              <w:t xml:space="preserve">HIGC</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rPr>
              <w:t xml:space="preserve">Staff security awareness training</w:t>
            </w:r>
          </w:p>
        </w:tc>
        <w:tc>
          <w:tcPr>
            <w:tcW w:type="dxa" w:w="1800"/>
            <w:shd w:fill="F2F2F2" w:val="clear"/>
            <w:tcMar>
              <w:top w:type="dxa" w:w="80"/>
              <w:left w:type="dxa" w:w="100"/>
              <w:bottom w:type="dxa" w:w="80"/>
              <w:right w:type="dxa" w:w="100"/>
            </w:tcMar>
            <w:vAlign w:val="center"/>
          </w:tcPr>
          <w:p>
            <w:pPr>
              <w:jc w:val="left"/>
            </w:pPr>
            <w:r>
              <w:rPr>
                <w:b w:val="false"/>
                <w:bCs w:val="false"/>
                <w:color w:val="000000"/>
              </w:rPr>
              <w:t xml:space="preserve">HR Manager</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CIO</w:t>
            </w:r>
          </w:p>
        </w:tc>
        <w:tc>
          <w:tcPr>
            <w:tcW w:type="dxa" w:w="2100"/>
            <w:shd w:fill="F2F2F2" w:val="clear"/>
            <w:tcMar>
              <w:top w:type="dxa" w:w="80"/>
              <w:left w:type="dxa" w:w="100"/>
              <w:bottom w:type="dxa" w:w="80"/>
              <w:right w:type="dxa" w:w="100"/>
            </w:tcMar>
            <w:vAlign w:val="center"/>
          </w:tcPr>
          <w:p>
            <w:pPr>
              <w:jc w:val="left"/>
            </w:pPr>
            <w:r>
              <w:rPr>
                <w:b w:val="false"/>
                <w:bCs w:val="false"/>
                <w:color w:val="000000"/>
              </w:rPr>
              <w:t xml:space="preserve">Information Officer</w:t>
            </w:r>
          </w:p>
        </w:tc>
        <w:tc>
          <w:tcPr>
            <w:tcW w:type="dxa" w:w="1400"/>
            <w:shd w:fill="F2F2F2" w:val="clear"/>
            <w:tcMar>
              <w:top w:type="dxa" w:w="80"/>
              <w:left w:type="dxa" w:w="100"/>
              <w:bottom w:type="dxa" w:w="80"/>
              <w:right w:type="dxa" w:w="100"/>
            </w:tcMar>
            <w:vAlign w:val="center"/>
          </w:tcPr>
          <w:p>
            <w:pPr>
              <w:jc w:val="left"/>
            </w:pPr>
            <w:r>
              <w:rPr>
                <w:b w:val="false"/>
                <w:bCs w:val="false"/>
                <w:color w:val="000000"/>
              </w:rPr>
              <w:t xml:space="preserve">HIGC</w:t>
            </w:r>
          </w:p>
        </w:tc>
      </w:tr>
    </w:tbl>
    <w:p>
      <w:pPr>
        <w:pStyle w:val="Heading1"/>
        <w:spacing w:after="160" w:before="360"/>
      </w:pPr>
      <w:r>
        <w:t xml:space="preserve">5. Policy Framework</w:t>
      </w:r>
    </w:p>
    <w:p>
      <w:pPr>
        <w:spacing w:after="160"/>
      </w:pPr>
      <w:r>
        <w:t xml:space="preserve">This charter sits above a set of operational policies and standards. The following are in scope of this GRC portfolio and referenced throughout the documentation suite:</w:t>
      </w:r>
    </w:p>
    <w:p>
      <w:pPr>
        <w:pStyle w:val="ListParagraph"/>
        <w:numPr>
          <w:ilvl w:val="0"/>
          <w:numId w:val="1"/>
        </w:numPr>
        <w:spacing w:after="80"/>
      </w:pPr>
      <w:r>
        <w:t xml:space="preserve">Information Security Policy (referenced in the ISO 27001 Gap Assessment, control A.5.1)</w:t>
      </w:r>
    </w:p>
    <w:p>
      <w:pPr>
        <w:pStyle w:val="ListParagraph"/>
        <w:numPr>
          <w:ilvl w:val="0"/>
          <w:numId w:val="1"/>
        </w:numPr>
        <w:spacing w:after="80"/>
      </w:pPr>
      <w:r>
        <w:t xml:space="preserve">Access Control Policy (RBAC design underpinning EHR and PACS access)</w:t>
      </w:r>
    </w:p>
    <w:p>
      <w:pPr>
        <w:pStyle w:val="ListParagraph"/>
        <w:numPr>
          <w:ilvl w:val="0"/>
          <w:numId w:val="1"/>
        </w:numPr>
        <w:spacing w:after="80"/>
      </w:pPr>
      <w:r>
        <w:t xml:space="preserve">Data Protection and Privacy Policy (detailed in the POPIA Compliance Assessment)</w:t>
      </w:r>
    </w:p>
    <w:p>
      <w:pPr>
        <w:pStyle w:val="ListParagraph"/>
        <w:numPr>
          <w:ilvl w:val="0"/>
          <w:numId w:val="1"/>
        </w:numPr>
        <w:spacing w:after="80"/>
      </w:pPr>
      <w:r>
        <w:t xml:space="preserve">Incident Response and Breach Notification Procedure (detailed in the Incident Response Playbook)</w:t>
      </w:r>
    </w:p>
    <w:p>
      <w:pPr>
        <w:pStyle w:val="ListParagraph"/>
        <w:numPr>
          <w:ilvl w:val="0"/>
          <w:numId w:val="1"/>
        </w:numPr>
        <w:spacing w:after="80"/>
      </w:pPr>
      <w:r>
        <w:t xml:space="preserve">Business Continuity and Disaster Recovery Plan (detailed in the Business Continuity / DR Summary)</w:t>
      </w:r>
    </w:p>
    <w:p>
      <w:pPr>
        <w:pStyle w:val="Heading1"/>
        <w:spacing w:after="160" w:before="360"/>
      </w:pPr>
      <w:r>
        <w:t xml:space="preserve">6. Risk Appetite Statement</w:t>
      </w:r>
    </w:p>
    <w:p>
      <w:pPr>
        <w:spacing w:after="160"/>
      </w:pPr>
      <w:r>
        <w:t xml:space="preserve">Kopano Community Hospital has a low risk appetite for any risk that could compromise patient safety, delay urgent clinical care, or result in unauthorised disclosure of patient health information. The Hospital has a moderate risk appetite for administrative and operational risks (e.g. minor system downtime for non-clinical systems) where compensating manual procedures exist and are tested.</w:t>
      </w:r>
    </w:p>
    <w:p>
      <w:pPr>
        <w:spacing w:after="160"/>
      </w:pPr>
      <w:r>
        <w:t xml:space="preserve">Risk ratings of Critical or High (see Risk Register, 02_Risk_Register.xlsx) require an HIGC-approved treatment plan with a named owner and target date. Risks may not be accepted at Critical or High rating without CEO sign-off, recorded in the HIGC meeting minutes.</w:t>
      </w:r>
    </w:p>
    <w:p>
      <w:pPr>
        <w:pStyle w:val="Heading1"/>
        <w:spacing w:after="160" w:before="360"/>
      </w:pPr>
      <w:r>
        <w:t xml:space="preserve">7. Related Documents</w:t>
      </w:r>
    </w:p>
    <w:p>
      <w:pPr>
        <w:pStyle w:val="ListParagraph"/>
        <w:numPr>
          <w:ilvl w:val="0"/>
          <w:numId w:val="1"/>
        </w:numPr>
        <w:spacing w:after="80"/>
      </w:pPr>
      <w:r>
        <w:t xml:space="preserve">02_Risk_Register.xlsx — the Hospital's live risk register, reviewed quarterly by the HIGC</w:t>
      </w:r>
    </w:p>
    <w:p>
      <w:pPr>
        <w:pStyle w:val="ListParagraph"/>
        <w:numPr>
          <w:ilvl w:val="0"/>
          <w:numId w:val="1"/>
        </w:numPr>
        <w:spacing w:after="80"/>
      </w:pPr>
      <w:r>
        <w:t xml:space="preserve">03_ISO27001_Gap_Assessment.xlsx — control-by-control assessment against ISO/IEC 27001:2022 Annex A</w:t>
      </w:r>
    </w:p>
    <w:p>
      <w:pPr>
        <w:pStyle w:val="ListParagraph"/>
        <w:numPr>
          <w:ilvl w:val="0"/>
          <w:numId w:val="1"/>
        </w:numPr>
        <w:spacing w:after="80"/>
      </w:pPr>
      <w:r>
        <w:t xml:space="preserve">04_POPIA_Compliance_Assessment.docx — assessment against the eight conditions for lawful processing</w:t>
      </w:r>
    </w:p>
    <w:p>
      <w:pPr>
        <w:pStyle w:val="ListParagraph"/>
        <w:numPr>
          <w:ilvl w:val="0"/>
          <w:numId w:val="1"/>
        </w:numPr>
        <w:spacing w:after="80"/>
      </w:pPr>
      <w:r>
        <w:t xml:space="preserve">05_Incident_Response_Playbook.docx — incident response procedures, including ransomware and medical device compromise scenarios</w:t>
      </w:r>
    </w:p>
    <w:p>
      <w:pPr>
        <w:pStyle w:val="ListParagraph"/>
        <w:numPr>
          <w:ilvl w:val="0"/>
          <w:numId w:val="1"/>
        </w:numPr>
        <w:spacing w:after="80"/>
      </w:pPr>
      <w:r>
        <w:t xml:space="preserve">06_Business_Continuity_DR_Summary.docx — continuity arrangements for critical clinical systems</w:t>
      </w:r>
    </w:p>
    <w:p>
      <w:pPr>
        <w:pStyle w:val="Heading1"/>
        <w:spacing w:after="160" w:before="360"/>
      </w:pPr>
      <w:r>
        <w:t xml:space="preserve">8. Review</w:t>
      </w:r>
    </w:p>
    <w:p>
      <w:pPr>
        <w:spacing w:after="160"/>
      </w:pPr>
      <w:r>
        <w:t xml:space="preserve">This charter is reviewed annually by the HIGC, or sooner following a material change in organisational structure, a significant incident, or a change in applicable law.</w:t>
      </w:r>
    </w:p>
    <w:p>
      <w:pPr>
        <w:spacing w:before="400"/>
      </w:pPr>
    </w:p>
    <w:p>
      <w:pPr>
        <w:spacing w:after="160"/>
      </w:pPr>
      <w:r>
        <w:rPr>
          <w:b/>
          <w:bCs/>
        </w:rPr>
        <w:t xml:space="preserve">Document Owner: </w:t>
      </w:r>
      <w:r>
        <w:t xml:space="preserve">Chief Information Officer</w:t>
      </w:r>
    </w:p>
    <w:p>
      <w:pPr>
        <w:spacing w:after="160"/>
      </w:pPr>
      <w:r>
        <w:rPr>
          <w:b/>
          <w:bCs/>
        </w:rPr>
        <w:t xml:space="preserve">Approved By: </w:t>
      </w:r>
      <w:r>
        <w:t xml:space="preserve">Hospital CEO, on recommendation of the Hospital Information Governance Committee</w:t>
      </w:r>
    </w:p>
    <w:p>
      <w:pPr>
        <w:spacing w:after="160"/>
      </w:pPr>
      <w:r>
        <w:rPr>
          <w:b/>
          <w:bCs/>
        </w:rPr>
        <w:t xml:space="preserve">Next Review Date: </w:t>
      </w:r>
      <w:r>
        <w:t xml:space="preserve">12 months from approval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Governance Charter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GRC Portfolio Project — Kopano Community Hospital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2026-08-20T01:46:35.581Z</dcterms:created>
  <dcterms:modified xsi:type="dcterms:W3CDTF">2026-08-20T01:46:35.583Z</dcterms:modified>
</cp:coreProperties>
</file>

<file path=docProps/custom.xml><?xml version="1.0" encoding="utf-8"?>
<Properties xmlns="http://schemas.openxmlformats.org/officeDocument/2006/custom-properties" xmlns:vt="http://schemas.openxmlformats.org/officeDocument/2006/docPropsVTypes"/>
</file>