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32"/>
          <w:szCs w:val="32"/>
        </w:rPr>
        <w:t xml:space="preserve">KOPANO COMMUNITY HOSPITAL</w:t>
      </w:r>
    </w:p>
    <w:p>
      <w:pPr>
        <w:spacing w:before="200"/>
        <w:jc w:val="center"/>
      </w:pPr>
      <w:r>
        <w:rPr>
          <w:color w:val="595959"/>
          <w:sz w:val="22"/>
          <w:szCs w:val="22"/>
        </w:rPr>
        <w:t xml:space="preserve">Katlehong, Ekurhuleni, Gauteng</w:t>
      </w:r>
    </w:p>
    <w:p>
      <w:pPr>
        <w:spacing w:before="1200"/>
      </w:pPr>
    </w:p>
    <w:p>
      <w:pPr>
        <w:jc w:val="center"/>
      </w:pPr>
      <w:r>
        <w:rPr>
          <w:b/>
          <w:bCs/>
          <w:color w:val="1F3864"/>
          <w:sz w:val="40"/>
          <w:szCs w:val="40"/>
        </w:rPr>
        <w:t xml:space="preserve">POPIA Compliance Assessment</w:t>
      </w:r>
    </w:p>
    <w:p>
      <w:pPr>
        <w:spacing w:before="200"/>
        <w:jc w:val="center"/>
      </w:pPr>
      <w:r>
        <w:rPr>
          <w:color w:val="595959"/>
          <w:sz w:val="24"/>
          <w:szCs w:val="24"/>
        </w:rPr>
        <w:t xml:space="preserve">Assessment against the eight conditions for lawful processing of personal information</w:t>
      </w:r>
    </w:p>
    <w:p>
      <w:pPr>
        <w:spacing w:before="1600"/>
      </w:pPr>
    </w:p>
    <w:p>
      <w:pPr>
        <w:jc w:val="center"/>
      </w:pPr>
      <w:r>
        <w:rPr>
          <w:color w:val="595959"/>
          <w:sz w:val="20"/>
          <w:szCs w:val="20"/>
        </w:rPr>
        <w:t xml:space="preserve">Document Reference: KCH-POPIA-001, Version 1.0</w:t>
      </w:r>
    </w:p>
    <w:p>
      <w:pPr>
        <w:jc w:val="center"/>
      </w:pPr>
      <w:r>
        <w:rPr>
          <w:color w:val="595959"/>
          <w:sz w:val="20"/>
          <w:szCs w:val="20"/>
        </w:rPr>
        <w:t xml:space="preserve">Classification: Internal Use Only</w:t>
      </w:r>
    </w:p>
    <w:p>
      <w:pPr>
        <w:jc w:val="center"/>
      </w:pPr>
      <w:r>
        <w:rPr>
          <w:i/>
          <w:iCs/>
          <w:color w:val="595959"/>
          <w:sz w:val="20"/>
          <w:szCs w:val="20"/>
        </w:rPr>
        <w:t xml:space="preserve">Portfolio Project — Fictional Organisation</w:t>
      </w:r>
    </w:p>
    <w:p>
      <w:r>
        <w:br w:type="page"/>
      </w:r>
    </w:p>
    <w:p>
      <w:pPr>
        <w:pStyle w:val="Heading1"/>
        <w:spacing w:after="160" w:before="360"/>
      </w:pPr>
      <w:r>
        <w:t xml:space="preserve">1. Introduction</w:t>
      </w:r>
    </w:p>
    <w:p>
      <w:pPr>
        <w:spacing w:after="160"/>
      </w:pPr>
      <w:r>
        <w:t xml:space="preserve">This assessment evaluates Kopano Community Hospital's processing of personal information against the Protection of Personal Information Act, 4 of 2013 (POPIA). Patient health information is classified as special personal information under section 26, requiring processing to meet the stricter conditions set out in section 27, in addition to the eight general conditions for lawful processing (Chapter 3).</w:t>
      </w:r>
    </w:p>
    <w:p>
      <w:pPr>
        <w:spacing w:after="160"/>
      </w:pPr>
      <w:r>
        <w:t xml:space="preserve">This assessment supports the Hospital's Information Officer in identifying compliance gaps and forms part of the wider GRC portfolio alongside the Risk Register, ISO 27001 Gap Assessment, and Incident Response Playbook.</w:t>
      </w:r>
    </w:p>
    <w:p>
      <w:pPr>
        <w:pStyle w:val="Heading1"/>
        <w:spacing w:after="160" w:before="360"/>
      </w:pPr>
      <w:r>
        <w:t xml:space="preserve">2. Information Officer and PAIA/POPIA Registration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1F3864" w:val="clear"/>
            <w:tcMar>
              <w:top w:type="dxa" w:w="80"/>
              <w:left w:type="dxa" w:w="100"/>
              <w:bottom w:type="dxa" w:w="80"/>
              <w:right w:type="dxa" w:w="100"/>
            </w:tcMar>
            <w:vAlign w:val="center"/>
          </w:tcPr>
          <w:p>
            <w:pPr>
              <w:jc w:val="center"/>
            </w:pPr>
            <w:r>
              <w:rPr>
                <w:b/>
                <w:bCs/>
                <w:color w:val="FFFFFF"/>
              </w:rPr>
              <w:t xml:space="preserve">Item</w:t>
            </w:r>
          </w:p>
        </w:tc>
        <w:tc>
          <w:tcPr>
            <w:tcW w:type="dxa" w:w="5000"/>
            <w:shd w:fill="1F3864" w:val="clear"/>
            <w:tcMar>
              <w:top w:type="dxa" w:w="80"/>
              <w:left w:type="dxa" w:w="100"/>
              <w:bottom w:type="dxa" w:w="80"/>
              <w:right w:type="dxa" w:w="100"/>
            </w:tcMar>
            <w:vAlign w:val="center"/>
          </w:tcPr>
          <w:p>
            <w:pPr>
              <w:jc w:val="center"/>
            </w:pPr>
            <w:r>
              <w:rPr>
                <w:b/>
                <w:bCs/>
                <w:color w:val="FFFFFF"/>
              </w:rPr>
              <w:t xml:space="preserve">Status</w:t>
            </w:r>
          </w:p>
        </w:tc>
      </w:tr>
      <w:tr>
        <w:tc>
          <w:tcPr>
            <w:tcW w:type="dxa" w:w="4500"/>
            <w:tcMar>
              <w:top w:type="dxa" w:w="80"/>
              <w:left w:type="dxa" w:w="100"/>
              <w:bottom w:type="dxa" w:w="80"/>
              <w:right w:type="dxa" w:w="100"/>
            </w:tcMar>
            <w:vAlign w:val="center"/>
          </w:tcPr>
          <w:p>
            <w:pPr>
              <w:jc w:val="left"/>
            </w:pPr>
            <w:r>
              <w:rPr>
                <w:b w:val="false"/>
                <w:bCs w:val="false"/>
                <w:color w:val="000000"/>
              </w:rPr>
              <w:t xml:space="preserve">Information Officer designated</w:t>
            </w:r>
          </w:p>
        </w:tc>
        <w:tc>
          <w:tcPr>
            <w:tcW w:type="dxa" w:w="5000"/>
            <w:tcMar>
              <w:top w:type="dxa" w:w="80"/>
              <w:left w:type="dxa" w:w="100"/>
              <w:bottom w:type="dxa" w:w="80"/>
              <w:right w:type="dxa" w:w="100"/>
            </w:tcMar>
            <w:vAlign w:val="center"/>
          </w:tcPr>
          <w:p>
            <w:pPr>
              <w:jc w:val="left"/>
            </w:pPr>
            <w:r>
              <w:rPr>
                <w:b w:val="false"/>
                <w:bCs w:val="false"/>
                <w:color w:val="000000"/>
              </w:rPr>
              <w:t xml:space="preserve">Yes — Hospital CIO designated as Information Officer</w:t>
            </w:r>
          </w:p>
        </w:tc>
      </w:tr>
      <w:tr>
        <w:tc>
          <w:tcPr>
            <w:tcW w:type="dxa" w:w="4500"/>
            <w:shd w:fill="F2F2F2" w:val="clear"/>
            <w:tcMar>
              <w:top w:type="dxa" w:w="80"/>
              <w:left w:type="dxa" w:w="100"/>
              <w:bottom w:type="dxa" w:w="80"/>
              <w:right w:type="dxa" w:w="100"/>
            </w:tcMar>
            <w:vAlign w:val="center"/>
          </w:tcPr>
          <w:p>
            <w:pPr>
              <w:jc w:val="left"/>
            </w:pPr>
            <w:r>
              <w:rPr>
                <w:b w:val="false"/>
                <w:bCs w:val="false"/>
                <w:color w:val="000000"/>
              </w:rPr>
              <w:t xml:space="preserve">Deputy Information Officer(s) designated</w:t>
            </w:r>
          </w:p>
        </w:tc>
        <w:tc>
          <w:tcPr>
            <w:tcW w:type="dxa" w:w="5000"/>
            <w:shd w:fill="F2F2F2" w:val="clear"/>
            <w:tcMar>
              <w:top w:type="dxa" w:w="80"/>
              <w:left w:type="dxa" w:w="100"/>
              <w:bottom w:type="dxa" w:w="80"/>
              <w:right w:type="dxa" w:w="100"/>
            </w:tcMar>
            <w:vAlign w:val="center"/>
          </w:tcPr>
          <w:p>
            <w:pPr>
              <w:jc w:val="left"/>
            </w:pPr>
            <w:r>
              <w:rPr>
                <w:b w:val="false"/>
                <w:bCs w:val="false"/>
                <w:color w:val="000000"/>
              </w:rPr>
              <w:t xml:space="preserve">Partially — Information Officer role has no deputy for leave cover</w:t>
            </w:r>
          </w:p>
        </w:tc>
      </w:tr>
      <w:tr>
        <w:tc>
          <w:tcPr>
            <w:tcW w:type="dxa" w:w="4500"/>
            <w:tcMar>
              <w:top w:type="dxa" w:w="80"/>
              <w:left w:type="dxa" w:w="100"/>
              <w:bottom w:type="dxa" w:w="80"/>
              <w:right w:type="dxa" w:w="100"/>
            </w:tcMar>
            <w:vAlign w:val="center"/>
          </w:tcPr>
          <w:p>
            <w:pPr>
              <w:jc w:val="left"/>
            </w:pPr>
            <w:r>
              <w:rPr>
                <w:b w:val="false"/>
                <w:bCs w:val="false"/>
                <w:color w:val="000000"/>
              </w:rPr>
              <w:t xml:space="preserve">Registration with the Information Regulator</w:t>
            </w:r>
          </w:p>
        </w:tc>
        <w:tc>
          <w:tcPr>
            <w:tcW w:type="dxa" w:w="5000"/>
            <w:tcMar>
              <w:top w:type="dxa" w:w="80"/>
              <w:left w:type="dxa" w:w="100"/>
              <w:bottom w:type="dxa" w:w="80"/>
              <w:right w:type="dxa" w:w="100"/>
            </w:tcMar>
            <w:vAlign w:val="center"/>
          </w:tcPr>
          <w:p>
            <w:pPr>
              <w:jc w:val="left"/>
            </w:pPr>
            <w:r>
              <w:rPr>
                <w:b w:val="false"/>
                <w:bCs w:val="false"/>
                <w:color w:val="000000"/>
              </w:rPr>
              <w:t xml:space="preserve">Registered</w:t>
            </w:r>
          </w:p>
        </w:tc>
      </w:tr>
      <w:tr>
        <w:tc>
          <w:tcPr>
            <w:tcW w:type="dxa" w:w="4500"/>
            <w:shd w:fill="F2F2F2" w:val="clear"/>
            <w:tcMar>
              <w:top w:type="dxa" w:w="80"/>
              <w:left w:type="dxa" w:w="100"/>
              <w:bottom w:type="dxa" w:w="80"/>
              <w:right w:type="dxa" w:w="100"/>
            </w:tcMar>
            <w:vAlign w:val="center"/>
          </w:tcPr>
          <w:p>
            <w:pPr>
              <w:jc w:val="left"/>
            </w:pPr>
            <w:r>
              <w:rPr>
                <w:b w:val="false"/>
                <w:bCs w:val="false"/>
                <w:color w:val="000000"/>
              </w:rPr>
              <w:t xml:space="preserve">PAIA manual published</w:t>
            </w:r>
          </w:p>
        </w:tc>
        <w:tc>
          <w:tcPr>
            <w:tcW w:type="dxa" w:w="5000"/>
            <w:shd w:fill="F2F2F2" w:val="clear"/>
            <w:tcMar>
              <w:top w:type="dxa" w:w="80"/>
              <w:left w:type="dxa" w:w="100"/>
              <w:bottom w:type="dxa" w:w="80"/>
              <w:right w:type="dxa" w:w="100"/>
            </w:tcMar>
            <w:vAlign w:val="center"/>
          </w:tcPr>
          <w:p>
            <w:pPr>
              <w:jc w:val="left"/>
            </w:pPr>
            <w:r>
              <w:rPr>
                <w:b w:val="false"/>
                <w:bCs w:val="false"/>
                <w:color w:val="000000"/>
              </w:rPr>
              <w:t xml:space="preserve">Published on Hospital notice boards; not yet on a public website</w:t>
            </w:r>
          </w:p>
        </w:tc>
      </w:tr>
    </w:tbl>
    <w:p>
      <w:pPr>
        <w:spacing w:after="160"/>
      </w:pPr>
      <w:r>
        <w:t xml:space="preserve">Recommendation: designate a Deputy Information Officer to ensure continuity of the breach-notification decision process during leave or absence.</w:t>
      </w:r>
    </w:p>
    <w:p>
      <w:pPr>
        <w:pStyle w:val="Heading1"/>
        <w:spacing w:after="160" w:before="360"/>
      </w:pPr>
      <w:r>
        <w:t xml:space="preserve">3. Assessment Against the Eight Conditions for Lawful Processing</w:t>
      </w:r>
    </w:p>
    <w:p>
      <w:pPr>
        <w:pStyle w:val="Heading2"/>
        <w:spacing w:after="120" w:before="280"/>
      </w:pPr>
      <w:r>
        <w:t xml:space="preserve">3.1 Condition 1 — Accountability (Section 8)</w:t>
      </w:r>
    </w:p>
    <w:p>
      <w:pPr>
        <w:spacing w:after="160"/>
      </w:pPr>
      <w:r>
        <w:t xml:space="preserve">The Information Officer is designated and the Hospital Information Governance Committee (HIGC) provides oversight per the Governance Charter. Gap: no documented internal compliance framework mapping each POPIA condition to an accountable role beyond the Information Officer.</w:t>
      </w:r>
    </w:p>
    <w:p>
      <w:pPr>
        <w:spacing w:after="160"/>
      </w:pPr>
      <w:r>
        <w:t xml:space="preserve">Status: Partially Compliant.</w:t>
      </w:r>
    </w:p>
    <w:p>
      <w:pPr>
        <w:pStyle w:val="Heading2"/>
        <w:spacing w:after="120" w:before="280"/>
      </w:pPr>
      <w:r>
        <w:t xml:space="preserve">3.2 Condition 2 — Processing Limitation (Sections 9-12)</w:t>
      </w:r>
    </w:p>
    <w:p>
      <w:pPr>
        <w:spacing w:after="160"/>
      </w:pPr>
      <w:r>
        <w:t xml:space="preserve">Patient information is collected directly from patients or their guardians at admission, for the purpose of providing clinical care, consistent with section 11(1)(a)-(d). Consent for treatment is captured on the admission form; consent for secondary uses (e.g. teaching, research) is not currently separated from treatment consent.</w:t>
      </w:r>
    </w:p>
    <w:p>
      <w:pPr>
        <w:spacing w:after="160"/>
      </w:pPr>
      <w:r>
        <w:t xml:space="preserve">Status: Partially Compliant. Recommendation: introduce a distinct consent capture for any secondary use of patient data (teaching files, research, quality audits).</w:t>
      </w:r>
    </w:p>
    <w:p>
      <w:pPr>
        <w:pStyle w:val="Heading2"/>
        <w:spacing w:after="120" w:before="280"/>
      </w:pPr>
      <w:r>
        <w:t xml:space="preserve">3.3 Condition 3 — Purpose Specification (Sections 13-14)</w:t>
      </w:r>
    </w:p>
    <w:p>
      <w:pPr>
        <w:spacing w:after="160"/>
      </w:pPr>
      <w:r>
        <w:t xml:space="preserve">The purpose of collecting patient information (clinical care, billing, statutory reporting to the Department of Health) is documented in the admission process, but retention periods are not formally defined for all record types.</w:t>
      </w:r>
    </w:p>
    <w:p>
      <w:pPr>
        <w:spacing w:after="160"/>
      </w:pPr>
      <w:r>
        <w:t xml:space="preserve">Status: Partially Compliant. Recommendation: formalise a Records Retention and Disposal Schedule covering clinical records (aligned to National Health Act requirements), administrative records, and CCTV footage.</w:t>
      </w:r>
    </w:p>
    <w:p>
      <w:pPr>
        <w:pStyle w:val="Heading2"/>
        <w:spacing w:after="120" w:before="280"/>
      </w:pPr>
      <w:r>
        <w:t xml:space="preserve">3.4 Condition 4 — Further Processing Limitation (Section 15)</w:t>
      </w:r>
    </w:p>
    <w:p>
      <w:pPr>
        <w:spacing w:after="160"/>
      </w:pPr>
      <w:r>
        <w:t xml:space="preserve">Further processing (e.g. sharing de-identified data with the Department of Health for statistical reporting) is compatible with the original purpose. No known instances of incompatible further processing were identified during this assessment.</w:t>
      </w:r>
    </w:p>
    <w:p>
      <w:pPr>
        <w:spacing w:after="160"/>
      </w:pPr>
      <w:r>
        <w:t xml:space="preserve">Status: Compliant.</w:t>
      </w:r>
    </w:p>
    <w:p>
      <w:pPr>
        <w:pStyle w:val="Heading2"/>
        <w:spacing w:after="120" w:before="280"/>
      </w:pPr>
      <w:r>
        <w:t xml:space="preserve">3.5 Condition 5 — Information Quality (Section 16)</w:t>
      </w:r>
    </w:p>
    <w:p>
      <w:pPr>
        <w:spacing w:after="160"/>
      </w:pPr>
      <w:r>
        <w:t xml:space="preserve">Patient demographic and clinical data is captured and periodically updated at each visit via the EHR. No structured process exists for patients to request correction of inaccurate personal information outside of a clinical encounter.</w:t>
      </w:r>
    </w:p>
    <w:p>
      <w:pPr>
        <w:spacing w:after="160"/>
      </w:pPr>
      <w:r>
        <w:t xml:space="preserve">Status: Partially Compliant. Recommendation: publish a simple process (e.g. via the PAIA manual and ward notices) for patients to request correction of their personal information.</w:t>
      </w:r>
    </w:p>
    <w:p>
      <w:pPr>
        <w:pStyle w:val="Heading2"/>
        <w:spacing w:after="120" w:before="280"/>
      </w:pPr>
      <w:r>
        <w:t xml:space="preserve">3.6 Condition 6 — Openness (Sections 17-18)</w:t>
      </w:r>
    </w:p>
    <w:p>
      <w:pPr>
        <w:spacing w:after="160"/>
      </w:pPr>
      <w:r>
        <w:t xml:space="preserve">A PAIA manual exists and is displayed on-site. Patients are not currently given a standalone privacy notice at admission explaining what personal information is collected and why.</w:t>
      </w:r>
    </w:p>
    <w:p>
      <w:pPr>
        <w:spacing w:after="160"/>
      </w:pPr>
      <w:r>
        <w:t xml:space="preserve">Status: Partially Compliant. Recommendation: introduce a short-form patient privacy notice as part of the admission pack, in the languages most used by patients at the Hospital.</w:t>
      </w:r>
    </w:p>
    <w:p>
      <w:pPr>
        <w:pStyle w:val="Heading2"/>
        <w:spacing w:after="120" w:before="280"/>
      </w:pPr>
      <w:r>
        <w:t xml:space="preserve">3.7 Condition 7 — Security Safeguards (Sections 19-22)</w:t>
      </w:r>
    </w:p>
    <w:p>
      <w:pPr>
        <w:spacing w:after="160"/>
      </w:pPr>
      <w:r>
        <w:t xml:space="preserve">This condition has the closest overlap with the ISO 27001 Gap Assessment (03_ISO27001_Gap_Assessment.xlsx). Key findings relevant to POPIA security safeguards:</w:t>
      </w:r>
    </w:p>
    <w:p>
      <w:pPr>
        <w:pStyle w:val="ListParagraph"/>
        <w:numPr>
          <w:ilvl w:val="0"/>
          <w:numId w:val="1"/>
        </w:numPr>
        <w:spacing w:after="80"/>
      </w:pPr>
      <w:r>
        <w:t xml:space="preserve">Role-based access control is implemented on the EHR (ISO A.5.15), but formal periodic access recertification is not yet scheduled.</w:t>
      </w:r>
    </w:p>
    <w:p>
      <w:pPr>
        <w:pStyle w:val="ListParagraph"/>
        <w:numPr>
          <w:ilvl w:val="0"/>
          <w:numId w:val="1"/>
        </w:numPr>
        <w:spacing w:after="80"/>
      </w:pPr>
      <w:r>
        <w:t xml:space="preserve">Database-level encryption is enabled for the EHR at rest; encryption in transit is inconsistent across older system interfaces (ISO A.8.24).</w:t>
      </w:r>
    </w:p>
    <w:p>
      <w:pPr>
        <w:pStyle w:val="ListParagraph"/>
        <w:numPr>
          <w:ilvl w:val="0"/>
          <w:numId w:val="1"/>
        </w:numPr>
        <w:spacing w:after="80"/>
      </w:pPr>
      <w:r>
        <w:t xml:space="preserve">No formal, tested breach notification procedure exists yet — see Section 7 of this document and the Incident Response Playbook.</w:t>
      </w:r>
    </w:p>
    <w:p>
      <w:pPr>
        <w:spacing w:after="160"/>
      </w:pPr>
      <w:r>
        <w:t xml:space="preserve">Status: Partially Compliant.</w:t>
      </w:r>
    </w:p>
    <w:p>
      <w:pPr>
        <w:pStyle w:val="Heading2"/>
        <w:spacing w:after="120" w:before="280"/>
      </w:pPr>
      <w:r>
        <w:t xml:space="preserve">3.8 Condition 8 — Data Subject Participation (Sections 23-25)</w:t>
      </w:r>
    </w:p>
    <w:p>
      <w:pPr>
        <w:spacing w:after="160"/>
      </w:pPr>
      <w:r>
        <w:t xml:space="preserve">Patients can request access to their own health records through the Hospital's Health Information Management department, consistent with section 23. Formal turnaround-time targets for such requests are not documented.</w:t>
      </w:r>
    </w:p>
    <w:p>
      <w:pPr>
        <w:spacing w:after="160"/>
      </w:pPr>
      <w:r>
        <w:t xml:space="preserve">Status: Partially Compliant. Recommendation: document a target turnaround time (e.g. 15 working days) for patient access requests, consistent with PAIA.</w:t>
      </w:r>
    </w:p>
    <w:p>
      <w:pPr>
        <w:pStyle w:val="Heading1"/>
        <w:spacing w:after="160" w:before="360"/>
      </w:pPr>
      <w:r>
        <w:t xml:space="preserve">4. Special Personal Information — Section 26 &amp; 27</w:t>
      </w:r>
    </w:p>
    <w:p>
      <w:pPr>
        <w:spacing w:after="160"/>
      </w:pPr>
      <w:r>
        <w:t xml:space="preserve">Health information is special personal information under section 26. Processing is permitted under section 27(1)(a) for the purposes of, among others, medical treatment or the administration of health care institutions, by persons subject to a duty of confidentiality. This applies directly to Kopano Community Hospital's clinical processing.</w:t>
      </w:r>
    </w:p>
    <w:p>
      <w:pPr>
        <w:spacing w:after="160"/>
      </w:pPr>
      <w:r>
        <w:t xml:space="preserve">Gap identified: while clinical staff are bound by professional confidentiality obligations (HPCSA), non-clinical administrative staff with EHR access (e.g. billing clerks) do not have an explicit, POPIA-referenced confidentiality undertaking distinct from their general employment contract.</w:t>
      </w:r>
    </w:p>
    <w:p>
      <w:pPr>
        <w:spacing w:after="160"/>
      </w:pPr>
      <w:r>
        <w:t xml:space="preserve">Recommendation: introduce a POPIA-specific confidentiality undertaking for all staff with any access to patient personal information, clinical or administrative, re-signed annually.</w:t>
      </w:r>
    </w:p>
    <w:p>
      <w:pPr>
        <w:pStyle w:val="Heading1"/>
        <w:spacing w:after="160" w:before="360"/>
      </w:pPr>
      <w:r>
        <w:t xml:space="preserve">5. Records Retention and Disposal</w:t>
      </w:r>
    </w:p>
    <w:p>
      <w:pPr>
        <w:spacing w:after="160"/>
      </w:pPr>
      <w:r>
        <w:t xml:space="preserve">Electronic records disposal (decommissioned hardware) follows a documented secure-wipe process. An equivalent documented process does not yet exist for paper records nearing the end of their retention period, or for CCTV footage retention limits.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200"/>
      </w:tblGrid>
      <w:tr>
        <w:trPr>
          <w:tblHeader/>
        </w:trPr>
        <w:tc>
          <w:tcPr>
            <w:tcW w:type="dxa" w:w="3000"/>
            <w:shd w:fill="1F3864" w:val="clear"/>
            <w:tcMar>
              <w:top w:type="dxa" w:w="80"/>
              <w:left w:type="dxa" w:w="100"/>
              <w:bottom w:type="dxa" w:w="80"/>
              <w:right w:type="dxa" w:w="100"/>
            </w:tcMar>
            <w:vAlign w:val="center"/>
          </w:tcPr>
          <w:p>
            <w:pPr>
              <w:jc w:val="center"/>
            </w:pPr>
            <w:r>
              <w:rPr>
                <w:b/>
                <w:bCs/>
                <w:color w:val="FFFFFF"/>
              </w:rPr>
              <w:t xml:space="preserve">Record Type</w:t>
            </w:r>
          </w:p>
        </w:tc>
        <w:tc>
          <w:tcPr>
            <w:tcW w:type="dxa" w:w="3300"/>
            <w:shd w:fill="1F3864" w:val="clear"/>
            <w:tcMar>
              <w:top w:type="dxa" w:w="80"/>
              <w:left w:type="dxa" w:w="100"/>
              <w:bottom w:type="dxa" w:w="80"/>
              <w:right w:type="dxa" w:w="100"/>
            </w:tcMar>
            <w:vAlign w:val="center"/>
          </w:tcPr>
          <w:p>
            <w:pPr>
              <w:jc w:val="center"/>
            </w:pPr>
            <w:r>
              <w:rPr>
                <w:b/>
                <w:bCs/>
                <w:color w:val="FFFFFF"/>
              </w:rPr>
              <w:t xml:space="preserve">Current Retention Practice</w:t>
            </w:r>
          </w:p>
        </w:tc>
        <w:tc>
          <w:tcPr>
            <w:tcW w:type="dxa" w:w="3200"/>
            <w:shd w:fill="1F3864" w:val="clear"/>
            <w:tcMar>
              <w:top w:type="dxa" w:w="80"/>
              <w:left w:type="dxa" w:w="100"/>
              <w:bottom w:type="dxa" w:w="80"/>
              <w:right w:type="dxa" w:w="100"/>
            </w:tcMar>
            <w:vAlign w:val="center"/>
          </w:tcPr>
          <w:p>
            <w:pPr>
              <w:jc w:val="center"/>
            </w:pPr>
            <w:r>
              <w:rPr>
                <w:b/>
                <w:bCs/>
                <w:color w:val="FFFFFF"/>
              </w:rPr>
              <w:t xml:space="preserve">Gap</w:t>
            </w:r>
          </w:p>
        </w:tc>
      </w:tr>
      <w:tr>
        <w:tc>
          <w:tcPr>
            <w:tcW w:type="dxa" w:w="3000"/>
            <w:tcMar>
              <w:top w:type="dxa" w:w="80"/>
              <w:left w:type="dxa" w:w="100"/>
              <w:bottom w:type="dxa" w:w="80"/>
              <w:right w:type="dxa" w:w="100"/>
            </w:tcMar>
            <w:vAlign w:val="center"/>
          </w:tcPr>
          <w:p>
            <w:pPr>
              <w:jc w:val="left"/>
            </w:pPr>
            <w:r>
              <w:rPr>
                <w:b w:val="false"/>
                <w:bCs w:val="false"/>
                <w:color w:val="000000"/>
              </w:rPr>
              <w:t xml:space="preserve">Electronic health records (EHR)</w:t>
            </w:r>
          </w:p>
        </w:tc>
        <w:tc>
          <w:tcPr>
            <w:tcW w:type="dxa" w:w="3300"/>
            <w:tcMar>
              <w:top w:type="dxa" w:w="80"/>
              <w:left w:type="dxa" w:w="100"/>
              <w:bottom w:type="dxa" w:w="80"/>
              <w:right w:type="dxa" w:w="100"/>
            </w:tcMar>
            <w:vAlign w:val="center"/>
          </w:tcPr>
          <w:p>
            <w:pPr>
              <w:jc w:val="left"/>
            </w:pPr>
            <w:r>
              <w:rPr>
                <w:b w:val="false"/>
                <w:bCs w:val="false"/>
                <w:color w:val="000000"/>
              </w:rPr>
              <w:t xml:space="preserve">Retained indefinitely on the EHR platform</w:t>
            </w:r>
          </w:p>
        </w:tc>
        <w:tc>
          <w:tcPr>
            <w:tcW w:type="dxa" w:w="3200"/>
            <w:tcMar>
              <w:top w:type="dxa" w:w="80"/>
              <w:left w:type="dxa" w:w="100"/>
              <w:bottom w:type="dxa" w:w="80"/>
              <w:right w:type="dxa" w:w="100"/>
            </w:tcMar>
            <w:vAlign w:val="center"/>
          </w:tcPr>
          <w:p>
            <w:pPr>
              <w:jc w:val="left"/>
            </w:pPr>
            <w:r>
              <w:rPr>
                <w:b w:val="false"/>
                <w:bCs w:val="false"/>
                <w:color w:val="000000"/>
              </w:rPr>
              <w:t xml:space="preserve">No documented retention/archival schedule aligned to National Health Act requirements</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rPr>
              <w:t xml:space="preserve">Paper records (pre-digitisation, historical)</w:t>
            </w:r>
          </w:p>
        </w:tc>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Stored in Records department; no fixed disposal schedule</w:t>
            </w:r>
          </w:p>
        </w:tc>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No secure destruction process or certificate-of-destruction requirement</w:t>
            </w:r>
          </w:p>
        </w:tc>
      </w:tr>
      <w:tr>
        <w:tc>
          <w:tcPr>
            <w:tcW w:type="dxa" w:w="3000"/>
            <w:tcMar>
              <w:top w:type="dxa" w:w="80"/>
              <w:left w:type="dxa" w:w="100"/>
              <w:bottom w:type="dxa" w:w="80"/>
              <w:right w:type="dxa" w:w="100"/>
            </w:tcMar>
            <w:vAlign w:val="center"/>
          </w:tcPr>
          <w:p>
            <w:pPr>
              <w:jc w:val="left"/>
            </w:pPr>
            <w:r>
              <w:rPr>
                <w:b w:val="false"/>
                <w:bCs w:val="false"/>
                <w:color w:val="000000"/>
              </w:rPr>
              <w:t xml:space="preserve">CCTV footage</w:t>
            </w:r>
          </w:p>
        </w:tc>
        <w:tc>
          <w:tcPr>
            <w:tcW w:type="dxa" w:w="3300"/>
            <w:tcMar>
              <w:top w:type="dxa" w:w="80"/>
              <w:left w:type="dxa" w:w="100"/>
              <w:bottom w:type="dxa" w:w="80"/>
              <w:right w:type="dxa" w:w="100"/>
            </w:tcMar>
            <w:vAlign w:val="center"/>
          </w:tcPr>
          <w:p>
            <w:pPr>
              <w:jc w:val="left"/>
            </w:pPr>
            <w:r>
              <w:rPr>
                <w:b w:val="false"/>
                <w:bCs w:val="false"/>
                <w:color w:val="000000"/>
              </w:rPr>
              <w:t xml:space="preserve">Retained on DVR for approximately 30 days</w:t>
            </w:r>
          </w:p>
        </w:tc>
        <w:tc>
          <w:tcPr>
            <w:tcW w:type="dxa" w:w="3200"/>
            <w:tcMar>
              <w:top w:type="dxa" w:w="80"/>
              <w:left w:type="dxa" w:w="100"/>
              <w:bottom w:type="dxa" w:w="80"/>
              <w:right w:type="dxa" w:w="100"/>
            </w:tcMar>
            <w:vAlign w:val="center"/>
          </w:tcPr>
          <w:p>
            <w:pPr>
              <w:jc w:val="left"/>
            </w:pPr>
            <w:r>
              <w:rPr>
                <w:b w:val="false"/>
                <w:bCs w:val="false"/>
                <w:color w:val="000000"/>
              </w:rPr>
              <w:t xml:space="preserve">Retention period not formally documented as policy</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rPr>
              <w:t xml:space="preserve">Decommissioned IT hardware</w:t>
            </w:r>
          </w:p>
        </w:tc>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Secure wipe process documented and followed</w:t>
            </w:r>
          </w:p>
        </w:tc>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No gap identified</w:t>
            </w:r>
          </w:p>
        </w:tc>
      </w:tr>
    </w:tbl>
    <w:p>
      <w:pPr>
        <w:pStyle w:val="Heading1"/>
        <w:spacing w:after="160" w:before="360"/>
      </w:pPr>
      <w:r>
        <w:t xml:space="preserve">6. Cross-Border and Third-Party Processing</w:t>
      </w:r>
    </w:p>
    <w:p>
      <w:pPr>
        <w:spacing w:after="160"/>
      </w:pPr>
      <w:r>
        <w:t xml:space="preserve">The Hospital's Laboratory Information System (LIS) integration is provided by a third-party vendor, hosted within South Africa. No cross-border transfer of patient personal information was identified. The vendor contract does not currently include a POPIA-specific operator agreement under section 21.</w:t>
      </w:r>
    </w:p>
    <w:p>
      <w:pPr>
        <w:spacing w:after="160"/>
      </w:pPr>
      <w:r>
        <w:t xml:space="preserve">Recommendation: introduce a section 21 operator agreement with the LIS vendor at next contract renewal, cross-referenced in the Risk Register (R-03).</w:t>
      </w:r>
    </w:p>
    <w:p>
      <w:pPr>
        <w:pStyle w:val="Heading1"/>
        <w:spacing w:after="160" w:before="360"/>
      </w:pPr>
      <w:r>
        <w:t xml:space="preserve">7. Breach Notification Readiness (Section 22)</w:t>
      </w:r>
    </w:p>
    <w:p>
      <w:pPr>
        <w:spacing w:after="160"/>
      </w:pPr>
      <w:r>
        <w:t xml:space="preserve">POPIA section 22 requires the Information Officer to notify the Information Regulator and, where reasonably possible, affected data subjects, as soon as reasonably possible after a personal information breach is discovered.</w:t>
      </w:r>
    </w:p>
    <w:p>
      <w:pPr>
        <w:spacing w:after="160"/>
      </w:pPr>
      <w:r>
        <w:t xml:space="preserve">Current state: a draft breach notification workflow exists within the Incident Response Playbook (Section 6) but has not been rehearsed, and no pre-drafted notification templates exist.</w:t>
      </w:r>
    </w:p>
    <w:p>
      <w:pPr>
        <w:spacing w:after="160"/>
      </w:pPr>
      <w:r>
        <w:t xml:space="preserve">Recommendation: finalise the breach notification workflow with Legal and Communications input, pre-draft regulator and patient notification templates, and set an internal decision SLA (e.g. a 72-hour internal escalation target) — see Incident Response Playbook, Section 6, and Risk Register R-07.</w:t>
      </w:r>
    </w:p>
    <w:p>
      <w:pPr>
        <w:pStyle w:val="Heading1"/>
        <w:spacing w:after="160" w:before="360"/>
      </w:pPr>
      <w:r>
        <w:t xml:space="preserve">8. Summary of Findings and Priority Actions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gridCol w:w="1600"/>
        <w:gridCol w:w="2300"/>
      </w:tblGrid>
      <w:tr>
        <w:trPr>
          <w:tblHeader/>
        </w:trPr>
        <w:tc>
          <w:tcPr>
            <w:tcW w:type="dxa" w:w="500"/>
            <w:shd w:fill="1F3864" w:val="clear"/>
            <w:tcMar>
              <w:top w:type="dxa" w:w="80"/>
              <w:left w:type="dxa" w:w="100"/>
              <w:bottom w:type="dxa" w:w="80"/>
              <w:right w:type="dxa" w:w="100"/>
            </w:tcMar>
            <w:vAlign w:val="center"/>
          </w:tcPr>
          <w:p>
            <w:pPr>
              <w:jc w:val="center"/>
            </w:pPr>
            <w:r>
              <w:rPr>
                <w:b/>
                <w:bCs/>
                <w:color w:val="FFFFFF"/>
              </w:rPr>
              <w:t xml:space="preserve">#</w:t>
            </w:r>
          </w:p>
        </w:tc>
        <w:tc>
          <w:tcPr>
            <w:tcW w:type="dxa" w:w="5100"/>
            <w:shd w:fill="1F3864" w:val="clear"/>
            <w:tcMar>
              <w:top w:type="dxa" w:w="80"/>
              <w:left w:type="dxa" w:w="100"/>
              <w:bottom w:type="dxa" w:w="80"/>
              <w:right w:type="dxa" w:w="100"/>
            </w:tcMar>
            <w:vAlign w:val="center"/>
          </w:tcPr>
          <w:p>
            <w:pPr>
              <w:jc w:val="center"/>
            </w:pPr>
            <w:r>
              <w:rPr>
                <w:b/>
                <w:bCs/>
                <w:color w:val="FFFFFF"/>
              </w:rPr>
              <w:t xml:space="preserve">Finding</w:t>
            </w:r>
          </w:p>
        </w:tc>
        <w:tc>
          <w:tcPr>
            <w:tcW w:type="dxa" w:w="1600"/>
            <w:shd w:fill="1F3864" w:val="clear"/>
            <w:tcMar>
              <w:top w:type="dxa" w:w="80"/>
              <w:left w:type="dxa" w:w="100"/>
              <w:bottom w:type="dxa" w:w="80"/>
              <w:right w:type="dxa" w:w="100"/>
            </w:tcMar>
            <w:vAlign w:val="center"/>
          </w:tcPr>
          <w:p>
            <w:pPr>
              <w:jc w:val="center"/>
            </w:pPr>
            <w:r>
              <w:rPr>
                <w:b/>
                <w:bCs/>
                <w:color w:val="FFFFFF"/>
              </w:rPr>
              <w:t xml:space="preserve">Priority</w:t>
            </w:r>
          </w:p>
        </w:tc>
        <w:tc>
          <w:tcPr>
            <w:tcW w:type="dxa" w:w="2300"/>
            <w:shd w:fill="1F3864" w:val="clear"/>
            <w:tcMar>
              <w:top w:type="dxa" w:w="80"/>
              <w:left w:type="dxa" w:w="100"/>
              <w:bottom w:type="dxa" w:w="80"/>
              <w:right w:type="dxa" w:w="100"/>
            </w:tcMar>
            <w:vAlign w:val="center"/>
          </w:tcPr>
          <w:p>
            <w:pPr>
              <w:jc w:val="center"/>
            </w:pPr>
            <w:r>
              <w:rPr>
                <w:b/>
                <w:bCs/>
                <w:color w:val="FFFFFF"/>
              </w:rPr>
              <w:t xml:space="preserve">Owner</w:t>
            </w:r>
          </w:p>
        </w:tc>
      </w:tr>
      <w:tr>
        <w:tc>
          <w:tcPr>
            <w:tcW w:type="dxa" w:w="500"/>
            <w:tcMar>
              <w:top w:type="dxa" w:w="80"/>
              <w:left w:type="dxa" w:w="100"/>
              <w:bottom w:type="dxa" w:w="80"/>
              <w:right w:type="dxa" w:w="100"/>
            </w:tcMar>
            <w:vAlign w:val="center"/>
          </w:tcPr>
          <w:p>
            <w:pPr>
              <w:jc w:val="left"/>
            </w:pPr>
            <w:r>
              <w:rPr>
                <w:b w:val="false"/>
                <w:bCs w:val="false"/>
                <w:color w:val="000000"/>
              </w:rPr>
              <w:t xml:space="preserve">1</w:t>
            </w:r>
          </w:p>
        </w:tc>
        <w:tc>
          <w:tcPr>
            <w:tcW w:type="dxa" w:w="5100"/>
            <w:tcMar>
              <w:top w:type="dxa" w:w="80"/>
              <w:left w:type="dxa" w:w="100"/>
              <w:bottom w:type="dxa" w:w="80"/>
              <w:right w:type="dxa" w:w="100"/>
            </w:tcMar>
            <w:vAlign w:val="center"/>
          </w:tcPr>
          <w:p>
            <w:pPr>
              <w:jc w:val="left"/>
            </w:pPr>
            <w:r>
              <w:rPr>
                <w:b w:val="false"/>
                <w:bCs w:val="false"/>
                <w:color w:val="000000"/>
              </w:rPr>
              <w:t xml:space="preserve">No Deputy Information Officer for continuity of breach decisions</w:t>
            </w:r>
          </w:p>
        </w:tc>
        <w:tc>
          <w:tcPr>
            <w:tcW w:type="dxa" w:w="1600"/>
            <w:tcMar>
              <w:top w:type="dxa" w:w="80"/>
              <w:left w:type="dxa" w:w="100"/>
              <w:bottom w:type="dxa" w:w="80"/>
              <w:right w:type="dxa" w:w="100"/>
            </w:tcMar>
            <w:vAlign w:val="center"/>
          </w:tcPr>
          <w:p>
            <w:pPr>
              <w:jc w:val="left"/>
            </w:pPr>
            <w:r>
              <w:rPr>
                <w:b w:val="false"/>
                <w:bCs w:val="false"/>
                <w:color w:val="000000"/>
              </w:rPr>
              <w:t xml:space="preserve">Medium</w:t>
            </w:r>
          </w:p>
        </w:tc>
        <w:tc>
          <w:tcPr>
            <w:tcW w:type="dxa" w:w="2300"/>
            <w:tcMar>
              <w:top w:type="dxa" w:w="80"/>
              <w:left w:type="dxa" w:w="100"/>
              <w:bottom w:type="dxa" w:w="80"/>
              <w:right w:type="dxa" w:w="100"/>
            </w:tcMar>
            <w:vAlign w:val="center"/>
          </w:tcPr>
          <w:p>
            <w:pPr>
              <w:jc w:val="left"/>
            </w:pPr>
            <w:r>
              <w:rPr>
                <w:b w:val="false"/>
                <w:bCs w:val="false"/>
                <w:color w:val="000000"/>
              </w:rPr>
              <w:t xml:space="preserve">Information Officer</w:t>
            </w:r>
          </w:p>
        </w:tc>
      </w:tr>
      <w:tr>
        <w:tc>
          <w:tcPr>
            <w:tcW w:type="dxa" w:w="500"/>
            <w:shd w:fill="F2F2F2" w:val="clear"/>
            <w:tcMar>
              <w:top w:type="dxa" w:w="80"/>
              <w:left w:type="dxa" w:w="100"/>
              <w:bottom w:type="dxa" w:w="80"/>
              <w:right w:type="dxa" w:w="100"/>
            </w:tcMar>
            <w:vAlign w:val="center"/>
          </w:tcPr>
          <w:p>
            <w:pPr>
              <w:jc w:val="left"/>
            </w:pPr>
            <w:r>
              <w:rPr>
                <w:b w:val="false"/>
                <w:bCs w:val="false"/>
                <w:color w:val="000000"/>
              </w:rPr>
              <w:t xml:space="preserve">2</w:t>
            </w:r>
          </w:p>
        </w:tc>
        <w:tc>
          <w:tcPr>
            <w:tcW w:type="dxa" w:w="5100"/>
            <w:shd w:fill="F2F2F2" w:val="clear"/>
            <w:tcMar>
              <w:top w:type="dxa" w:w="80"/>
              <w:left w:type="dxa" w:w="100"/>
              <w:bottom w:type="dxa" w:w="80"/>
              <w:right w:type="dxa" w:w="100"/>
            </w:tcMar>
            <w:vAlign w:val="center"/>
          </w:tcPr>
          <w:p>
            <w:pPr>
              <w:jc w:val="left"/>
            </w:pPr>
            <w:r>
              <w:rPr>
                <w:b w:val="false"/>
                <w:bCs w:val="false"/>
                <w:color w:val="000000"/>
              </w:rPr>
              <w:t xml:space="preserve">Secondary-use consent not separated from treatment consent</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Medium</w:t>
            </w:r>
          </w:p>
        </w:tc>
        <w:tc>
          <w:tcPr>
            <w:tcW w:type="dxa" w:w="2300"/>
            <w:shd w:fill="F2F2F2" w:val="clear"/>
            <w:tcMar>
              <w:top w:type="dxa" w:w="80"/>
              <w:left w:type="dxa" w:w="100"/>
              <w:bottom w:type="dxa" w:w="80"/>
              <w:right w:type="dxa" w:w="100"/>
            </w:tcMar>
            <w:vAlign w:val="center"/>
          </w:tcPr>
          <w:p>
            <w:pPr>
              <w:jc w:val="left"/>
            </w:pPr>
            <w:r>
              <w:rPr>
                <w:b w:val="false"/>
                <w:bCs w:val="false"/>
                <w:color w:val="000000"/>
              </w:rPr>
              <w:t xml:space="preserve">Health Information Management</w:t>
            </w:r>
          </w:p>
        </w:tc>
      </w:tr>
      <w:tr>
        <w:tc>
          <w:tcPr>
            <w:tcW w:type="dxa" w:w="500"/>
            <w:tcMar>
              <w:top w:type="dxa" w:w="80"/>
              <w:left w:type="dxa" w:w="100"/>
              <w:bottom w:type="dxa" w:w="80"/>
              <w:right w:type="dxa" w:w="100"/>
            </w:tcMar>
            <w:vAlign w:val="center"/>
          </w:tcPr>
          <w:p>
            <w:pPr>
              <w:jc w:val="left"/>
            </w:pPr>
            <w:r>
              <w:rPr>
                <w:b w:val="false"/>
                <w:bCs w:val="false"/>
                <w:color w:val="000000"/>
              </w:rPr>
              <w:t xml:space="preserve">3</w:t>
            </w:r>
          </w:p>
        </w:tc>
        <w:tc>
          <w:tcPr>
            <w:tcW w:type="dxa" w:w="5100"/>
            <w:tcMar>
              <w:top w:type="dxa" w:w="80"/>
              <w:left w:type="dxa" w:w="100"/>
              <w:bottom w:type="dxa" w:w="80"/>
              <w:right w:type="dxa" w:w="100"/>
            </w:tcMar>
            <w:vAlign w:val="center"/>
          </w:tcPr>
          <w:p>
            <w:pPr>
              <w:jc w:val="left"/>
            </w:pPr>
            <w:r>
              <w:rPr>
                <w:b w:val="false"/>
                <w:bCs w:val="false"/>
                <w:color w:val="000000"/>
              </w:rPr>
              <w:t xml:space="preserve">No formal Records Retention and Disposal Schedule</w:t>
            </w:r>
          </w:p>
        </w:tc>
        <w:tc>
          <w:tcPr>
            <w:tcW w:type="dxa" w:w="1600"/>
            <w:tcMar>
              <w:top w:type="dxa" w:w="80"/>
              <w:left w:type="dxa" w:w="100"/>
              <w:bottom w:type="dxa" w:w="80"/>
              <w:right w:type="dxa" w:w="100"/>
            </w:tcMar>
            <w:vAlign w:val="center"/>
          </w:tcPr>
          <w:p>
            <w:pPr>
              <w:jc w:val="left"/>
            </w:pPr>
            <w:r>
              <w:rPr>
                <w:b w:val="false"/>
                <w:bCs w:val="false"/>
                <w:color w:val="000000"/>
              </w:rPr>
              <w:t xml:space="preserve">High</w:t>
            </w:r>
          </w:p>
        </w:tc>
        <w:tc>
          <w:tcPr>
            <w:tcW w:type="dxa" w:w="2300"/>
            <w:tcMar>
              <w:top w:type="dxa" w:w="80"/>
              <w:left w:type="dxa" w:w="100"/>
              <w:bottom w:type="dxa" w:w="80"/>
              <w:right w:type="dxa" w:w="100"/>
            </w:tcMar>
            <w:vAlign w:val="center"/>
          </w:tcPr>
          <w:p>
            <w:pPr>
              <w:jc w:val="left"/>
            </w:pPr>
            <w:r>
              <w:rPr>
                <w:b w:val="false"/>
                <w:bCs w:val="false"/>
                <w:color w:val="000000"/>
              </w:rPr>
              <w:t xml:space="preserve">Records Manager / Information Officer</w:t>
            </w:r>
          </w:p>
        </w:tc>
      </w:tr>
      <w:tr>
        <w:tc>
          <w:tcPr>
            <w:tcW w:type="dxa" w:w="500"/>
            <w:shd w:fill="F2F2F2" w:val="clear"/>
            <w:tcMar>
              <w:top w:type="dxa" w:w="80"/>
              <w:left w:type="dxa" w:w="100"/>
              <w:bottom w:type="dxa" w:w="80"/>
              <w:right w:type="dxa" w:w="100"/>
            </w:tcMar>
            <w:vAlign w:val="center"/>
          </w:tcPr>
          <w:p>
            <w:pPr>
              <w:jc w:val="left"/>
            </w:pPr>
            <w:r>
              <w:rPr>
                <w:b w:val="false"/>
                <w:bCs w:val="false"/>
                <w:color w:val="000000"/>
              </w:rPr>
              <w:t xml:space="preserve">4</w:t>
            </w:r>
          </w:p>
        </w:tc>
        <w:tc>
          <w:tcPr>
            <w:tcW w:type="dxa" w:w="5100"/>
            <w:shd w:fill="F2F2F2" w:val="clear"/>
            <w:tcMar>
              <w:top w:type="dxa" w:w="80"/>
              <w:left w:type="dxa" w:w="100"/>
              <w:bottom w:type="dxa" w:w="80"/>
              <w:right w:type="dxa" w:w="100"/>
            </w:tcMar>
            <w:vAlign w:val="center"/>
          </w:tcPr>
          <w:p>
            <w:pPr>
              <w:jc w:val="left"/>
            </w:pPr>
            <w:r>
              <w:rPr>
                <w:b w:val="false"/>
                <w:bCs w:val="false"/>
                <w:color w:val="000000"/>
              </w:rPr>
              <w:t xml:space="preserve">No standalone patient privacy notice at admission</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Medium</w:t>
            </w:r>
          </w:p>
        </w:tc>
        <w:tc>
          <w:tcPr>
            <w:tcW w:type="dxa" w:w="2300"/>
            <w:shd w:fill="F2F2F2" w:val="clear"/>
            <w:tcMar>
              <w:top w:type="dxa" w:w="80"/>
              <w:left w:type="dxa" w:w="100"/>
              <w:bottom w:type="dxa" w:w="80"/>
              <w:right w:type="dxa" w:w="100"/>
            </w:tcMar>
            <w:vAlign w:val="center"/>
          </w:tcPr>
          <w:p>
            <w:pPr>
              <w:jc w:val="left"/>
            </w:pPr>
            <w:r>
              <w:rPr>
                <w:b w:val="false"/>
                <w:bCs w:val="false"/>
                <w:color w:val="000000"/>
              </w:rPr>
              <w:t xml:space="preserve">Health Information Management</w:t>
            </w:r>
          </w:p>
        </w:tc>
      </w:tr>
      <w:tr>
        <w:tc>
          <w:tcPr>
            <w:tcW w:type="dxa" w:w="500"/>
            <w:tcMar>
              <w:top w:type="dxa" w:w="80"/>
              <w:left w:type="dxa" w:w="100"/>
              <w:bottom w:type="dxa" w:w="80"/>
              <w:right w:type="dxa" w:w="100"/>
            </w:tcMar>
            <w:vAlign w:val="center"/>
          </w:tcPr>
          <w:p>
            <w:pPr>
              <w:jc w:val="left"/>
            </w:pPr>
            <w:r>
              <w:rPr>
                <w:b w:val="false"/>
                <w:bCs w:val="false"/>
                <w:color w:val="000000"/>
              </w:rPr>
              <w:t xml:space="preserve">5</w:t>
            </w:r>
          </w:p>
        </w:tc>
        <w:tc>
          <w:tcPr>
            <w:tcW w:type="dxa" w:w="5100"/>
            <w:tcMar>
              <w:top w:type="dxa" w:w="80"/>
              <w:left w:type="dxa" w:w="100"/>
              <w:bottom w:type="dxa" w:w="80"/>
              <w:right w:type="dxa" w:w="100"/>
            </w:tcMar>
            <w:vAlign w:val="center"/>
          </w:tcPr>
          <w:p>
            <w:pPr>
              <w:jc w:val="left"/>
            </w:pPr>
            <w:r>
              <w:rPr>
                <w:b w:val="false"/>
                <w:bCs w:val="false"/>
                <w:color w:val="000000"/>
              </w:rPr>
              <w:t xml:space="preserve">Access recertification for EHR not scheduled</w:t>
            </w:r>
          </w:p>
        </w:tc>
        <w:tc>
          <w:tcPr>
            <w:tcW w:type="dxa" w:w="1600"/>
            <w:tcMar>
              <w:top w:type="dxa" w:w="80"/>
              <w:left w:type="dxa" w:w="100"/>
              <w:bottom w:type="dxa" w:w="80"/>
              <w:right w:type="dxa" w:w="100"/>
            </w:tcMar>
            <w:vAlign w:val="center"/>
          </w:tcPr>
          <w:p>
            <w:pPr>
              <w:jc w:val="left"/>
            </w:pPr>
            <w:r>
              <w:rPr>
                <w:b w:val="false"/>
                <w:bCs w:val="false"/>
                <w:color w:val="000000"/>
              </w:rPr>
              <w:t xml:space="preserve">High</w:t>
            </w:r>
          </w:p>
        </w:tc>
        <w:tc>
          <w:tcPr>
            <w:tcW w:type="dxa" w:w="2300"/>
            <w:tcMar>
              <w:top w:type="dxa" w:w="80"/>
              <w:left w:type="dxa" w:w="100"/>
              <w:bottom w:type="dxa" w:w="80"/>
              <w:right w:type="dxa" w:w="100"/>
            </w:tcMar>
            <w:vAlign w:val="center"/>
          </w:tcPr>
          <w:p>
            <w:pPr>
              <w:jc w:val="left"/>
            </w:pPr>
            <w:r>
              <w:rPr>
                <w:b w:val="false"/>
                <w:bCs w:val="false"/>
                <w:color w:val="000000"/>
              </w:rPr>
              <w:t xml:space="preserve">Information Officer</w:t>
            </w:r>
          </w:p>
        </w:tc>
      </w:tr>
      <w:tr>
        <w:tc>
          <w:tcPr>
            <w:tcW w:type="dxa" w:w="500"/>
            <w:shd w:fill="F2F2F2" w:val="clear"/>
            <w:tcMar>
              <w:top w:type="dxa" w:w="80"/>
              <w:left w:type="dxa" w:w="100"/>
              <w:bottom w:type="dxa" w:w="80"/>
              <w:right w:type="dxa" w:w="100"/>
            </w:tcMar>
            <w:vAlign w:val="center"/>
          </w:tcPr>
          <w:p>
            <w:pPr>
              <w:jc w:val="left"/>
            </w:pPr>
            <w:r>
              <w:rPr>
                <w:b w:val="false"/>
                <w:bCs w:val="false"/>
                <w:color w:val="000000"/>
              </w:rPr>
              <w:t xml:space="preserve">6</w:t>
            </w:r>
          </w:p>
        </w:tc>
        <w:tc>
          <w:tcPr>
            <w:tcW w:type="dxa" w:w="5100"/>
            <w:shd w:fill="F2F2F2" w:val="clear"/>
            <w:tcMar>
              <w:top w:type="dxa" w:w="80"/>
              <w:left w:type="dxa" w:w="100"/>
              <w:bottom w:type="dxa" w:w="80"/>
              <w:right w:type="dxa" w:w="100"/>
            </w:tcMar>
            <w:vAlign w:val="center"/>
          </w:tcPr>
          <w:p>
            <w:pPr>
              <w:jc w:val="left"/>
            </w:pPr>
            <w:r>
              <w:rPr>
                <w:b w:val="false"/>
                <w:bCs w:val="false"/>
                <w:color w:val="000000"/>
              </w:rPr>
              <w:t xml:space="preserve">No POPIA-specific confidentiality undertaking for non-clinical staff</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Medium</w:t>
            </w:r>
          </w:p>
        </w:tc>
        <w:tc>
          <w:tcPr>
            <w:tcW w:type="dxa" w:w="2300"/>
            <w:shd w:fill="F2F2F2" w:val="clear"/>
            <w:tcMar>
              <w:top w:type="dxa" w:w="80"/>
              <w:left w:type="dxa" w:w="100"/>
              <w:bottom w:type="dxa" w:w="80"/>
              <w:right w:type="dxa" w:w="100"/>
            </w:tcMar>
            <w:vAlign w:val="center"/>
          </w:tcPr>
          <w:p>
            <w:pPr>
              <w:jc w:val="left"/>
            </w:pPr>
            <w:r>
              <w:rPr>
                <w:b w:val="false"/>
                <w:bCs w:val="false"/>
                <w:color w:val="000000"/>
              </w:rPr>
              <w:t xml:space="preserve">HR Manager</w:t>
            </w:r>
          </w:p>
        </w:tc>
      </w:tr>
      <w:tr>
        <w:tc>
          <w:tcPr>
            <w:tcW w:type="dxa" w:w="500"/>
            <w:tcMar>
              <w:top w:type="dxa" w:w="80"/>
              <w:left w:type="dxa" w:w="100"/>
              <w:bottom w:type="dxa" w:w="80"/>
              <w:right w:type="dxa" w:w="100"/>
            </w:tcMar>
            <w:vAlign w:val="center"/>
          </w:tcPr>
          <w:p>
            <w:pPr>
              <w:jc w:val="left"/>
            </w:pPr>
            <w:r>
              <w:rPr>
                <w:b w:val="false"/>
                <w:bCs w:val="false"/>
                <w:color w:val="000000"/>
              </w:rPr>
              <w:t xml:space="preserve">7</w:t>
            </w:r>
          </w:p>
        </w:tc>
        <w:tc>
          <w:tcPr>
            <w:tcW w:type="dxa" w:w="5100"/>
            <w:tcMar>
              <w:top w:type="dxa" w:w="80"/>
              <w:left w:type="dxa" w:w="100"/>
              <w:bottom w:type="dxa" w:w="80"/>
              <w:right w:type="dxa" w:w="100"/>
            </w:tcMar>
            <w:vAlign w:val="center"/>
          </w:tcPr>
          <w:p>
            <w:pPr>
              <w:jc w:val="left"/>
            </w:pPr>
            <w:r>
              <w:rPr>
                <w:b w:val="false"/>
                <w:bCs w:val="false"/>
                <w:color w:val="000000"/>
              </w:rPr>
              <w:t xml:space="preserve">No section 21 operator agreement with LIS vendor</w:t>
            </w:r>
          </w:p>
        </w:tc>
        <w:tc>
          <w:tcPr>
            <w:tcW w:type="dxa" w:w="1600"/>
            <w:tcMar>
              <w:top w:type="dxa" w:w="80"/>
              <w:left w:type="dxa" w:w="100"/>
              <w:bottom w:type="dxa" w:w="80"/>
              <w:right w:type="dxa" w:w="100"/>
            </w:tcMar>
            <w:vAlign w:val="center"/>
          </w:tcPr>
          <w:p>
            <w:pPr>
              <w:jc w:val="left"/>
            </w:pPr>
            <w:r>
              <w:rPr>
                <w:b w:val="false"/>
                <w:bCs w:val="false"/>
                <w:color w:val="000000"/>
              </w:rPr>
              <w:t xml:space="preserve">Medium</w:t>
            </w:r>
          </w:p>
        </w:tc>
        <w:tc>
          <w:tcPr>
            <w:tcW w:type="dxa" w:w="2300"/>
            <w:tcMar>
              <w:top w:type="dxa" w:w="80"/>
              <w:left w:type="dxa" w:w="100"/>
              <w:bottom w:type="dxa" w:w="80"/>
              <w:right w:type="dxa" w:w="100"/>
            </w:tcMar>
            <w:vAlign w:val="center"/>
          </w:tcPr>
          <w:p>
            <w:pPr>
              <w:jc w:val="left"/>
            </w:pPr>
            <w:r>
              <w:rPr>
                <w:b w:val="false"/>
                <w:bCs w:val="false"/>
                <w:color w:val="000000"/>
              </w:rPr>
              <w:t xml:space="preserve">Head of Laboratory Services</w:t>
            </w:r>
          </w:p>
        </w:tc>
      </w:tr>
      <w:tr>
        <w:tc>
          <w:tcPr>
            <w:tcW w:type="dxa" w:w="500"/>
            <w:shd w:fill="F2F2F2" w:val="clear"/>
            <w:tcMar>
              <w:top w:type="dxa" w:w="80"/>
              <w:left w:type="dxa" w:w="100"/>
              <w:bottom w:type="dxa" w:w="80"/>
              <w:right w:type="dxa" w:w="100"/>
            </w:tcMar>
            <w:vAlign w:val="center"/>
          </w:tcPr>
          <w:p>
            <w:pPr>
              <w:jc w:val="left"/>
            </w:pPr>
            <w:r>
              <w:rPr>
                <w:b w:val="false"/>
                <w:bCs w:val="false"/>
                <w:color w:val="000000"/>
              </w:rPr>
              <w:t xml:space="preserve">8</w:t>
            </w:r>
          </w:p>
        </w:tc>
        <w:tc>
          <w:tcPr>
            <w:tcW w:type="dxa" w:w="5100"/>
            <w:shd w:fill="F2F2F2" w:val="clear"/>
            <w:tcMar>
              <w:top w:type="dxa" w:w="80"/>
              <w:left w:type="dxa" w:w="100"/>
              <w:bottom w:type="dxa" w:w="80"/>
              <w:right w:type="dxa" w:w="100"/>
            </w:tcMar>
            <w:vAlign w:val="center"/>
          </w:tcPr>
          <w:p>
            <w:pPr>
              <w:jc w:val="left"/>
            </w:pPr>
            <w:r>
              <w:rPr>
                <w:b w:val="false"/>
                <w:bCs w:val="false"/>
                <w:color w:val="000000"/>
              </w:rPr>
              <w:t xml:space="preserve">Breach notification workflow untested, no templates</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High</w:t>
            </w:r>
          </w:p>
        </w:tc>
        <w:tc>
          <w:tcPr>
            <w:tcW w:type="dxa" w:w="2300"/>
            <w:shd w:fill="F2F2F2" w:val="clear"/>
            <w:tcMar>
              <w:top w:type="dxa" w:w="80"/>
              <w:left w:type="dxa" w:w="100"/>
              <w:bottom w:type="dxa" w:w="80"/>
              <w:right w:type="dxa" w:w="100"/>
            </w:tcMar>
            <w:vAlign w:val="center"/>
          </w:tcPr>
          <w:p>
            <w:pPr>
              <w:jc w:val="left"/>
            </w:pPr>
            <w:r>
              <w:rPr>
                <w:b w:val="false"/>
                <w:bCs w:val="false"/>
                <w:color w:val="000000"/>
              </w:rPr>
              <w:t xml:space="preserve">Information Officer</w:t>
            </w:r>
          </w:p>
        </w:tc>
      </w:tr>
    </w:tbl>
    <w:p>
      <w:pPr>
        <w:pStyle w:val="Heading1"/>
        <w:spacing w:after="160" w:before="360"/>
      </w:pPr>
      <w:r>
        <w:t xml:space="preserve">9. Related Documents</w:t>
      </w:r>
    </w:p>
    <w:p>
      <w:pPr>
        <w:pStyle w:val="ListParagraph"/>
        <w:numPr>
          <w:ilvl w:val="0"/>
          <w:numId w:val="1"/>
        </w:numPr>
        <w:spacing w:after="80"/>
      </w:pPr>
      <w:r>
        <w:t xml:space="preserve">01_Governance_Charter.docx — Section 3 (HIGC structure) and Section 6 (risk appetite)</w:t>
      </w:r>
    </w:p>
    <w:p>
      <w:pPr>
        <w:pStyle w:val="ListParagraph"/>
        <w:numPr>
          <w:ilvl w:val="0"/>
          <w:numId w:val="1"/>
        </w:numPr>
        <w:spacing w:after="80"/>
      </w:pPr>
      <w:r>
        <w:t xml:space="preserve">02_Risk_Register.xlsx — risks R-02, R-06, R-07, and R-10 relate directly to findings in this assessment</w:t>
      </w:r>
    </w:p>
    <w:p>
      <w:pPr>
        <w:pStyle w:val="ListParagraph"/>
        <w:numPr>
          <w:ilvl w:val="0"/>
          <w:numId w:val="1"/>
        </w:numPr>
        <w:spacing w:after="80"/>
      </w:pPr>
      <w:r>
        <w:t xml:space="preserve">03_ISO27001_Gap_Assessment.xlsx — controls A.5.15, A.5.19, A.5.34, A.8.3, A.8.24</w:t>
      </w:r>
    </w:p>
    <w:p>
      <w:pPr>
        <w:pStyle w:val="ListParagraph"/>
        <w:numPr>
          <w:ilvl w:val="0"/>
          <w:numId w:val="1"/>
        </w:numPr>
        <w:spacing w:after="80"/>
      </w:pPr>
      <w:r>
        <w:t xml:space="preserve">05_Incident_Response_Playbook.docx — Section 6, breach notification procedure</w:t>
      </w:r>
    </w:p>
    <w:p>
      <w:pPr>
        <w:spacing w:before="400"/>
      </w:pPr>
    </w:p>
    <w:p>
      <w:pPr>
        <w:spacing w:after="160"/>
      </w:pPr>
      <w:r>
        <w:rPr>
          <w:b/>
          <w:bCs/>
        </w:rPr>
        <w:t xml:space="preserve">Assessed By: </w:t>
      </w:r>
      <w:r>
        <w:t xml:space="preserve">Information Officer, with input from Health Information Management and IT</w:t>
      </w:r>
    </w:p>
    <w:p>
      <w:pPr>
        <w:spacing w:after="160"/>
      </w:pPr>
      <w:r>
        <w:rPr>
          <w:b/>
          <w:bCs/>
        </w:rPr>
        <w:t xml:space="preserve">Next Assessment Due: </w:t>
      </w:r>
      <w:r>
        <w:t xml:space="preserve">12 months from approval, or sooner following a material system or process change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POPIA Compliance Assessment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GRC Portfolio Project — Kopano Community Hospital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2026-08-20T01:46:35.765Z</dcterms:created>
  <dcterms:modified xsi:type="dcterms:W3CDTF">2026-08-20T01:46:35.767Z</dcterms:modified>
</cp:coreProperties>
</file>

<file path=docProps/custom.xml><?xml version="1.0" encoding="utf-8"?>
<Properties xmlns="http://schemas.openxmlformats.org/officeDocument/2006/custom-properties" xmlns:vt="http://schemas.openxmlformats.org/officeDocument/2006/docPropsVTypes"/>
</file>