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32"/>
          <w:szCs w:val="32"/>
        </w:rPr>
        <w:t xml:space="preserve">KOPANO COMMUNITY HOSPITAL</w:t>
      </w:r>
    </w:p>
    <w:p>
      <w:pPr>
        <w:spacing w:before="200"/>
        <w:jc w:val="center"/>
      </w:pPr>
      <w:r>
        <w:rPr>
          <w:color w:val="595959"/>
          <w:sz w:val="22"/>
          <w:szCs w:val="22"/>
        </w:rPr>
        <w:t xml:space="preserve">Katlehong, Ekurhuleni, Gauteng</w:t>
      </w:r>
    </w:p>
    <w:p>
      <w:pPr>
        <w:spacing w:before="1200"/>
      </w:pPr>
    </w:p>
    <w:p>
      <w:pPr>
        <w:jc w:val="center"/>
      </w:pPr>
      <w:r>
        <w:rPr>
          <w:b/>
          <w:bCs/>
          <w:color w:val="1F3864"/>
          <w:sz w:val="40"/>
          <w:szCs w:val="40"/>
        </w:rPr>
        <w:t xml:space="preserve">Incident Response Playbook</w:t>
      </w:r>
    </w:p>
    <w:p>
      <w:pPr>
        <w:spacing w:before="200"/>
        <w:jc w:val="center"/>
      </w:pPr>
      <w:r>
        <w:rPr>
          <w:color w:val="595959"/>
          <w:sz w:val="24"/>
          <w:szCs w:val="24"/>
        </w:rPr>
        <w:t xml:space="preserve">Covering ransomware, medical device compromise, and personal information breach scenarios</w:t>
      </w:r>
    </w:p>
    <w:p>
      <w:pPr>
        <w:spacing w:before="1600"/>
      </w:pPr>
    </w:p>
    <w:p>
      <w:pPr>
        <w:jc w:val="center"/>
      </w:pPr>
      <w:r>
        <w:rPr>
          <w:color w:val="595959"/>
          <w:sz w:val="20"/>
          <w:szCs w:val="20"/>
        </w:rPr>
        <w:t xml:space="preserve">Document Reference: KCH-IR-001, Version 1.0</w:t>
      </w:r>
    </w:p>
    <w:p>
      <w:pPr>
        <w:jc w:val="center"/>
      </w:pPr>
      <w:r>
        <w:rPr>
          <w:color w:val="595959"/>
          <w:sz w:val="20"/>
          <w:szCs w:val="20"/>
        </w:rPr>
        <w:t xml:space="preserve">Classification: Internal Use Only</w:t>
      </w:r>
    </w:p>
    <w:p>
      <w:pPr>
        <w:jc w:val="center"/>
      </w:pPr>
      <w:r>
        <w:rPr>
          <w:i/>
          <w:iCs/>
          <w:color w:val="595959"/>
          <w:sz w:val="20"/>
          <w:szCs w:val="20"/>
        </w:rPr>
        <w:t xml:space="preserve">Portfolio Project — Fictional Organisation</w:t>
      </w:r>
    </w:p>
    <w:p>
      <w:r>
        <w:br w:type="page"/>
      </w:r>
    </w:p>
    <w:p>
      <w:pPr>
        <w:pStyle w:val="Heading1"/>
        <w:spacing w:after="160" w:before="360"/>
      </w:pPr>
      <w:r>
        <w:t xml:space="preserve">1. Purpose</w:t>
      </w:r>
    </w:p>
    <w:p>
      <w:pPr>
        <w:spacing w:after="160"/>
      </w:pPr>
      <w:r>
        <w:t xml:space="preserve">This playbook defines how Kopano Community Hospital detects, contains, and recovers from information security incidents, with particular attention to scenarios that carry patient safety implications. It is designed to be used under pressure — each scenario below sets out clear phases, named roles, and decision points.</w:t>
      </w:r>
    </w:p>
    <w:p>
      <w:pPr>
        <w:pStyle w:val="Heading1"/>
        <w:spacing w:after="160" w:before="360"/>
      </w:pPr>
      <w:r>
        <w:t xml:space="preserve">2. Incident Response Team and Escalation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864" w:val="clear"/>
            <w:tcMar>
              <w:top w:type="dxa" w:w="80"/>
              <w:left w:type="dxa" w:w="100"/>
              <w:bottom w:type="dxa" w:w="80"/>
              <w:right w:type="dxa" w:w="100"/>
            </w:tcMar>
            <w:vAlign w:val="center"/>
          </w:tcPr>
          <w:p>
            <w:pPr>
              <w:jc w:val="center"/>
            </w:pPr>
            <w:r>
              <w:rPr>
                <w:b/>
                <w:bCs/>
                <w:color w:val="FFFFFF"/>
              </w:rPr>
              <w:t xml:space="preserve">Role</w:t>
            </w:r>
          </w:p>
        </w:tc>
        <w:tc>
          <w:tcPr>
            <w:tcW w:type="dxa" w:w="6200"/>
            <w:shd w:fill="1F3864" w:val="clear"/>
            <w:tcMar>
              <w:top w:type="dxa" w:w="80"/>
              <w:left w:type="dxa" w:w="100"/>
              <w:bottom w:type="dxa" w:w="80"/>
              <w:right w:type="dxa" w:w="100"/>
            </w:tcMar>
            <w:vAlign w:val="center"/>
          </w:tcPr>
          <w:p>
            <w:pPr>
              <w:jc w:val="center"/>
            </w:pPr>
            <w:r>
              <w:rPr>
                <w:b/>
                <w:bCs/>
                <w:color w:val="FFFFFF"/>
              </w:rPr>
              <w:t xml:space="preserve">Primary Responsibility During an Incident</w:t>
            </w:r>
          </w:p>
        </w:tc>
      </w:tr>
      <w:tr>
        <w:tc>
          <w:tcPr>
            <w:tcW w:type="dxa" w:w="3300"/>
            <w:tcMar>
              <w:top w:type="dxa" w:w="80"/>
              <w:left w:type="dxa" w:w="100"/>
              <w:bottom w:type="dxa" w:w="80"/>
              <w:right w:type="dxa" w:w="100"/>
            </w:tcMar>
            <w:vAlign w:val="center"/>
          </w:tcPr>
          <w:p>
            <w:pPr>
              <w:jc w:val="left"/>
            </w:pPr>
            <w:r>
              <w:rPr>
                <w:b w:val="false"/>
                <w:bCs w:val="false"/>
                <w:color w:val="000000"/>
              </w:rPr>
              <w:t xml:space="preserve">Incident Commander (IT Manager)</w:t>
            </w:r>
          </w:p>
        </w:tc>
        <w:tc>
          <w:tcPr>
            <w:tcW w:type="dxa" w:w="6200"/>
            <w:tcMar>
              <w:top w:type="dxa" w:w="80"/>
              <w:left w:type="dxa" w:w="100"/>
              <w:bottom w:type="dxa" w:w="80"/>
              <w:right w:type="dxa" w:w="100"/>
            </w:tcMar>
            <w:vAlign w:val="center"/>
          </w:tcPr>
          <w:p>
            <w:pPr>
              <w:jc w:val="left"/>
            </w:pPr>
            <w:r>
              <w:rPr>
                <w:b w:val="false"/>
                <w:bCs w:val="false"/>
                <w:color w:val="000000"/>
              </w:rPr>
              <w:t xml:space="preserve">Leads the technical response; coordinates containment and recovery</w:t>
            </w:r>
          </w:p>
        </w:tc>
      </w:tr>
      <w:tr>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Chief Information Officer (CIO)</w:t>
            </w:r>
          </w:p>
        </w:tc>
        <w:tc>
          <w:tcPr>
            <w:tcW w:type="dxa" w:w="6200"/>
            <w:shd w:fill="F2F2F2" w:val="clear"/>
            <w:tcMar>
              <w:top w:type="dxa" w:w="80"/>
              <w:left w:type="dxa" w:w="100"/>
              <w:bottom w:type="dxa" w:w="80"/>
              <w:right w:type="dxa" w:w="100"/>
            </w:tcMar>
            <w:vAlign w:val="center"/>
          </w:tcPr>
          <w:p>
            <w:pPr>
              <w:jc w:val="left"/>
            </w:pPr>
            <w:r>
              <w:rPr>
                <w:b w:val="false"/>
                <w:bCs w:val="false"/>
                <w:color w:val="000000"/>
              </w:rPr>
              <w:t xml:space="preserve">Overall accountability; liaises with CEO and HIGC</w:t>
            </w:r>
          </w:p>
        </w:tc>
      </w:tr>
      <w:tr>
        <w:tc>
          <w:tcPr>
            <w:tcW w:type="dxa" w:w="3300"/>
            <w:tcMar>
              <w:top w:type="dxa" w:w="80"/>
              <w:left w:type="dxa" w:w="100"/>
              <w:bottom w:type="dxa" w:w="80"/>
              <w:right w:type="dxa" w:w="100"/>
            </w:tcMar>
            <w:vAlign w:val="center"/>
          </w:tcPr>
          <w:p>
            <w:pPr>
              <w:jc w:val="left"/>
            </w:pPr>
            <w:r>
              <w:rPr>
                <w:b w:val="false"/>
                <w:bCs w:val="false"/>
                <w:color w:val="000000"/>
              </w:rPr>
              <w:t xml:space="preserve">Information Officer</w:t>
            </w:r>
          </w:p>
        </w:tc>
        <w:tc>
          <w:tcPr>
            <w:tcW w:type="dxa" w:w="6200"/>
            <w:tcMar>
              <w:top w:type="dxa" w:w="80"/>
              <w:left w:type="dxa" w:w="100"/>
              <w:bottom w:type="dxa" w:w="80"/>
              <w:right w:type="dxa" w:w="100"/>
            </w:tcMar>
            <w:vAlign w:val="center"/>
          </w:tcPr>
          <w:p>
            <w:pPr>
              <w:jc w:val="left"/>
            </w:pPr>
            <w:r>
              <w:rPr>
                <w:b w:val="false"/>
                <w:bCs w:val="false"/>
                <w:color w:val="000000"/>
              </w:rPr>
              <w:t xml:space="preserve">Determines if a personal information breach has occurred; leads POPIA notification</w:t>
            </w:r>
          </w:p>
        </w:tc>
      </w:tr>
      <w:tr>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Clinical Governance Lead</w:t>
            </w:r>
          </w:p>
        </w:tc>
        <w:tc>
          <w:tcPr>
            <w:tcW w:type="dxa" w:w="6200"/>
            <w:shd w:fill="F2F2F2" w:val="clear"/>
            <w:tcMar>
              <w:top w:type="dxa" w:w="80"/>
              <w:left w:type="dxa" w:w="100"/>
              <w:bottom w:type="dxa" w:w="80"/>
              <w:right w:type="dxa" w:w="100"/>
            </w:tcMar>
            <w:vAlign w:val="center"/>
          </w:tcPr>
          <w:p>
            <w:pPr>
              <w:jc w:val="left"/>
            </w:pPr>
            <w:r>
              <w:rPr>
                <w:b w:val="false"/>
                <w:bCs w:val="false"/>
                <w:color w:val="000000"/>
              </w:rPr>
              <w:t xml:space="preserve">Assesses and manages patient safety impact; authorises clinical downtime procedures</w:t>
            </w:r>
          </w:p>
        </w:tc>
      </w:tr>
      <w:tr>
        <w:tc>
          <w:tcPr>
            <w:tcW w:type="dxa" w:w="3300"/>
            <w:tcMar>
              <w:top w:type="dxa" w:w="80"/>
              <w:left w:type="dxa" w:w="100"/>
              <w:bottom w:type="dxa" w:w="80"/>
              <w:right w:type="dxa" w:w="100"/>
            </w:tcMar>
            <w:vAlign w:val="center"/>
          </w:tcPr>
          <w:p>
            <w:pPr>
              <w:jc w:val="left"/>
            </w:pPr>
            <w:r>
              <w:rPr>
                <w:b w:val="false"/>
                <w:bCs w:val="false"/>
                <w:color w:val="000000"/>
              </w:rPr>
              <w:t xml:space="preserve">Biomedical Engineering Lead</w:t>
            </w:r>
          </w:p>
        </w:tc>
        <w:tc>
          <w:tcPr>
            <w:tcW w:type="dxa" w:w="6200"/>
            <w:tcMar>
              <w:top w:type="dxa" w:w="80"/>
              <w:left w:type="dxa" w:w="100"/>
              <w:bottom w:type="dxa" w:w="80"/>
              <w:right w:type="dxa" w:w="100"/>
            </w:tcMar>
            <w:vAlign w:val="center"/>
          </w:tcPr>
          <w:p>
            <w:pPr>
              <w:jc w:val="left"/>
            </w:pPr>
            <w:r>
              <w:rPr>
                <w:b w:val="false"/>
                <w:bCs w:val="false"/>
                <w:color w:val="000000"/>
              </w:rPr>
              <w:t xml:space="preserve">Assesses medical device impact; isolates affected devices</w:t>
            </w:r>
          </w:p>
        </w:tc>
      </w:tr>
      <w:tr>
        <w:tc>
          <w:tcPr>
            <w:tcW w:type="dxa" w:w="3300"/>
            <w:shd w:fill="F2F2F2" w:val="clear"/>
            <w:tcMar>
              <w:top w:type="dxa" w:w="80"/>
              <w:left w:type="dxa" w:w="100"/>
              <w:bottom w:type="dxa" w:w="80"/>
              <w:right w:type="dxa" w:w="100"/>
            </w:tcMar>
            <w:vAlign w:val="center"/>
          </w:tcPr>
          <w:p>
            <w:pPr>
              <w:jc w:val="left"/>
            </w:pPr>
            <w:r>
              <w:rPr>
                <w:b w:val="false"/>
                <w:bCs w:val="false"/>
                <w:color w:val="000000"/>
              </w:rPr>
              <w:t xml:space="preserve">Communications Lead</w:t>
            </w:r>
          </w:p>
        </w:tc>
        <w:tc>
          <w:tcPr>
            <w:tcW w:type="dxa" w:w="6200"/>
            <w:shd w:fill="F2F2F2" w:val="clear"/>
            <w:tcMar>
              <w:top w:type="dxa" w:w="80"/>
              <w:left w:type="dxa" w:w="100"/>
              <w:bottom w:type="dxa" w:w="80"/>
              <w:right w:type="dxa" w:w="100"/>
            </w:tcMar>
            <w:vAlign w:val="center"/>
          </w:tcPr>
          <w:p>
            <w:pPr>
              <w:jc w:val="left"/>
            </w:pPr>
            <w:r>
              <w:rPr>
                <w:b w:val="false"/>
                <w:bCs w:val="false"/>
                <w:color w:val="000000"/>
              </w:rPr>
              <w:t xml:space="preserve">Manages internal staff communication and, if needed, public/media statements</w:t>
            </w:r>
          </w:p>
        </w:tc>
      </w:tr>
      <w:tr>
        <w:tc>
          <w:tcPr>
            <w:tcW w:type="dxa" w:w="3300"/>
            <w:tcMar>
              <w:top w:type="dxa" w:w="80"/>
              <w:left w:type="dxa" w:w="100"/>
              <w:bottom w:type="dxa" w:w="80"/>
              <w:right w:type="dxa" w:w="100"/>
            </w:tcMar>
            <w:vAlign w:val="center"/>
          </w:tcPr>
          <w:p>
            <w:pPr>
              <w:jc w:val="left"/>
            </w:pPr>
            <w:r>
              <w:rPr>
                <w:b w:val="false"/>
                <w:bCs w:val="false"/>
                <w:color w:val="000000"/>
              </w:rPr>
              <w:t xml:space="preserve">Hospital CEO</w:t>
            </w:r>
          </w:p>
        </w:tc>
        <w:tc>
          <w:tcPr>
            <w:tcW w:type="dxa" w:w="6200"/>
            <w:tcMar>
              <w:top w:type="dxa" w:w="80"/>
              <w:left w:type="dxa" w:w="100"/>
              <w:bottom w:type="dxa" w:w="80"/>
              <w:right w:type="dxa" w:w="100"/>
            </w:tcMar>
            <w:vAlign w:val="center"/>
          </w:tcPr>
          <w:p>
            <w:pPr>
              <w:jc w:val="left"/>
            </w:pPr>
            <w:r>
              <w:rPr>
                <w:b w:val="false"/>
                <w:bCs w:val="false"/>
                <w:color w:val="000000"/>
              </w:rPr>
              <w:t xml:space="preserve">Final decision-maker on major service disruption or public notification</w:t>
            </w:r>
          </w:p>
        </w:tc>
      </w:tr>
    </w:tbl>
    <w:p>
      <w:pPr>
        <w:spacing w:after="160"/>
      </w:pPr>
      <w:r>
        <w:t xml:space="preserve">Escalation trigger: any suspected compromise of a clinical system, medical device, or patient data must be reported immediately to the IT Service Desk, which pages the Incident Commander within 15 minutes.</w:t>
      </w:r>
    </w:p>
    <w:p>
      <w:pPr>
        <w:pStyle w:val="Heading1"/>
        <w:spacing w:after="160" w:before="360"/>
      </w:pPr>
      <w:r>
        <w:t xml:space="preserve">3. Incident Response Phases (General)</w:t>
      </w:r>
    </w:p>
    <w:p>
      <w:pPr>
        <w:pStyle w:val="ListParagraph"/>
        <w:numPr>
          <w:ilvl w:val="0"/>
          <w:numId w:val="2"/>
        </w:numPr>
        <w:spacing w:after="80"/>
      </w:pPr>
      <w:r>
        <w:t xml:space="preserve">Preparation — maintain this playbook, backups, contact lists, and run periodic tabletop exercises.</w:t>
      </w:r>
    </w:p>
    <w:p>
      <w:pPr>
        <w:pStyle w:val="ListParagraph"/>
        <w:numPr>
          <w:ilvl w:val="0"/>
          <w:numId w:val="2"/>
        </w:numPr>
        <w:spacing w:after="80"/>
      </w:pPr>
      <w:r>
        <w:t xml:space="preserve">Identification — confirm whether an event is a genuine security incident and classify its severity.</w:t>
      </w:r>
    </w:p>
    <w:p>
      <w:pPr>
        <w:pStyle w:val="ListParagraph"/>
        <w:numPr>
          <w:ilvl w:val="0"/>
          <w:numId w:val="2"/>
        </w:numPr>
        <w:spacing w:after="80"/>
      </w:pPr>
      <w:r>
        <w:t xml:space="preserve">Containment — limit the spread of the incident (short-term) while preserving evidence.</w:t>
      </w:r>
    </w:p>
    <w:p>
      <w:pPr>
        <w:pStyle w:val="ListParagraph"/>
        <w:numPr>
          <w:ilvl w:val="0"/>
          <w:numId w:val="2"/>
        </w:numPr>
        <w:spacing w:after="80"/>
      </w:pPr>
      <w:r>
        <w:t xml:space="preserve">Eradication — remove the root cause (malware, unauthorised access, misconfiguration).</w:t>
      </w:r>
    </w:p>
    <w:p>
      <w:pPr>
        <w:pStyle w:val="ListParagraph"/>
        <w:numPr>
          <w:ilvl w:val="0"/>
          <w:numId w:val="2"/>
        </w:numPr>
        <w:spacing w:after="80"/>
      </w:pPr>
      <w:r>
        <w:t xml:space="preserve">Recovery — restore affected systems to normal operation, with heightened monitoring.</w:t>
      </w:r>
    </w:p>
    <w:p>
      <w:pPr>
        <w:pStyle w:val="ListParagraph"/>
        <w:numPr>
          <w:ilvl w:val="0"/>
          <w:numId w:val="2"/>
        </w:numPr>
        <w:spacing w:after="80"/>
      </w:pPr>
      <w:r>
        <w:t xml:space="preserve">Lessons Learned — document the incident and update the Risk Register and this playbook within 10 working days.</w:t>
      </w:r>
    </w:p>
    <w:p>
      <w:pPr>
        <w:pStyle w:val="Heading1"/>
        <w:spacing w:after="160" w:before="360"/>
      </w:pPr>
      <w:r>
        <w:t xml:space="preserve">4. Severity Classification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800"/>
      </w:tblGrid>
      <w:tr>
        <w:trPr>
          <w:tblHeader/>
        </w:trPr>
        <w:tc>
          <w:tcPr>
            <w:tcW w:type="dxa" w:w="1500"/>
            <w:shd w:fill="1F3864" w:val="clear"/>
            <w:tcMar>
              <w:top w:type="dxa" w:w="80"/>
              <w:left w:type="dxa" w:w="100"/>
              <w:bottom w:type="dxa" w:w="80"/>
              <w:right w:type="dxa" w:w="100"/>
            </w:tcMar>
            <w:vAlign w:val="center"/>
          </w:tcPr>
          <w:p>
            <w:pPr>
              <w:jc w:val="center"/>
            </w:pPr>
            <w:r>
              <w:rPr>
                <w:b/>
                <w:bCs/>
                <w:color w:val="FFFFFF"/>
              </w:rPr>
              <w:t xml:space="preserve">Severity</w:t>
            </w:r>
          </w:p>
        </w:tc>
        <w:tc>
          <w:tcPr>
            <w:tcW w:type="dxa" w:w="4200"/>
            <w:shd w:fill="1F3864" w:val="clear"/>
            <w:tcMar>
              <w:top w:type="dxa" w:w="80"/>
              <w:left w:type="dxa" w:w="100"/>
              <w:bottom w:type="dxa" w:w="80"/>
              <w:right w:type="dxa" w:w="100"/>
            </w:tcMar>
            <w:vAlign w:val="center"/>
          </w:tcPr>
          <w:p>
            <w:pPr>
              <w:jc w:val="center"/>
            </w:pPr>
            <w:r>
              <w:rPr>
                <w:b/>
                <w:bCs/>
                <w:color w:val="FFFFFF"/>
              </w:rPr>
              <w:t xml:space="preserve">Definition</w:t>
            </w:r>
          </w:p>
        </w:tc>
        <w:tc>
          <w:tcPr>
            <w:tcW w:type="dxa" w:w="3800"/>
            <w:shd w:fill="1F3864" w:val="clear"/>
            <w:tcMar>
              <w:top w:type="dxa" w:w="80"/>
              <w:left w:type="dxa" w:w="100"/>
              <w:bottom w:type="dxa" w:w="80"/>
              <w:right w:type="dxa" w:w="100"/>
            </w:tcMar>
            <w:vAlign w:val="center"/>
          </w:tcPr>
          <w:p>
            <w:pPr>
              <w:jc w:val="center"/>
            </w:pPr>
            <w:r>
              <w:rPr>
                <w:b/>
                <w:bCs/>
                <w:color w:val="FFFFFF"/>
              </w:rPr>
              <w:t xml:space="preserve">Example</w:t>
            </w:r>
          </w:p>
        </w:tc>
      </w:tr>
      <w:tr>
        <w:tc>
          <w:tcPr>
            <w:tcW w:type="dxa" w:w="1500"/>
            <w:tcMar>
              <w:top w:type="dxa" w:w="80"/>
              <w:left w:type="dxa" w:w="100"/>
              <w:bottom w:type="dxa" w:w="80"/>
              <w:right w:type="dxa" w:w="100"/>
            </w:tcMar>
            <w:vAlign w:val="center"/>
          </w:tcPr>
          <w:p>
            <w:pPr>
              <w:jc w:val="left"/>
            </w:pPr>
            <w:r>
              <w:rPr>
                <w:b w:val="false"/>
                <w:bCs w:val="false"/>
                <w:color w:val="000000"/>
              </w:rPr>
              <w:t xml:space="preserve">Critical</w:t>
            </w:r>
          </w:p>
        </w:tc>
        <w:tc>
          <w:tcPr>
            <w:tcW w:type="dxa" w:w="4200"/>
            <w:tcMar>
              <w:top w:type="dxa" w:w="80"/>
              <w:left w:type="dxa" w:w="100"/>
              <w:bottom w:type="dxa" w:w="80"/>
              <w:right w:type="dxa" w:w="100"/>
            </w:tcMar>
            <w:vAlign w:val="center"/>
          </w:tcPr>
          <w:p>
            <w:pPr>
              <w:jc w:val="left"/>
            </w:pPr>
            <w:r>
              <w:rPr>
                <w:b w:val="false"/>
                <w:bCs w:val="false"/>
                <w:color w:val="000000"/>
              </w:rPr>
              <w:t xml:space="preserve">Direct, immediate risk to patient safety or a hospital-wide clinical system outage</w:t>
            </w:r>
          </w:p>
        </w:tc>
        <w:tc>
          <w:tcPr>
            <w:tcW w:type="dxa" w:w="3800"/>
            <w:tcMar>
              <w:top w:type="dxa" w:w="80"/>
              <w:left w:type="dxa" w:w="100"/>
              <w:bottom w:type="dxa" w:w="80"/>
              <w:right w:type="dxa" w:w="100"/>
            </w:tcMar>
            <w:vAlign w:val="center"/>
          </w:tcPr>
          <w:p>
            <w:pPr>
              <w:jc w:val="left"/>
            </w:pPr>
            <w:r>
              <w:rPr>
                <w:b w:val="false"/>
                <w:bCs w:val="false"/>
                <w:color w:val="000000"/>
              </w:rPr>
              <w:t xml:space="preserve">EHR encrypted by ransomware during active clinical operations</w:t>
            </w:r>
          </w:p>
        </w:tc>
      </w:tr>
      <w:tr>
        <w:tc>
          <w:tcPr>
            <w:tcW w:type="dxa" w:w="1500"/>
            <w:shd w:fill="F2F2F2" w:val="clear"/>
            <w:tcMar>
              <w:top w:type="dxa" w:w="80"/>
              <w:left w:type="dxa" w:w="100"/>
              <w:bottom w:type="dxa" w:w="80"/>
              <w:right w:type="dxa" w:w="100"/>
            </w:tcMar>
            <w:vAlign w:val="center"/>
          </w:tcPr>
          <w:p>
            <w:pPr>
              <w:jc w:val="left"/>
            </w:pPr>
            <w:r>
              <w:rPr>
                <w:b w:val="false"/>
                <w:bCs w:val="false"/>
                <w:color w:val="000000"/>
              </w:rPr>
              <w:t xml:space="preserve">High</w:t>
            </w:r>
          </w:p>
        </w:tc>
        <w:tc>
          <w:tcPr>
            <w:tcW w:type="dxa" w:w="4200"/>
            <w:shd w:fill="F2F2F2" w:val="clear"/>
            <w:tcMar>
              <w:top w:type="dxa" w:w="80"/>
              <w:left w:type="dxa" w:w="100"/>
              <w:bottom w:type="dxa" w:w="80"/>
              <w:right w:type="dxa" w:w="100"/>
            </w:tcMar>
            <w:vAlign w:val="center"/>
          </w:tcPr>
          <w:p>
            <w:pPr>
              <w:jc w:val="left"/>
            </w:pPr>
            <w:r>
              <w:rPr>
                <w:b w:val="false"/>
                <w:bCs w:val="false"/>
                <w:color w:val="000000"/>
              </w:rPr>
              <w:t xml:space="preserve">Significant impact to a single department or confirmed breach of patient data</w:t>
            </w:r>
          </w:p>
        </w:tc>
        <w:tc>
          <w:tcPr>
            <w:tcW w:type="dxa" w:w="3800"/>
            <w:shd w:fill="F2F2F2" w:val="clear"/>
            <w:tcMar>
              <w:top w:type="dxa" w:w="80"/>
              <w:left w:type="dxa" w:w="100"/>
              <w:bottom w:type="dxa" w:w="80"/>
              <w:right w:type="dxa" w:w="100"/>
            </w:tcMar>
            <w:vAlign w:val="center"/>
          </w:tcPr>
          <w:p>
            <w:pPr>
              <w:jc w:val="left"/>
            </w:pPr>
            <w:r>
              <w:rPr>
                <w:b w:val="false"/>
                <w:bCs w:val="false"/>
                <w:color w:val="000000"/>
              </w:rPr>
              <w:t xml:space="preserve">LIS unavailable; unauthorised bulk access to patient records detected</w:t>
            </w:r>
          </w:p>
        </w:tc>
      </w:tr>
      <w:tr>
        <w:tc>
          <w:tcPr>
            <w:tcW w:type="dxa" w:w="1500"/>
            <w:tcMar>
              <w:top w:type="dxa" w:w="80"/>
              <w:left w:type="dxa" w:w="100"/>
              <w:bottom w:type="dxa" w:w="80"/>
              <w:right w:type="dxa" w:w="100"/>
            </w:tcMar>
            <w:vAlign w:val="center"/>
          </w:tcPr>
          <w:p>
            <w:pPr>
              <w:jc w:val="left"/>
            </w:pPr>
            <w:r>
              <w:rPr>
                <w:b w:val="false"/>
                <w:bCs w:val="false"/>
                <w:color w:val="000000"/>
              </w:rPr>
              <w:t xml:space="preserve">Medium</w:t>
            </w:r>
          </w:p>
        </w:tc>
        <w:tc>
          <w:tcPr>
            <w:tcW w:type="dxa" w:w="4200"/>
            <w:tcMar>
              <w:top w:type="dxa" w:w="80"/>
              <w:left w:type="dxa" w:w="100"/>
              <w:bottom w:type="dxa" w:w="80"/>
              <w:right w:type="dxa" w:w="100"/>
            </w:tcMar>
            <w:vAlign w:val="center"/>
          </w:tcPr>
          <w:p>
            <w:pPr>
              <w:jc w:val="left"/>
            </w:pPr>
            <w:r>
              <w:rPr>
                <w:b w:val="false"/>
                <w:bCs w:val="false"/>
                <w:color w:val="000000"/>
              </w:rPr>
              <w:t xml:space="preserve">Limited impact, workaround available</w:t>
            </w:r>
          </w:p>
        </w:tc>
        <w:tc>
          <w:tcPr>
            <w:tcW w:type="dxa" w:w="3800"/>
            <w:tcMar>
              <w:top w:type="dxa" w:w="80"/>
              <w:left w:type="dxa" w:w="100"/>
              <w:bottom w:type="dxa" w:w="80"/>
              <w:right w:type="dxa" w:w="100"/>
            </w:tcMar>
            <w:vAlign w:val="center"/>
          </w:tcPr>
          <w:p>
            <w:pPr>
              <w:jc w:val="left"/>
            </w:pPr>
            <w:r>
              <w:rPr>
                <w:b w:val="false"/>
                <w:bCs w:val="false"/>
                <w:color w:val="000000"/>
              </w:rPr>
              <w:t xml:space="preserve">Single workstation malware infection, contained to corporate network</w:t>
            </w:r>
          </w:p>
        </w:tc>
      </w:tr>
      <w:tr>
        <w:tc>
          <w:tcPr>
            <w:tcW w:type="dxa" w:w="1500"/>
            <w:shd w:fill="F2F2F2" w:val="clear"/>
            <w:tcMar>
              <w:top w:type="dxa" w:w="80"/>
              <w:left w:type="dxa" w:w="100"/>
              <w:bottom w:type="dxa" w:w="80"/>
              <w:right w:type="dxa" w:w="100"/>
            </w:tcMar>
            <w:vAlign w:val="center"/>
          </w:tcPr>
          <w:p>
            <w:pPr>
              <w:jc w:val="left"/>
            </w:pPr>
            <w:r>
              <w:rPr>
                <w:b w:val="false"/>
                <w:bCs w:val="false"/>
                <w:color w:val="000000"/>
              </w:rPr>
              <w:t xml:space="preserve">Low</w:t>
            </w:r>
          </w:p>
        </w:tc>
        <w:tc>
          <w:tcPr>
            <w:tcW w:type="dxa" w:w="4200"/>
            <w:shd w:fill="F2F2F2" w:val="clear"/>
            <w:tcMar>
              <w:top w:type="dxa" w:w="80"/>
              <w:left w:type="dxa" w:w="100"/>
              <w:bottom w:type="dxa" w:w="80"/>
              <w:right w:type="dxa" w:w="100"/>
            </w:tcMar>
            <w:vAlign w:val="center"/>
          </w:tcPr>
          <w:p>
            <w:pPr>
              <w:jc w:val="left"/>
            </w:pPr>
            <w:r>
              <w:rPr>
                <w:b w:val="false"/>
                <w:bCs w:val="false"/>
                <w:color w:val="000000"/>
              </w:rPr>
              <w:t xml:space="preserve">Minimal impact, routine handling</w:t>
            </w:r>
          </w:p>
        </w:tc>
        <w:tc>
          <w:tcPr>
            <w:tcW w:type="dxa" w:w="3800"/>
            <w:shd w:fill="F2F2F2" w:val="clear"/>
            <w:tcMar>
              <w:top w:type="dxa" w:w="80"/>
              <w:left w:type="dxa" w:w="100"/>
              <w:bottom w:type="dxa" w:w="80"/>
              <w:right w:type="dxa" w:w="100"/>
            </w:tcMar>
            <w:vAlign w:val="center"/>
          </w:tcPr>
          <w:p>
            <w:pPr>
              <w:jc w:val="left"/>
            </w:pPr>
            <w:r>
              <w:rPr>
                <w:b w:val="false"/>
                <w:bCs w:val="false"/>
                <w:color w:val="000000"/>
              </w:rPr>
              <w:t xml:space="preserve">Phishing email reported and blocked before any click-through</w:t>
            </w:r>
          </w:p>
        </w:tc>
      </w:tr>
    </w:tbl>
    <w:p>
      <w:pPr>
        <w:pStyle w:val="Heading1"/>
        <w:spacing w:after="160" w:before="360"/>
      </w:pPr>
      <w:r>
        <w:t xml:space="preserve">5. Scenario 1 — Ransomware Affecting Clinical Systems</w:t>
      </w:r>
    </w:p>
    <w:p>
      <w:pPr>
        <w:spacing w:after="160"/>
      </w:pPr>
      <w:r>
        <w:t xml:space="preserve">Trigger: EHR, LIS, or PACS becomes inaccessible with ransom note, file encryption indicators, or unusual mass file-renaming activity.</w:t>
      </w:r>
    </w:p>
    <w:p>
      <w:pPr>
        <w:pStyle w:val="Heading2"/>
        <w:spacing w:after="120" w:before="280"/>
      </w:pPr>
      <w:r>
        <w:t xml:space="preserve">5.1 Identification</w:t>
      </w:r>
    </w:p>
    <w:p>
      <w:pPr>
        <w:pStyle w:val="ListParagraph"/>
        <w:numPr>
          <w:ilvl w:val="0"/>
          <w:numId w:val="1"/>
        </w:numPr>
        <w:spacing w:after="80"/>
      </w:pPr>
      <w:r>
        <w:t xml:space="preserve">IT Service Desk confirms symptoms are consistent with ransomware, not a routine outage, and pages the Incident Commander.</w:t>
      </w:r>
    </w:p>
    <w:p>
      <w:pPr>
        <w:pStyle w:val="ListParagraph"/>
        <w:numPr>
          <w:ilvl w:val="0"/>
          <w:numId w:val="1"/>
        </w:numPr>
        <w:spacing w:after="80"/>
      </w:pPr>
      <w:r>
        <w:t xml:space="preserve">Incident Commander declares Critical severity if any clinical system is affected during operating hours.</w:t>
      </w:r>
    </w:p>
    <w:p>
      <w:pPr>
        <w:pStyle w:val="Heading2"/>
        <w:spacing w:after="120" w:before="280"/>
      </w:pPr>
      <w:r>
        <w:t xml:space="preserve">5.2 Containment</w:t>
      </w:r>
    </w:p>
    <w:p>
      <w:pPr>
        <w:pStyle w:val="ListParagraph"/>
        <w:numPr>
          <w:ilvl w:val="0"/>
          <w:numId w:val="1"/>
        </w:numPr>
        <w:spacing w:after="80"/>
      </w:pPr>
      <w:r>
        <w:t xml:space="preserve">Isolate affected systems from the network immediately (disconnect network cable/disable switch port) — do not power off encrypted machines, as this can complicate recovery.</w:t>
      </w:r>
    </w:p>
    <w:p>
      <w:pPr>
        <w:pStyle w:val="ListParagraph"/>
        <w:numPr>
          <w:ilvl w:val="0"/>
          <w:numId w:val="1"/>
        </w:numPr>
        <w:spacing w:after="80"/>
      </w:pPr>
      <w:r>
        <w:t xml:space="preserve">Disable shared network drives and interfaces to the affected system to prevent lateral spread to PACS/LIS.</w:t>
      </w:r>
    </w:p>
    <w:p>
      <w:pPr>
        <w:pStyle w:val="ListParagraph"/>
        <w:numPr>
          <w:ilvl w:val="0"/>
          <w:numId w:val="1"/>
        </w:numPr>
        <w:spacing w:after="80"/>
      </w:pPr>
      <w:r>
        <w:t xml:space="preserve">Clinical Governance Lead activates documented downtime procedures (paper-based charting, manual lab result relay) at affected wards.</w:t>
      </w:r>
    </w:p>
    <w:p>
      <w:pPr>
        <w:pStyle w:val="Heading2"/>
        <w:spacing w:after="120" w:before="280"/>
      </w:pPr>
      <w:r>
        <w:t xml:space="preserve">5.3 Eradication and Recovery</w:t>
      </w:r>
    </w:p>
    <w:p>
      <w:pPr>
        <w:pStyle w:val="ListParagraph"/>
        <w:numPr>
          <w:ilvl w:val="0"/>
          <w:numId w:val="1"/>
        </w:numPr>
        <w:spacing w:after="80"/>
      </w:pPr>
      <w:r>
        <w:t xml:space="preserve">IT Manager engages the offline, air-gapped backup copy (see Risk Register R-01) to begin restoration on clean hardware.</w:t>
      </w:r>
    </w:p>
    <w:p>
      <w:pPr>
        <w:pStyle w:val="ListParagraph"/>
        <w:numPr>
          <w:ilvl w:val="0"/>
          <w:numId w:val="1"/>
        </w:numPr>
        <w:spacing w:after="80"/>
      </w:pPr>
      <w:r>
        <w:t xml:space="preserve">Do not restore from a backup without first confirming its integrity and that it predates the compromise.</w:t>
      </w:r>
    </w:p>
    <w:p>
      <w:pPr>
        <w:pStyle w:val="ListParagraph"/>
        <w:numPr>
          <w:ilvl w:val="0"/>
          <w:numId w:val="1"/>
        </w:numPr>
        <w:spacing w:after="80"/>
      </w:pPr>
      <w:r>
        <w:t xml:space="preserve">CIO decides, in consultation with the Hospital's cyber insurance provider (if applicable) and law enforcement guidance, whether to engage external forensic support before restoration.</w:t>
      </w:r>
    </w:p>
    <w:p>
      <w:pPr>
        <w:pStyle w:val="ListParagraph"/>
        <w:numPr>
          <w:ilvl w:val="0"/>
          <w:numId w:val="1"/>
        </w:numPr>
        <w:spacing w:after="80"/>
      </w:pPr>
      <w:r>
        <w:t xml:space="preserve">Ransom payment is not authorised without explicit CEO and Hospital Board approval, and only after Legal consultation.</w:t>
      </w:r>
    </w:p>
    <w:p>
      <w:pPr>
        <w:pStyle w:val="Heading2"/>
        <w:spacing w:after="120" w:before="280"/>
      </w:pPr>
      <w:r>
        <w:t xml:space="preserve">5.4 Notification Considerations</w:t>
      </w:r>
    </w:p>
    <w:p>
      <w:pPr>
        <w:spacing w:after="160"/>
      </w:pPr>
      <w:r>
        <w:t xml:space="preserve">If patient data confidentiality, integrity, or availability was affected, the Information Officer must assess this against the breach notification criteria in Section 6.</w:t>
      </w:r>
    </w:p>
    <w:p>
      <w:pPr>
        <w:pStyle w:val="Heading1"/>
        <w:spacing w:after="160" w:before="360"/>
      </w:pPr>
      <w:r>
        <w:t xml:space="preserve">6. Scenario 2 — Compromised or Anomalous Medical Device</w:t>
      </w:r>
    </w:p>
    <w:p>
      <w:pPr>
        <w:spacing w:after="160"/>
      </w:pPr>
      <w:r>
        <w:t xml:space="preserve">Trigger: a networked medical device (infusion pump, patient monitor) shows unexpected network traffic, unauthorised configuration changes, or communicates outside its expected VLAN.</w:t>
      </w:r>
    </w:p>
    <w:p>
      <w:pPr>
        <w:pStyle w:val="Heading2"/>
        <w:spacing w:after="120" w:before="280"/>
      </w:pPr>
      <w:r>
        <w:t xml:space="preserve">6.1 Identification</w:t>
      </w:r>
    </w:p>
    <w:p>
      <w:pPr>
        <w:pStyle w:val="ListParagraph"/>
        <w:numPr>
          <w:ilvl w:val="0"/>
          <w:numId w:val="1"/>
        </w:numPr>
        <w:spacing w:after="80"/>
      </w:pPr>
      <w:r>
        <w:t xml:space="preserve">Biomedical Engineering Lead and IT Manager jointly confirm whether the anomaly is a device malfunction or a security event.</w:t>
      </w:r>
    </w:p>
    <w:p>
      <w:pPr>
        <w:pStyle w:val="Heading2"/>
        <w:spacing w:after="120" w:before="280"/>
      </w:pPr>
      <w:r>
        <w:t xml:space="preserve">6.2 Containment</w:t>
      </w:r>
    </w:p>
    <w:p>
      <w:pPr>
        <w:pStyle w:val="ListParagraph"/>
        <w:numPr>
          <w:ilvl w:val="0"/>
          <w:numId w:val="1"/>
        </w:numPr>
        <w:spacing w:after="80"/>
      </w:pPr>
      <w:r>
        <w:t xml:space="preserve">Isolate the specific device from the biomedical VLAN without disrupting the device's function for an in-use patient — coordinate directly with the clinical team at bedside before any network action.</w:t>
      </w:r>
    </w:p>
    <w:p>
      <w:pPr>
        <w:pStyle w:val="ListParagraph"/>
        <w:numPr>
          <w:ilvl w:val="0"/>
          <w:numId w:val="1"/>
        </w:numPr>
        <w:spacing w:after="80"/>
      </w:pPr>
      <w:r>
        <w:t xml:space="preserve">If the device is not currently in patient use, quarantine it and tag for biomedical engineering review before any further clinical use.</w:t>
      </w:r>
    </w:p>
    <w:p>
      <w:pPr>
        <w:pStyle w:val="ListParagraph"/>
        <w:numPr>
          <w:ilvl w:val="0"/>
          <w:numId w:val="1"/>
        </w:numPr>
        <w:spacing w:after="80"/>
      </w:pPr>
      <w:r>
        <w:t xml:space="preserve">Review firewall logs for the biomedical VLAN to determine whether other devices were also affected (see ISO 27001 Gap Assessment, A.8.22).</w:t>
      </w:r>
    </w:p>
    <w:p>
      <w:pPr>
        <w:pStyle w:val="Heading2"/>
        <w:spacing w:after="120" w:before="280"/>
      </w:pPr>
      <w:r>
        <w:t xml:space="preserve">6.3 Eradication and Recovery</w:t>
      </w:r>
    </w:p>
    <w:p>
      <w:pPr>
        <w:pStyle w:val="ListParagraph"/>
        <w:numPr>
          <w:ilvl w:val="0"/>
          <w:numId w:val="1"/>
        </w:numPr>
        <w:spacing w:after="80"/>
      </w:pPr>
      <w:r>
        <w:t xml:space="preserve">Engage the device manufacturer for guidance on firmware verification or reflashing, per SAHPRA-aligned procedures.</w:t>
      </w:r>
    </w:p>
    <w:p>
      <w:pPr>
        <w:pStyle w:val="ListParagraph"/>
        <w:numPr>
          <w:ilvl w:val="0"/>
          <w:numId w:val="1"/>
        </w:numPr>
        <w:spacing w:after="80"/>
      </w:pPr>
      <w:r>
        <w:t xml:space="preserve">Do not return a device to clinical use until Biomedical Engineering confirms it is safe and functioning to specification.</w:t>
      </w:r>
    </w:p>
    <w:p>
      <w:pPr>
        <w:pStyle w:val="Heading2"/>
        <w:spacing w:after="120" w:before="280"/>
      </w:pPr>
      <w:r>
        <w:t xml:space="preserve">6.4 Reporting</w:t>
      </w:r>
    </w:p>
    <w:p>
      <w:pPr>
        <w:spacing w:after="160"/>
      </w:pPr>
      <w:r>
        <w:t xml:space="preserve">Any confirmed compromise of a medical device is reported to SAHPRA per applicable device vigilance requirements, coordinated by the Biomedical Engineering Lead and CIO.</w:t>
      </w:r>
    </w:p>
    <w:p>
      <w:pPr>
        <w:pStyle w:val="Heading1"/>
        <w:spacing w:after="160" w:before="360"/>
      </w:pPr>
      <w:r>
        <w:t xml:space="preserve">7. Scenario 3 — Suspected Unauthorised Access to Patient Records</w:t>
      </w:r>
    </w:p>
    <w:p>
      <w:pPr>
        <w:spacing w:after="160"/>
      </w:pPr>
      <w:r>
        <w:t xml:space="preserve">Trigger: an audit log alert, patient complaint, or staff report suggests a staff member accessed patient records without a legitimate care-related reason.</w:t>
      </w:r>
    </w:p>
    <w:p>
      <w:pPr>
        <w:pStyle w:val="Heading2"/>
        <w:spacing w:after="120" w:before="280"/>
      </w:pPr>
      <w:r>
        <w:t xml:space="preserve">7.1 Identification</w:t>
      </w:r>
    </w:p>
    <w:p>
      <w:pPr>
        <w:pStyle w:val="ListParagraph"/>
        <w:numPr>
          <w:ilvl w:val="0"/>
          <w:numId w:val="1"/>
        </w:numPr>
        <w:spacing w:after="80"/>
      </w:pPr>
      <w:r>
        <w:t xml:space="preserve">Information Officer reviews EHR audit logs to confirm the scope: which records were accessed, by whom, and whether access was consistent with the staff member's ward assignment.</w:t>
      </w:r>
    </w:p>
    <w:p>
      <w:pPr>
        <w:pStyle w:val="Heading2"/>
        <w:spacing w:after="120" w:before="280"/>
      </w:pPr>
      <w:r>
        <w:t xml:space="preserve">7.2 Containment</w:t>
      </w:r>
    </w:p>
    <w:p>
      <w:pPr>
        <w:pStyle w:val="ListParagraph"/>
        <w:numPr>
          <w:ilvl w:val="0"/>
          <w:numId w:val="1"/>
        </w:numPr>
        <w:spacing w:after="80"/>
      </w:pPr>
      <w:r>
        <w:t xml:space="preserve">If access is ongoing or repeated, IT Manager suspends the user account pending investigation, in coordination with HR.</w:t>
      </w:r>
    </w:p>
    <w:p>
      <w:pPr>
        <w:pStyle w:val="Heading2"/>
        <w:spacing w:after="120" w:before="280"/>
      </w:pPr>
      <w:r>
        <w:t xml:space="preserve">7.3 Investigation</w:t>
      </w:r>
    </w:p>
    <w:p>
      <w:pPr>
        <w:pStyle w:val="ListParagraph"/>
        <w:numPr>
          <w:ilvl w:val="0"/>
          <w:numId w:val="1"/>
        </w:numPr>
        <w:spacing w:after="80"/>
      </w:pPr>
      <w:r>
        <w:t xml:space="preserve">HR Manager leads the disciplinary investigation in parallel with the Information Officer's compliance assessment.</w:t>
      </w:r>
    </w:p>
    <w:p>
      <w:pPr>
        <w:pStyle w:val="ListParagraph"/>
        <w:numPr>
          <w:ilvl w:val="0"/>
          <w:numId w:val="1"/>
        </w:numPr>
        <w:spacing w:after="80"/>
      </w:pPr>
      <w:r>
        <w:t xml:space="preserve">Findings are documented and retained per the Hospital's disciplinary code and POPIA record-keeping requirements.</w:t>
      </w:r>
    </w:p>
    <w:p>
      <w:pPr>
        <w:pStyle w:val="Heading1"/>
        <w:spacing w:after="160" w:before="360"/>
      </w:pPr>
      <w:r>
        <w:t xml:space="preserve">6. Breach Notification Procedure (POPIA Section 22)</w:t>
      </w:r>
    </w:p>
    <w:p>
      <w:pPr>
        <w:spacing w:after="160"/>
      </w:pPr>
      <w:r>
        <w:t xml:space="preserve">This section governs notification once the Information Officer has determined that a personal information breach has occurred — i.e. unauthorised access to, or acquisition, alteration, disclosure, or destruction of, personal information.</w:t>
      </w:r>
    </w:p>
    <w:p>
      <w:pPr>
        <w:pStyle w:val="ListParagraph"/>
        <w:numPr>
          <w:ilvl w:val="0"/>
          <w:numId w:val="2"/>
        </w:numPr>
        <w:spacing w:after="80"/>
      </w:pPr>
      <w:r>
        <w:t xml:space="preserve">Information Officer confirms breach status and severity within 24 hours of first becoming aware of the incident.</w:t>
      </w:r>
    </w:p>
    <w:p>
      <w:pPr>
        <w:pStyle w:val="ListParagraph"/>
        <w:numPr>
          <w:ilvl w:val="0"/>
          <w:numId w:val="2"/>
        </w:numPr>
        <w:spacing w:after="80"/>
      </w:pPr>
      <w:r>
        <w:t xml:space="preserve">Internal escalation to the CEO and HIGC occurs immediately upon confirmation, with a target of no more than 72 hours from confirmation to a documented notify/do-not-notify decision.</w:t>
      </w:r>
    </w:p>
    <w:p>
      <w:pPr>
        <w:pStyle w:val="ListParagraph"/>
        <w:numPr>
          <w:ilvl w:val="0"/>
          <w:numId w:val="2"/>
        </w:numPr>
        <w:spacing w:after="80"/>
      </w:pPr>
      <w:r>
        <w:t xml:space="preserve">If notification is required, the Information Officer notifies the Information Regulator as soon as reasonably possible, using a pre-approved notification template covering: nature of the breach, categories and approximate number of data subjects and records affected, likely consequences, and measures taken or proposed.</w:t>
      </w:r>
    </w:p>
    <w:p>
      <w:pPr>
        <w:pStyle w:val="ListParagraph"/>
        <w:numPr>
          <w:ilvl w:val="0"/>
          <w:numId w:val="2"/>
        </w:numPr>
        <w:spacing w:after="80"/>
      </w:pPr>
      <w:r>
        <w:t xml:space="preserve">Where reasonably possible, affected data subjects (patients) are notified directly, or via a public notice if individual notification is not reasonably possible, in a manner appropriate to the Hospital's patient population.</w:t>
      </w:r>
    </w:p>
    <w:p>
      <w:pPr>
        <w:pStyle w:val="ListParagraph"/>
        <w:numPr>
          <w:ilvl w:val="0"/>
          <w:numId w:val="2"/>
        </w:numPr>
        <w:spacing w:after="80"/>
      </w:pPr>
      <w:r>
        <w:t xml:space="preserve">Communications Lead drafts any public-facing statement, reviewed by Legal and approved by the CEO before release.</w:t>
      </w:r>
    </w:p>
    <w:p>
      <w:pPr>
        <w:spacing w:after="160"/>
      </w:pPr>
      <w:r>
        <w:t xml:space="preserve">Note: pre-drafted notification templates for the Information Regulator and for patients should be finalised and stored with this playbook — see POPIA Compliance Assessment, Section 7, action item 8.</w:t>
      </w:r>
    </w:p>
    <w:p>
      <w:pPr>
        <w:pStyle w:val="Heading1"/>
        <w:spacing w:after="160" w:before="360"/>
      </w:pPr>
      <w:r>
        <w:t xml:space="preserve">7. Post-Incident Review</w:t>
      </w:r>
    </w:p>
    <w:p>
      <w:pPr>
        <w:spacing w:after="160"/>
      </w:pPr>
      <w:r>
        <w:t xml:space="preserve">Within 10 working days of an incident's resolution, the Incident Commander convenes a post-incident review with all relevant roles. Outputs are: an incident report, updates to the Risk Register with any new or changed risks, and any recommended updates to this playbook or the ISO 27001 Gap Assessment.</w:t>
      </w:r>
    </w:p>
    <w:p>
      <w:pPr>
        <w:pStyle w:val="Heading1"/>
        <w:spacing w:after="160" w:before="360"/>
      </w:pPr>
      <w:r>
        <w:t xml:space="preserve">8. Testing and Maintenance</w:t>
      </w:r>
    </w:p>
    <w:p>
      <w:pPr>
        <w:pStyle w:val="ListParagraph"/>
        <w:numPr>
          <w:ilvl w:val="0"/>
          <w:numId w:val="1"/>
        </w:numPr>
        <w:spacing w:after="80"/>
      </w:pPr>
      <w:r>
        <w:t xml:space="preserve">This playbook is tested via an annual tabletop exercise covering at least one scenario, coordinated by the IT Manager with Clinical Governance and Communications participation (see Risk Register R-01, ISO 27001 Gap Assessment A.5.24).</w:t>
      </w:r>
    </w:p>
    <w:p>
      <w:pPr>
        <w:pStyle w:val="ListParagraph"/>
        <w:numPr>
          <w:ilvl w:val="0"/>
          <w:numId w:val="1"/>
        </w:numPr>
        <w:spacing w:after="80"/>
      </w:pPr>
      <w:r>
        <w:t xml:space="preserve">This playbook is reviewed and updated after every Critical or High severity incident, and at minimum annually.</w:t>
      </w:r>
    </w:p>
    <w:p>
      <w:pPr>
        <w:pStyle w:val="Heading1"/>
        <w:spacing w:after="160" w:before="360"/>
      </w:pPr>
      <w:r>
        <w:t xml:space="preserve">9. Related Documents</w:t>
      </w:r>
    </w:p>
    <w:p>
      <w:pPr>
        <w:pStyle w:val="ListParagraph"/>
        <w:numPr>
          <w:ilvl w:val="0"/>
          <w:numId w:val="1"/>
        </w:numPr>
        <w:spacing w:after="80"/>
      </w:pPr>
      <w:r>
        <w:t xml:space="preserve">01_Governance_Charter.docx — Section 3, governance and escalation structure</w:t>
      </w:r>
    </w:p>
    <w:p>
      <w:pPr>
        <w:pStyle w:val="ListParagraph"/>
        <w:numPr>
          <w:ilvl w:val="0"/>
          <w:numId w:val="1"/>
        </w:numPr>
        <w:spacing w:after="80"/>
      </w:pPr>
      <w:r>
        <w:t xml:space="preserve">02_Risk_Register.xlsx — risks R-01, R-02, R-05, R-06, R-07</w:t>
      </w:r>
    </w:p>
    <w:p>
      <w:pPr>
        <w:pStyle w:val="ListParagraph"/>
        <w:numPr>
          <w:ilvl w:val="0"/>
          <w:numId w:val="1"/>
        </w:numPr>
        <w:spacing w:after="80"/>
      </w:pPr>
      <w:r>
        <w:t xml:space="preserve">03_ISO27001_Gap_Assessment.xlsx — controls A.5.24, A.8.13, A.8.22</w:t>
      </w:r>
    </w:p>
    <w:p>
      <w:pPr>
        <w:pStyle w:val="ListParagraph"/>
        <w:numPr>
          <w:ilvl w:val="0"/>
          <w:numId w:val="1"/>
        </w:numPr>
        <w:spacing w:after="80"/>
      </w:pPr>
      <w:r>
        <w:t xml:space="preserve">04_POPIA_Compliance_Assessment.docx — Section 7, breach notification readiness</w:t>
      </w:r>
    </w:p>
    <w:p>
      <w:pPr>
        <w:pStyle w:val="ListParagraph"/>
        <w:numPr>
          <w:ilvl w:val="0"/>
          <w:numId w:val="1"/>
        </w:numPr>
        <w:spacing w:after="80"/>
      </w:pPr>
      <w:r>
        <w:t xml:space="preserve">06_Business_Continuity_DR_Summary.docx — downtime procedures referenced in Scenario 1</w:t>
      </w:r>
    </w:p>
    <w:p>
      <w:pPr>
        <w:spacing w:before="400"/>
      </w:pPr>
    </w:p>
    <w:p>
      <w:pPr>
        <w:spacing w:after="160"/>
      </w:pPr>
      <w:r>
        <w:rPr>
          <w:b/>
          <w:bCs/>
        </w:rPr>
        <w:t xml:space="preserve">Document Owner: </w:t>
      </w:r>
      <w:r>
        <w:t xml:space="preserve">IT Manager, as Incident Commander</w:t>
      </w:r>
    </w:p>
    <w:p>
      <w:pPr>
        <w:spacing w:after="160"/>
      </w:pPr>
      <w:r>
        <w:rPr>
          <w:b/>
          <w:bCs/>
        </w:rPr>
        <w:t xml:space="preserve">Approved By: </w:t>
      </w:r>
      <w:r>
        <w:t xml:space="preserve">Chief Information Officer</w:t>
      </w:r>
    </w:p>
    <w:p>
      <w:pPr>
        <w:spacing w:after="160"/>
      </w:pPr>
      <w:r>
        <w:rPr>
          <w:b/>
          <w:bCs/>
        </w:rPr>
        <w:t xml:space="preserve">Next Review Date: </w:t>
      </w:r>
      <w:r>
        <w:t xml:space="preserve">12 months from approval, or after any Critical/High severity incident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Incident Response Playbook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GRC Portfolio Project — Kopano Community Hospital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2026-08-20T01:46:35.959Z</dcterms:created>
  <dcterms:modified xsi:type="dcterms:W3CDTF">2026-08-20T01:46:35.960Z</dcterms:modified>
</cp:coreProperties>
</file>

<file path=docProps/custom.xml><?xml version="1.0" encoding="utf-8"?>
<Properties xmlns="http://schemas.openxmlformats.org/officeDocument/2006/custom-properties" xmlns:vt="http://schemas.openxmlformats.org/officeDocument/2006/docPropsVTypes"/>
</file>