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3864"/>
          <w:sz w:val="32"/>
          <w:szCs w:val="32"/>
        </w:rPr>
        <w:t xml:space="preserve">KOPANO COMMUNITY HOSPITAL</w:t>
      </w:r>
    </w:p>
    <w:p>
      <w:pPr>
        <w:spacing w:before="200"/>
        <w:jc w:val="center"/>
      </w:pPr>
      <w:r>
        <w:rPr>
          <w:color w:val="595959"/>
          <w:sz w:val="22"/>
          <w:szCs w:val="22"/>
        </w:rPr>
        <w:t xml:space="preserve">Katlehong, Ekurhuleni, Gauteng</w:t>
      </w:r>
    </w:p>
    <w:p>
      <w:pPr>
        <w:spacing w:before="1200"/>
      </w:pPr>
    </w:p>
    <w:p>
      <w:pPr>
        <w:jc w:val="center"/>
      </w:pPr>
      <w:r>
        <w:rPr>
          <w:b/>
          <w:bCs/>
          <w:color w:val="1F3864"/>
          <w:sz w:val="40"/>
          <w:szCs w:val="40"/>
        </w:rPr>
        <w:t xml:space="preserve">Business Continuity &amp; Disaster Recovery Summary</w:t>
      </w:r>
    </w:p>
    <w:p>
      <w:pPr>
        <w:spacing w:before="200"/>
        <w:jc w:val="center"/>
      </w:pPr>
      <w:r>
        <w:rPr>
          <w:color w:val="595959"/>
          <w:sz w:val="24"/>
          <w:szCs w:val="24"/>
        </w:rPr>
        <w:t xml:space="preserve">Continuity arrangements for critical clinical and administrative systems</w:t>
      </w:r>
    </w:p>
    <w:p>
      <w:pPr>
        <w:spacing w:before="1600"/>
      </w:pPr>
    </w:p>
    <w:p>
      <w:pPr>
        <w:jc w:val="center"/>
      </w:pPr>
      <w:r>
        <w:rPr>
          <w:color w:val="595959"/>
          <w:sz w:val="20"/>
          <w:szCs w:val="20"/>
        </w:rPr>
        <w:t xml:space="preserve">Document Reference: KCH-BCP-001, Version 1.0</w:t>
      </w:r>
    </w:p>
    <w:p>
      <w:pPr>
        <w:jc w:val="center"/>
      </w:pPr>
      <w:r>
        <w:rPr>
          <w:color w:val="595959"/>
          <w:sz w:val="20"/>
          <w:szCs w:val="20"/>
        </w:rPr>
        <w:t xml:space="preserve">Classification: Internal Use Only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Portfolio Project — Fictional Organisation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Purpose</w:t>
      </w:r>
    </w:p>
    <w:p>
      <w:pPr>
        <w:spacing w:after="160"/>
      </w:pPr>
      <w:r>
        <w:t xml:space="preserve">This document summarises Kopano Community Hospital's business continuity and disaster recovery (BCP/DR) arrangements for its critical information systems, and the manual fallback procedures that keep patient care running during an outage.</w:t>
      </w:r>
    </w:p>
    <w:p>
      <w:pPr>
        <w:pStyle w:val="Heading1"/>
        <w:spacing w:after="160" w:before="360"/>
      </w:pPr>
      <w:r>
        <w:t xml:space="preserve">2. Critical Systems and Recovery Objectives</w:t>
      </w:r>
    </w:p>
    <w:p>
      <w:pPr>
        <w:spacing w:after="160"/>
      </w:pPr>
      <w:r>
        <w:t xml:space="preserve">Recovery Time Objective (RTO) is the maximum acceptable time a system can be unavailable. Recovery Point Objective (RPO) is the maximum acceptable data loss, measured in time.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600"/>
        <w:gridCol w:w="1600"/>
        <w:gridCol w:w="23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System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Criticality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RTO (Target)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RPO (Target)</w:t>
            </w:r>
          </w:p>
        </w:tc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Manual Fallback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Electronic Health Record (EHR)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Critical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 hours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24 hours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Paper-based charting per ward downtime procedure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Laboratory Information System (LIS)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Critical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 hours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24 hours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Phone/fax critical results relay to wards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PACS (radiology imaging)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8 hours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24 hours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Radiologist reads from modality console; printed films for urgent cases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Pharmacy dispensing system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8 hours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24 hours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Manual dispensing register, cross-checked by pharmacist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Biomedical device network (monitors, pumps)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Critical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Not applicable — devices function standalone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Not applicable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Devices operate independently of network for core clinical function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HR / Payroll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 business days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24 hours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Manual timesheets; payroll processed on delayed cycle</w:t>
            </w:r>
          </w:p>
        </w:tc>
      </w:tr>
    </w:tbl>
    <w:p>
      <w:pPr>
        <w:spacing w:after="160"/>
      </w:pPr>
      <w:r>
        <w:t xml:space="preserve">Note: current UPS runtime for the server room does not yet meet the 4-hour RTO target for the EHR and LIS under an extended power outage — see Risk Register R-04 and action to extend UPS runtime.</w:t>
      </w:r>
    </w:p>
    <w:p>
      <w:pPr>
        <w:pStyle w:val="Heading1"/>
        <w:spacing w:after="160" w:before="360"/>
      </w:pPr>
      <w:r>
        <w:t xml:space="preserve">3. Power and Infrastructure Resilience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Diesel generator with automatic transfer switch covers the full hospital site, including clinical wards and the server room.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UPS in the server room bridges the gap between a power failure and generator start-up; current runtime is shorter than the recovery objective for critical systems (see Section 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Generator fuel supply is contracted with a third-party supplier; the service-level commitment for emergency refuelling is being confirmed in writing (Risk Register R-04).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Network connectivity has a single internet service provider; a secondary/backup link has been identified as a future improvement, not yet implemented.</w:t>
      </w:r>
    </w:p>
    <w:p>
      <w:pPr>
        <w:pStyle w:val="Heading1"/>
        <w:spacing w:after="160" w:before="360"/>
      </w:pPr>
      <w:r>
        <w:t xml:space="preserve">4. Backup Strategy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600"/>
        <w:gridCol w:w="23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System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Backup Frequency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Backup Location</w:t>
            </w:r>
          </w:p>
        </w:tc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Tested Restoration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EHR database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Nightly, full backup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On-site offline copy; not yet air-gapped/immutable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Not yet tested quarterly as targeted — see ISO 27001 Gap Assessment A.8.13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LIS database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Nightly, full backup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On-site, vendor-managed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Vendor-reported; independent verification pending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PACS image archive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Continuous replication to secondary storage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On-site secondary array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Last tested restoration: informal, not documented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File servers / administrative data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Nightly, incremental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On-site NAS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Quarterly spot-check restoration</w:t>
            </w:r>
          </w:p>
        </w:tc>
      </w:tr>
    </w:tbl>
    <w:p>
      <w:pPr>
        <w:spacing w:after="160"/>
      </w:pPr>
      <w:r>
        <w:t xml:space="preserve">Priority action: implement an immutable, air-gapped backup copy of the EHR database and formalise a quarterly restoration test with documented evidence — directly mitigates Risk Register R-01 (ransomware).</w:t>
      </w:r>
    </w:p>
    <w:p>
      <w:pPr>
        <w:pStyle w:val="Heading1"/>
        <w:spacing w:after="160" w:before="360"/>
      </w:pPr>
      <w:r>
        <w:t xml:space="preserve">5. Ward-Level Downtime Procedures</w:t>
      </w:r>
    </w:p>
    <w:p>
      <w:pPr>
        <w:spacing w:after="160"/>
      </w:pPr>
      <w:r>
        <w:t xml:space="preserve">Each ward maintains a printed downtime folder containing: blank paper charting forms, a laboratory request/result relay form, a medication administration record template, and the current escalation contact list. Nursing staff receive downtime procedure refreshers during annual mandatory training.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 declaration of clinical system downtime by the Incident Commander or Clinical Governance Lead, ward charge nurses initiate paper-based charting immediately.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Laboratory results for urgent tests (e.g. blood gas, cross-match) are relayed by phone from the laboratory to the requesting ward, with a documented read-back confirmation.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 system restoration, ward clerks are responsible for back-capturing paper records into the EHR within 48 hours, verified by the ward charge nurse.</w:t>
      </w:r>
    </w:p>
    <w:p>
      <w:pPr>
        <w:pStyle w:val="Heading1"/>
        <w:spacing w:after="160" w:before="360"/>
      </w:pPr>
      <w:r>
        <w:t xml:space="preserve">6. Alternate Site and Escalation for Extended Outages</w:t>
      </w:r>
    </w:p>
    <w:p>
      <w:pPr>
        <w:spacing w:after="160"/>
      </w:pPr>
      <w:r>
        <w:t xml:space="preserve">For an outage expected to exceed 24 hours, the Hospital CEO, in consultation with the Gauteng Department of Health, may activate a patient diversion or transfer protocol for new casualty admissions to the nearest capable facility, while continuing to treat existing in-patients using downtime procedures.</w:t>
      </w:r>
    </w:p>
    <w:p>
      <w:pPr>
        <w:spacing w:after="160"/>
      </w:pPr>
      <w:r>
        <w:t xml:space="preserve">This escalation threshold and the diversion protocol itself sit outside the IT/GRC scope of this document and are maintained by Clinical Governance as part of the Hospital's broader emergency preparedness plan.</w:t>
      </w:r>
    </w:p>
    <w:p>
      <w:pPr>
        <w:pStyle w:val="Heading1"/>
        <w:spacing w:after="160" w:before="360"/>
      </w:pPr>
      <w:r>
        <w:t xml:space="preserve">7. Testing Programme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2200"/>
        <w:gridCol w:w="25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Frequency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Full-facility power failover drill (generator + UPS)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Annually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Facilities Manager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Planned — not yet conducted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EHR backup restoration test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Quarterly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IT Manager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Not yet formalised — see Section 4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Ward downtime procedure walkthrough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Annually, per ward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Clinical Governance Lead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Included in annual mandatory training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Ransomware tabletop exercise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Annually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IT Manager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Planned — see Incident Response Playbook Section 8</w:t>
            </w:r>
          </w:p>
        </w:tc>
      </w:tr>
    </w:tbl>
    <w:p>
      <w:pPr>
        <w:pStyle w:val="Heading1"/>
        <w:spacing w:after="160" w:before="360"/>
      </w:pPr>
      <w:r>
        <w:t xml:space="preserve">8.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01_Governance_Charter.docx — Section 3 (Facilities Manager and IT Manager responsibilities)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02_Risk_Register.xlsx — risks R-01 and R-04 relate directly to this document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03_ISO27001_Gap_Assessment.xlsx — controls A.5.29, A.5.30, A.8.13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05_Incident_Response_Playbook.docx — Scenario 1, activation of downtime procedures during a ransomware event</w:t>
      </w:r>
    </w:p>
    <w:p>
      <w:pPr>
        <w:spacing w:before="400"/>
      </w:pPr>
    </w:p>
    <w:p>
      <w:pPr>
        <w:spacing w:after="160"/>
      </w:pPr>
      <w:r>
        <w:rPr>
          <w:b/>
          <w:bCs/>
        </w:rPr>
        <w:t xml:space="preserve">Document Owner: </w:t>
      </w:r>
      <w:r>
        <w:t xml:space="preserve">Facilities Manager, jointly with the IT Manager</w:t>
      </w:r>
    </w:p>
    <w:p>
      <w:pPr>
        <w:spacing w:after="160"/>
      </w:pPr>
      <w:r>
        <w:rPr>
          <w:b/>
          <w:bCs/>
        </w:rPr>
        <w:t xml:space="preserve">Approved By: </w:t>
      </w:r>
      <w:r>
        <w:t xml:space="preserve">Chief Information Officer</w:t>
      </w:r>
    </w:p>
    <w:p>
      <w:pPr>
        <w:spacing w:after="160"/>
      </w:pPr>
      <w:r>
        <w:rPr>
          <w:b/>
          <w:bCs/>
        </w:rPr>
        <w:t xml:space="preserve">Next Review Date: </w:t>
      </w:r>
      <w:r>
        <w:t xml:space="preserve">12 months from approval, or after any activation of downtime procedures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Business Continuity / DR Summary  |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GRC Portfolio Project — Kopano Community Hospital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2026-08-20T01:46:36.162Z</dcterms:created>
  <dcterms:modified xsi:type="dcterms:W3CDTF">2026-08-20T01:46:36.162Z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