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jc w:val="center"/>
      </w:pPr>
      <w:r>
        <w:rPr>
          <w:b/>
          <w:color w:val="00A8A8"/>
          <w:sz w:val="36"/>
        </w:rPr>
        <w:t>5G · AI</w:t>
      </w:r>
    </w:p>
    <w:p>
      <w:pPr>
        <w:pStyle w:val="Title"/>
      </w:pPr>
      <w:r>
        <w:t>5G KPI 智能运维平台</w:t>
      </w:r>
    </w:p>
    <w:p>
      <w:pPr>
        <w:jc w:val="center"/>
      </w:pPr>
      <w:r>
        <w:rPr>
          <w:color w:val="5B6573"/>
          <w:sz w:val="26"/>
        </w:rPr>
        <w:t>第 7 周：系统集成与 Web 展示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565C0"/>
              </w:rPr>
              <w:t>交付版本</w:t>
              <w:br/>
            </w:r>
            <w:r>
              <w:t>Windows 本地运行版 · Streamlit Web 应用</w:t>
              <w:br/>
              <w:t>覆盖 KPI 预测、异常检测、根因分析与数据浏览</w:t>
            </w:r>
          </w:p>
        </w:tc>
      </w:tr>
    </w:tbl>
    <w:p/>
    <w:p>
      <w:pPr>
        <w:jc w:val="center"/>
      </w:pPr>
      <w:r>
        <w:rPr>
          <w:b/>
          <w:sz w:val="30"/>
        </w:rPr>
        <w:t>系统使用手册与验收说明</w:t>
      </w:r>
    </w:p>
    <w:p>
      <w:pPr>
        <w:jc w:val="center"/>
      </w:pPr>
      <w:r>
        <w:rPr>
          <w:color w:val="5B6573"/>
        </w:rPr>
        <w:t>生成日期：2026 年 9 月 24 日</w:t>
      </w:r>
    </w:p>
    <w:p>
      <w:r>
        <w:br w:type="page"/>
      </w:r>
    </w:p>
    <w:p>
      <w:pPr>
        <w:pStyle w:val="Heading1"/>
      </w:pPr>
      <w:r>
        <w:t>1. 系统概述</w:t>
      </w:r>
    </w:p>
    <w:p>
      <w:r>
        <w:t>本系统将第 4–5 周的 KPI 预测成果与第 6 周的异常检测、根因定位成果统一接入 Web 界面。所有图表和数值均读取现有实验结果，不使用虚构示例数据。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649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接入内容</w:t>
            </w:r>
          </w:p>
        </w:tc>
        <w:tc>
          <w:tcPr>
            <w:tcW w:type="dxa" w:w="3515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主要输出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KPI 预测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传统机器学习、XGBoost、LightGBM、LSTM、GRU、Transformer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预测曲线、MAE、RMSE、R²、CSV</w:t>
            </w:r>
          </w:p>
        </w:tc>
      </w:tr>
      <w:tr>
        <w:tc>
          <w:tcPr>
            <w:tcW w:type="dxa" w:w="1814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异常检测</w:t>
            </w:r>
          </w:p>
        </w:tc>
        <w:tc>
          <w:tcPr>
            <w:tcW w:type="dxa" w:w="4649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Isolation Forest、One-Class SVM、共同异常、异常并集</w:t>
            </w:r>
          </w:p>
        </w:tc>
        <w:tc>
          <w:tcPr>
            <w:tcW w:type="dxa" w:w="3515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异常时刻、异常率、时序定位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根因分析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2880 个 KPI 的贡献度与相关性排名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Top N 根因、风险时刻、CSV</w:t>
            </w:r>
          </w:p>
        </w:tc>
      </w:tr>
      <w:tr>
        <w:tc>
          <w:tcPr>
            <w:tcW w:type="dxa" w:w="1814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数据浏览</w:t>
            </w:r>
          </w:p>
        </w:tc>
        <w:tc>
          <w:tcPr>
            <w:tcW w:type="dxa" w:w="4649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840 × 2880 归一化 KPI</w:t>
            </w:r>
          </w:p>
        </w:tc>
        <w:tc>
          <w:tcPr>
            <w:tcW w:type="dxa" w:w="3515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按 KPI 与时间范围浏览、统计、下载</w:t>
            </w:r>
          </w:p>
        </w:tc>
      </w:tr>
    </w:tbl>
    <w:p/>
    <w:p>
      <w:pPr>
        <w:pStyle w:val="Heading2"/>
      </w:pPr>
      <w:r>
        <w:t>1.1 数据口径</w:t>
      </w:r>
    </w:p>
    <w:p>
      <w:pPr>
        <w:pStyle w:val="ListBullet"/>
      </w:pPr>
      <w:r>
        <w:t>Week 4 的 LinearRegression、DecisionTree、RandomForest 为单 Beam 11_0_19 任务。</w:t>
      </w:r>
    </w:p>
    <w:p>
      <w:pPr>
        <w:pStyle w:val="ListBullet"/>
      </w:pPr>
      <w:r>
        <w:t>Week 4 的 XGBoost、LightGBM 与 Week 5 深度学习模型为全网平均 KPI 任务。</w:t>
      </w:r>
    </w:p>
    <w:p>
      <w:pPr>
        <w:pStyle w:val="ListBullet"/>
      </w:pPr>
      <w:r>
        <w:t>Web 页面按任务组展示预测结果；只建议在相同任务范围内直接比较指标。</w:t>
      </w:r>
    </w:p>
    <w:p>
      <w:pPr>
        <w:pStyle w:val="ListBullet"/>
      </w:pPr>
      <w:r>
        <w:t>异常并集共检出 40 / 840 个时刻，适用于高召回预警；共同异常共 17 个时刻，适用于高置信告警。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DF4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565C0"/>
              </w:rPr>
              <w:t>当前核心结论</w:t>
              <w:br/>
            </w:r>
            <w:r>
              <w:t>全网平均 KPI 预测中，LightGBM 的 RMSE 为 0.00745，是已接入模型中的最佳结果；异常风险最高时刻为 time_index = 82。</w:t>
            </w:r>
          </w:p>
        </w:tc>
      </w:tr>
    </w:tbl>
    <w:p/>
    <w:p>
      <w:r>
        <w:br w:type="page"/>
      </w:r>
    </w:p>
    <w:p>
      <w:pPr>
        <w:pStyle w:val="Heading1"/>
      </w:pPr>
      <w:r>
        <w:t>2. 安装与启动</w:t>
      </w:r>
    </w:p>
    <w:p>
      <w:pPr>
        <w:pStyle w:val="Heading2"/>
      </w:pPr>
      <w:r>
        <w:t>2.1 运行条件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710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操作系统</w:t>
            </w:r>
          </w:p>
        </w:tc>
        <w:tc>
          <w:tcPr>
            <w:tcW w:type="dxa" w:w="7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Windows 10 / 11</w:t>
            </w:r>
          </w:p>
        </w:tc>
      </w:tr>
      <w:tr>
        <w:tc>
          <w:tcPr>
            <w:tcW w:type="dxa" w:w="2268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Python</w:t>
            </w:r>
          </w:p>
        </w:tc>
        <w:tc>
          <w:tcPr>
            <w:tcW w:type="dxa" w:w="7710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3.11 或 3.12，项目已配置 .venv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关键依赖</w:t>
            </w:r>
          </w:p>
        </w:tc>
        <w:tc>
          <w:tcPr>
            <w:tcW w:type="dxa" w:w="7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Streamlit、Plotly、Pandas、PyArrow</w:t>
            </w:r>
          </w:p>
        </w:tc>
      </w:tr>
      <w:tr>
        <w:tc>
          <w:tcPr>
            <w:tcW w:type="dxa" w:w="2268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浏览器</w:t>
            </w:r>
          </w:p>
        </w:tc>
        <w:tc>
          <w:tcPr>
            <w:tcW w:type="dxa" w:w="7710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Edge、Chrome 或其他现代浏览器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默认地址</w:t>
            </w:r>
          </w:p>
        </w:tc>
        <w:tc>
          <w:tcPr>
            <w:tcW w:type="dxa" w:w="7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http://127.0.0.1:8501</w:t>
            </w:r>
          </w:p>
        </w:tc>
      </w:tr>
    </w:tbl>
    <w:p/>
    <w:p>
      <w:pPr>
        <w:pStyle w:val="Heading2"/>
      </w:pPr>
      <w:r>
        <w:t>2.2 一键启动</w:t>
      </w:r>
    </w:p>
    <w:p>
      <w:pPr>
        <w:pStyle w:val="ListNumber"/>
      </w:pPr>
      <w:r>
        <w:t>打开 5g-ai-project 项目目录。</w:t>
      </w:r>
    </w:p>
    <w:p>
      <w:pPr>
        <w:pStyle w:val="ListNumber"/>
      </w:pPr>
      <w:r>
        <w:t>在空白处右键打开 PowerShell。</w:t>
      </w:r>
    </w:p>
    <w:p>
      <w:pPr>
        <w:pStyle w:val="ListNumber"/>
      </w:pPr>
      <w:r>
        <w:t>执行下方启动命令。</w:t>
      </w:r>
    </w:p>
    <w:p>
      <w:pPr>
        <w:pStyle w:val="ListNumber"/>
      </w:pPr>
      <w:r>
        <w:t>终端显示 URL 后，在浏览器访问 http://127.0.0.1:8501。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02A4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Consolas" w:hAnsi="Consolas"/>
                <w:color w:val="F5F8FC"/>
                <w:sz w:val="18"/>
              </w:rPr>
              <w:t>.\week7\run_web.ps1</w:t>
            </w:r>
          </w:p>
        </w:tc>
      </w:tr>
    </w:tbl>
    <w:p/>
    <w:p>
      <w:pPr>
        <w:pStyle w:val="Heading2"/>
      </w:pPr>
      <w:r>
        <w:t>2.3 首次部署或依赖修复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02A4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Consolas" w:hAnsi="Consolas"/>
                <w:color w:val="F5F8FC"/>
                <w:sz w:val="18"/>
              </w:rPr>
              <w:t>.\.venv\Scripts\python.exe -m pip install -r requirements.txt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565C0"/>
              </w:rPr>
              <w:t>停止系统</w:t>
              <w:br/>
            </w:r>
            <w:r>
              <w:t>回到正在运行 Web 应用的 PowerShell 窗口，按 Ctrl + C。关闭浏览器页面不会停止后台服务。</w:t>
            </w:r>
          </w:p>
        </w:tc>
      </w:tr>
    </w:tbl>
    <w:p/>
    <w:p>
      <w:r>
        <w:br w:type="page"/>
      </w:r>
    </w:p>
    <w:p>
      <w:pPr>
        <w:pStyle w:val="Heading1"/>
      </w:pPr>
      <w:r>
        <w:t>3. 界面与操作</w:t>
      </w:r>
    </w:p>
    <w:p>
      <w:r>
        <w:t>左侧导航提供五个功能页。系统打开后先检查数据与结果文件；绿色状态提示“数据与模型结果已就绪”表示可以正常使用。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4876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操作方法</w:t>
            </w:r>
          </w:p>
        </w:tc>
        <w:tc>
          <w:tcPr>
            <w:tcW w:type="dxa" w:w="3288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使用场景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系统总览</w:t>
            </w:r>
          </w:p>
        </w:tc>
        <w:tc>
          <w:tcPr>
            <w:tcW w:type="dxa" w:w="48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查看模型数、最佳 RMSE、异常时刻与根因规模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汇报、快速验收</w:t>
            </w:r>
          </w:p>
        </w:tc>
      </w:tr>
      <w:tr>
        <w:tc>
          <w:tcPr>
            <w:tcW w:type="dxa" w:w="170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KPI 预测</w:t>
            </w:r>
          </w:p>
        </w:tc>
        <w:tc>
          <w:tcPr>
            <w:tcW w:type="dxa" w:w="4876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选择结果组和模型，查看预测曲线并下载</w:t>
            </w:r>
          </w:p>
        </w:tc>
        <w:tc>
          <w:tcPr>
            <w:tcW w:type="dxa" w:w="3288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模型对比、结果导出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异常检测</w:t>
            </w:r>
          </w:p>
        </w:tc>
        <w:tc>
          <w:tcPr>
            <w:tcW w:type="dxa" w:w="48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选择检测策略，查看异常点和异常率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告警确认、时刻定位</w:t>
            </w:r>
          </w:p>
        </w:tc>
      </w:tr>
      <w:tr>
        <w:tc>
          <w:tcPr>
            <w:tcW w:type="dxa" w:w="170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根因分析</w:t>
            </w:r>
          </w:p>
        </w:tc>
        <w:tc>
          <w:tcPr>
            <w:tcW w:type="dxa" w:w="4876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调节 Top N，查看贡献度和相关度</w:t>
            </w:r>
          </w:p>
        </w:tc>
        <w:tc>
          <w:tcPr>
            <w:tcW w:type="dxa" w:w="3288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故障排查、重点 KPI 筛选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数据浏览</w:t>
            </w:r>
          </w:p>
        </w:tc>
        <w:tc>
          <w:tcPr>
            <w:tcW w:type="dxa" w:w="48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选择 KPI 和时间范围，查看统计与时序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原始信号核查</w:t>
            </w:r>
          </w:p>
        </w:tc>
      </w:tr>
    </w:tbl>
    <w:p/>
    <w:p>
      <w:pPr>
        <w:pStyle w:val="Heading2"/>
      </w:pPr>
      <w:r>
        <w:t>3.1 KPI 预测</w:t>
      </w:r>
    </w:p>
    <w:p>
      <w:pPr>
        <w:pStyle w:val="ListNumber"/>
      </w:pPr>
      <w:r>
        <w:t>选择任务组。传统机器学习组对应单 Beam；其余组对应全网平均 KPI。</w:t>
      </w:r>
    </w:p>
    <w:p>
      <w:pPr>
        <w:pStyle w:val="ListNumber"/>
      </w:pPr>
      <w:r>
        <w:t>选择一个或多个模型；黑色曲线为实际值，彩色曲线为模型预测。</w:t>
      </w:r>
    </w:p>
    <w:p>
      <w:pPr>
        <w:pStyle w:val="ListNumber"/>
      </w:pPr>
      <w:r>
        <w:t>查看下方同口径指标，必要时点击“下载当前预测结果”。</w:t>
      </w:r>
    </w:p>
    <w:p>
      <w:pPr>
        <w:pStyle w:val="Heading2"/>
      </w:pPr>
      <w:r>
        <w:t>3.2 异常检测与根因定位</w:t>
      </w:r>
    </w:p>
    <w:p>
      <w:pPr>
        <w:pStyle w:val="ListNumber"/>
      </w:pPr>
      <w:r>
        <w:t>若目标是尽量不漏报，选择“异常并集（高召回）”；若目标是减少误报，选择“共同异常（高置信）”。</w:t>
      </w:r>
    </w:p>
    <w:p>
      <w:pPr>
        <w:pStyle w:val="ListNumber"/>
      </w:pPr>
      <w:r>
        <w:t>红色菱形为异常时刻，可在图表中缩放和悬停查看数值。</w:t>
      </w:r>
    </w:p>
    <w:p>
      <w:pPr>
        <w:pStyle w:val="ListNumber"/>
      </w:pPr>
      <w:r>
        <w:t>进入根因分析页，先查看 Top 15，再结合贡献度、相关性和异常均值判断。</w:t>
      </w:r>
    </w:p>
    <w:p>
      <w:r>
        <w:br w:type="page"/>
      </w:r>
    </w:p>
    <w:p>
      <w:pPr>
        <w:pStyle w:val="Heading1"/>
      </w:pPr>
      <w:r>
        <w:t>4. 预测模型结果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268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2381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任务范围</w:t>
            </w:r>
          </w:p>
        </w:tc>
        <w:tc>
          <w:tcPr>
            <w:tcW w:type="dxa" w:w="1701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MAE</w:t>
            </w:r>
          </w:p>
        </w:tc>
        <w:tc>
          <w:tcPr>
            <w:tcW w:type="dxa" w:w="1701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RMSE</w:t>
            </w:r>
          </w:p>
        </w:tc>
        <w:tc>
          <w:tcPr>
            <w:tcW w:type="dxa" w:w="1701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R²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LightGBM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全网均值 W4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0.00621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0.00745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0.9714</w:t>
            </w:r>
          </w:p>
        </w:tc>
      </w:tr>
      <w:tr>
        <w:tc>
          <w:tcPr>
            <w:tcW w:type="dxa" w:w="2268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XGBoost</w:t>
            </w:r>
          </w:p>
        </w:tc>
        <w:tc>
          <w:tcPr>
            <w:tcW w:type="dxa" w:w="238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全网均值 W4</w:t>
            </w:r>
          </w:p>
        </w:tc>
        <w:tc>
          <w:tcPr>
            <w:tcW w:type="dxa" w:w="170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0.00637</w:t>
            </w:r>
          </w:p>
        </w:tc>
        <w:tc>
          <w:tcPr>
            <w:tcW w:type="dxa" w:w="170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0.00767</w:t>
            </w:r>
          </w:p>
        </w:tc>
        <w:tc>
          <w:tcPr>
            <w:tcW w:type="dxa" w:w="170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0.9697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Transformer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全网均值 W5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0.00723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0.00887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0.9583</w:t>
            </w:r>
          </w:p>
        </w:tc>
      </w:tr>
      <w:tr>
        <w:tc>
          <w:tcPr>
            <w:tcW w:type="dxa" w:w="2268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LSTM</w:t>
            </w:r>
          </w:p>
        </w:tc>
        <w:tc>
          <w:tcPr>
            <w:tcW w:type="dxa" w:w="238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全网均值 W5</w:t>
            </w:r>
          </w:p>
        </w:tc>
        <w:tc>
          <w:tcPr>
            <w:tcW w:type="dxa" w:w="170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0.00854</w:t>
            </w:r>
          </w:p>
        </w:tc>
        <w:tc>
          <w:tcPr>
            <w:tcW w:type="dxa" w:w="170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0.01070</w:t>
            </w:r>
          </w:p>
        </w:tc>
        <w:tc>
          <w:tcPr>
            <w:tcW w:type="dxa" w:w="170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0.9392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GRU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全网均值 W5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0.01581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0.02052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0.7766</w:t>
            </w:r>
          </w:p>
        </w:tc>
      </w:tr>
      <w:tr>
        <w:tc>
          <w:tcPr>
            <w:tcW w:type="dxa" w:w="2268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RandomForest</w:t>
            </w:r>
          </w:p>
        </w:tc>
        <w:tc>
          <w:tcPr>
            <w:tcW w:type="dxa" w:w="238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单 Beam W4</w:t>
            </w:r>
          </w:p>
        </w:tc>
        <w:tc>
          <w:tcPr>
            <w:tcW w:type="dxa" w:w="170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0.06868</w:t>
            </w:r>
          </w:p>
        </w:tc>
        <w:tc>
          <w:tcPr>
            <w:tcW w:type="dxa" w:w="170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0.10524</w:t>
            </w:r>
          </w:p>
        </w:tc>
        <w:tc>
          <w:tcPr>
            <w:tcW w:type="dxa" w:w="170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0.8878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DecisionTree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单 Beam W4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0.07451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0.12501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0.8417</w:t>
            </w:r>
          </w:p>
        </w:tc>
      </w:tr>
      <w:tr>
        <w:tc>
          <w:tcPr>
            <w:tcW w:type="dxa" w:w="2268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LinearRegression</w:t>
            </w:r>
          </w:p>
        </w:tc>
        <w:tc>
          <w:tcPr>
            <w:tcW w:type="dxa" w:w="238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单 Beam W4</w:t>
            </w:r>
          </w:p>
        </w:tc>
        <w:tc>
          <w:tcPr>
            <w:tcW w:type="dxa" w:w="170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0.11579</w:t>
            </w:r>
          </w:p>
        </w:tc>
        <w:tc>
          <w:tcPr>
            <w:tcW w:type="dxa" w:w="170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0.14886</w:t>
            </w:r>
          </w:p>
        </w:tc>
        <w:tc>
          <w:tcPr>
            <w:tcW w:type="dxa" w:w="170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0.7756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593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ll_models_r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9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  第 4–5 周模型 R² 汇总（不同任务范围需分别解释）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DF4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565C0"/>
              </w:rPr>
              <w:t>解释建议</w:t>
              <w:br/>
            </w:r>
            <w:r>
              <w:t>LightGBM 与 XGBoost 在同一全网平均 KPI 任务上表现接近；Transformer 是深度学习模型中的最佳结果。单 Beam 模型指标反映的是另一个预测对象，不应与全网均值模型直接下结论。</w:t>
            </w:r>
          </w:p>
        </w:tc>
      </w:tr>
    </w:tbl>
    <w:p/>
    <w:p>
      <w:pPr>
        <w:pStyle w:val="Heading1"/>
      </w:pPr>
      <w:r>
        <w:t>5. 异常检测与根因结果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35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检测方法</w:t>
            </w:r>
          </w:p>
        </w:tc>
        <w:tc>
          <w:tcPr>
            <w:tcW w:type="dxa" w:w="2551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异常数</w:t>
            </w:r>
          </w:p>
        </w:tc>
        <w:tc>
          <w:tcPr>
            <w:tcW w:type="dxa" w:w="2551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异常率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3-Sigma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0.00%</w:t>
            </w:r>
          </w:p>
        </w:tc>
      </w:tr>
      <w:tr>
        <w:tc>
          <w:tcPr>
            <w:tcW w:type="dxa" w:w="4535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IQR</w:t>
            </w:r>
          </w:p>
        </w:tc>
        <w:tc>
          <w:tcPr>
            <w:tcW w:type="dxa" w:w="255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55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0.00%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Isolation Forest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26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3.10%</w:t>
            </w:r>
          </w:p>
        </w:tc>
      </w:tr>
      <w:tr>
        <w:tc>
          <w:tcPr>
            <w:tcW w:type="dxa" w:w="4535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One-Class SVM</w:t>
            </w:r>
          </w:p>
        </w:tc>
        <w:tc>
          <w:tcPr>
            <w:tcW w:type="dxa" w:w="255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31</w:t>
            </w:r>
          </w:p>
        </w:tc>
        <w:tc>
          <w:tcPr>
            <w:tcW w:type="dxa" w:w="255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3.69%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ML Common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17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2.02%</w:t>
            </w:r>
          </w:p>
        </w:tc>
      </w:tr>
      <w:tr>
        <w:tc>
          <w:tcPr>
            <w:tcW w:type="dxa" w:w="4535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ML Union</w:t>
            </w:r>
          </w:p>
        </w:tc>
        <w:tc>
          <w:tcPr>
            <w:tcW w:type="dxa" w:w="255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40</w:t>
            </w:r>
          </w:p>
        </w:tc>
        <w:tc>
          <w:tcPr>
            <w:tcW w:type="dxa" w:w="255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4.76%</w:t>
            </w:r>
          </w:p>
        </w:tc>
      </w:tr>
    </w:tbl>
    <w:p/>
    <w:p>
      <w:pPr>
        <w:pStyle w:val="Heading2"/>
      </w:pPr>
      <w:r>
        <w:t>5.1 Top 5 根因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1701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2551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贡献度</w:t>
            </w:r>
          </w:p>
        </w:tc>
        <w:tc>
          <w:tcPr>
            <w:tcW w:type="dxa" w:w="2551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异常相关度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1_1_22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0.8887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0.2119</w:t>
            </w:r>
          </w:p>
        </w:tc>
      </w:tr>
      <w:tr>
        <w:tc>
          <w:tcPr>
            <w:tcW w:type="dxa" w:w="2835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4_0_23</w:t>
            </w:r>
          </w:p>
        </w:tc>
        <w:tc>
          <w:tcPr>
            <w:tcW w:type="dxa" w:w="170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55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0.8799</w:t>
            </w:r>
          </w:p>
        </w:tc>
        <w:tc>
          <w:tcPr>
            <w:tcW w:type="dxa" w:w="255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0.2093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25_2_17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0.8298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0.1872</w:t>
            </w:r>
          </w:p>
        </w:tc>
      </w:tr>
      <w:tr>
        <w:tc>
          <w:tcPr>
            <w:tcW w:type="dxa" w:w="2835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13_0_22</w:t>
            </w:r>
          </w:p>
        </w:tc>
        <w:tc>
          <w:tcPr>
            <w:tcW w:type="dxa" w:w="170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55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0.8083</w:t>
            </w:r>
          </w:p>
        </w:tc>
        <w:tc>
          <w:tcPr>
            <w:tcW w:type="dxa" w:w="2551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0.2066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12_0_14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0.8035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0.1922</w:t>
            </w:r>
          </w:p>
        </w:tc>
      </w:tr>
    </w:tbl>
    <w:p/>
    <w:p>
      <w:r>
        <w:br w:type="page"/>
      </w:r>
    </w:p>
    <w:p>
      <w:pPr>
        <w:pStyle w:val="Heading1"/>
      </w:pPr>
      <w:r>
        <w:t>6. 测试与性能验收</w:t>
      </w:r>
    </w:p>
    <w:p>
      <w:pPr>
        <w:pStyle w:val="Heading2"/>
      </w:pPr>
      <w:r>
        <w:t>6.1 自动测试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3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835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所需项目数据完整性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6803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8 个模型指标字段与数值</w:t>
            </w:r>
          </w:p>
        </w:tc>
        <w:tc>
          <w:tcPr>
            <w:tcW w:type="dxa" w:w="2835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4 组预测结果实际值与模型列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6803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异常摘要与 40 个异常并集一致性</w:t>
            </w:r>
          </w:p>
        </w:tc>
        <w:tc>
          <w:tcPr>
            <w:tcW w:type="dxa" w:w="2835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2880 个 KPI 目录与重点 KPI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02A4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Consolas" w:hAnsi="Consolas"/>
                <w:color w:val="F5F8FC"/>
                <w:sz w:val="18"/>
              </w:rPr>
              <w:t>.\.venv\Scripts\python.exe -m pytest week7\tests -q</w:t>
            </w:r>
            <w:r>
              <w:br/>
            </w:r>
            <w:r>
              <w:rPr>
                <w:rFonts w:ascii="Consolas" w:hAnsi="Consolas"/>
                <w:color w:val="F5F8FC"/>
                <w:sz w:val="18"/>
              </w:rPr>
              <w:t># 结果：5 passed</w:t>
            </w:r>
          </w:p>
        </w:tc>
      </w:tr>
    </w:tbl>
    <w:p/>
    <w:p>
      <w:pPr>
        <w:pStyle w:val="Heading2"/>
      </w:pPr>
      <w:r>
        <w:t>6.2 性能测试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154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耗时</w:t>
            </w:r>
          </w:p>
        </w:tc>
        <w:tc>
          <w:tcPr>
            <w:tcW w:type="dxa" w:w="2154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峰值内存</w:t>
            </w:r>
          </w:p>
        </w:tc>
      </w:tr>
      <w:t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加载模型指标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5.48 ms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0.30 MB</w:t>
            </w:r>
          </w:p>
        </w:tc>
      </w:tr>
      <w:tr>
        <w:tc>
          <w:tcPr>
            <w:tcW w:type="dxa" w:w="5386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加载异常检测全套结果</w:t>
            </w:r>
          </w:p>
        </w:tc>
        <w:tc>
          <w:tcPr>
            <w:tcW w:type="dxa" w:w="2154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11.88 ms</w:t>
            </w:r>
          </w:p>
        </w:tc>
        <w:tc>
          <w:tcPr>
            <w:tcW w:type="dxa" w:w="2154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1.15 MB</w:t>
            </w:r>
          </w:p>
        </w:tc>
      </w:tr>
      <w:t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读取 2880 个 KPI 名称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211.96 ms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7.88 MB</w:t>
            </w:r>
          </w:p>
        </w:tc>
      </w:tr>
      <w:tr>
        <w:tc>
          <w:tcPr>
            <w:tcW w:type="dxa" w:w="5386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按需读取单个 KPI 时序</w:t>
            </w:r>
          </w:p>
        </w:tc>
        <w:tc>
          <w:tcPr>
            <w:tcW w:type="dxa" w:w="2154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331.97 ms</w:t>
            </w:r>
          </w:p>
        </w:tc>
        <w:tc>
          <w:tcPr>
            <w:tcW w:type="dxa" w:w="2154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7.79 MB</w:t>
            </w:r>
          </w:p>
        </w:tc>
      </w:tr>
    </w:tbl>
    <w:p/>
    <w:p>
      <w:pPr>
        <w:pStyle w:val="ListBullet"/>
      </w:pPr>
      <w:r>
        <w:t>模型指标和异常结果体量较小，适合一次加载并由 Streamlit 缓存。</w:t>
      </w:r>
    </w:p>
    <w:p>
      <w:pPr>
        <w:pStyle w:val="ListBullet"/>
      </w:pPr>
      <w:r>
        <w:t>2880 列宽表只读取表头建立 KPI 目录；查看时仅加载 time_index 与选中 KPI 两列。</w:t>
      </w:r>
    </w:p>
    <w:p>
      <w:pPr>
        <w:pStyle w:val="ListBullet"/>
      </w:pPr>
      <w:r>
        <w:t>交互页面复用缓存数据，切换导航时无需重复读取主要结果文件。</w:t>
      </w:r>
    </w:p>
    <w:p>
      <w:pPr>
        <w:pStyle w:val="Heading1"/>
      </w:pPr>
      <w:r>
        <w:t>7.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6406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处理方法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PowerShell 禁止运行脚本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在当前窗口执行：Set-ExecutionPolicy -Scope Process Bypass，然后重新启动。</w:t>
            </w:r>
          </w:p>
        </w:tc>
      </w:tr>
      <w:tr>
        <w:tc>
          <w:tcPr>
            <w:tcW w:type="dxa" w:w="3402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提示缺少 Streamlit</w:t>
            </w:r>
          </w:p>
        </w:tc>
        <w:tc>
          <w:tcPr>
            <w:tcW w:type="dxa" w:w="6406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执行：.\.venv\Scripts\python.exe -m pip install -r requirements.txt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提示数据文件不完整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确认 week3/processed、week5/results、week6/results 未被移动或改名。</w:t>
            </w:r>
          </w:p>
        </w:tc>
      </w:tr>
      <w:tr>
        <w:tc>
          <w:tcPr>
            <w:tcW w:type="dxa" w:w="3402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8501 端口被占用</w:t>
            </w:r>
          </w:p>
        </w:tc>
        <w:tc>
          <w:tcPr>
            <w:tcW w:type="dxa" w:w="6406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停止旧服务；或手动使用 --server.port 8502 启动。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网页未刷新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等待几秒后按 Ctrl + R；后台首次读取 KPI 可能需要约 0.3 秒。</w:t>
            </w:r>
          </w:p>
        </w:tc>
      </w:tr>
      <w:tr>
        <w:tc>
          <w:tcPr>
            <w:tcW w:type="dxa" w:w="3402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中文显示异常</w:t>
            </w:r>
          </w:p>
        </w:tc>
        <w:tc>
          <w:tcPr>
            <w:tcW w:type="dxa" w:w="6406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使用 Edge/Chrome，并确认系统已安装微软雅黑字体。</w:t>
            </w:r>
          </w:p>
        </w:tc>
      </w:tr>
    </w:tbl>
    <w:p/>
    <w:p>
      <w:pPr>
        <w:pStyle w:val="Heading2"/>
      </w:pPr>
      <w:r>
        <w:t>7.1 关键目录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02A4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Consolas" w:hAnsi="Consolas"/>
                <w:color w:val="F5F8FC"/>
                <w:sz w:val="18"/>
              </w:rPr>
              <w:t>week7/</w:t>
            </w:r>
            <w:r>
              <w:br/>
            </w:r>
            <w:r>
              <w:rPr>
                <w:rFonts w:ascii="Consolas" w:hAnsi="Consolas"/>
                <w:color w:val="F5F8FC"/>
                <w:sz w:val="18"/>
              </w:rPr>
              <w:t>├─ app.py                 Web 应用入口</w:t>
            </w:r>
            <w:r>
              <w:br/>
            </w:r>
            <w:r>
              <w:rPr>
                <w:rFonts w:ascii="Consolas" w:hAnsi="Consolas"/>
                <w:color w:val="F5F8FC"/>
                <w:sz w:val="18"/>
              </w:rPr>
              <w:t>├─ core/data_repository.py 数据访问与校验</w:t>
            </w:r>
            <w:r>
              <w:br/>
            </w:r>
            <w:r>
              <w:rPr>
                <w:rFonts w:ascii="Consolas" w:hAnsi="Consolas"/>
                <w:color w:val="F5F8FC"/>
                <w:sz w:val="18"/>
              </w:rPr>
              <w:t>├─ tests/                  自动测试</w:t>
            </w:r>
            <w:r>
              <w:br/>
            </w:r>
            <w:r>
              <w:rPr>
                <w:rFonts w:ascii="Consolas" w:hAnsi="Consolas"/>
                <w:color w:val="F5F8FC"/>
                <w:sz w:val="18"/>
              </w:rPr>
              <w:t>├─ scripts/benchmark.py    性能测试</w:t>
            </w:r>
            <w:r>
              <w:br/>
            </w:r>
            <w:r>
              <w:rPr>
                <w:rFonts w:ascii="Consolas" w:hAnsi="Consolas"/>
                <w:color w:val="F5F8FC"/>
                <w:sz w:val="18"/>
              </w:rPr>
              <w:t>├─ results/                性能结果</w:t>
            </w:r>
            <w:r>
              <w:br/>
            </w:r>
            <w:r>
              <w:rPr>
                <w:rFonts w:ascii="Consolas" w:hAnsi="Consolas"/>
                <w:color w:val="F5F8FC"/>
                <w:sz w:val="18"/>
              </w:rPr>
              <w:t>└─ run_web.ps1             Windows 启动脚本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DF4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565C0"/>
              </w:rPr>
              <w:t>维护原则</w:t>
              <w:br/>
            </w:r>
            <w:r>
              <w:t>不要修改 Week 4–6 结果 CSV 的字段名。若更换数据文件，先运行自动测试，再启动 Web 应用。</w:t>
            </w:r>
          </w:p>
        </w:tc>
      </w:tr>
    </w:tbl>
    <w:p/>
    <w:p>
      <w:r>
        <w:br w:type="page"/>
      </w:r>
    </w:p>
    <w:p>
      <w:pPr>
        <w:pStyle w:val="Heading1"/>
      </w:pPr>
      <w:r>
        <w:t>8. 交付验收清单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835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5783"/>
            <w:shd w:fill="1565C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验收结果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☑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预测模块集成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8 个模型、4 组预测曲线可查看</w:t>
            </w:r>
          </w:p>
        </w:tc>
      </w:tr>
      <w:tr>
        <w:tc>
          <w:tcPr>
            <w:tcW w:type="dxa" w:w="1134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☑</w:t>
            </w:r>
          </w:p>
        </w:tc>
        <w:tc>
          <w:tcPr>
            <w:tcW w:type="dxa" w:w="2835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异常检测集成</w:t>
            </w:r>
          </w:p>
        </w:tc>
        <w:tc>
          <w:tcPr>
            <w:tcW w:type="dxa" w:w="5783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4 种策略、异常时序和摘要可查看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☑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根因分析集成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2880 个 KPI 排名与 Top N 交互可查看</w:t>
            </w:r>
          </w:p>
        </w:tc>
      </w:tr>
      <w:tr>
        <w:tc>
          <w:tcPr>
            <w:tcW w:type="dxa" w:w="1134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☑</w:t>
            </w:r>
          </w:p>
        </w:tc>
        <w:tc>
          <w:tcPr>
            <w:tcW w:type="dxa" w:w="2835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Web 应用</w:t>
            </w:r>
          </w:p>
        </w:tc>
        <w:tc>
          <w:tcPr>
            <w:tcW w:type="dxa" w:w="5783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Streamlit 本地服务健康检查 HTTP 200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☑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系统测试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5 项自动测试全部通过</w:t>
            </w:r>
          </w:p>
        </w:tc>
      </w:tr>
      <w:tr>
        <w:tc>
          <w:tcPr>
            <w:tcW w:type="dxa" w:w="1134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☑</w:t>
            </w:r>
          </w:p>
        </w:tc>
        <w:tc>
          <w:tcPr>
            <w:tcW w:type="dxa" w:w="2835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性能优化</w:t>
            </w:r>
          </w:p>
        </w:tc>
        <w:tc>
          <w:tcPr>
            <w:tcW w:type="dxa" w:w="5783"/>
            <w:vAlign w:val="center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缓存、按列读取、性能记录已完成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☑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用户交付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代码、启动脚本、README、使用手册齐全</w:t>
            </w:r>
          </w:p>
        </w:tc>
      </w:tr>
    </w:tbl>
    <w:p/>
    <w:p>
      <w:pPr>
        <w:pStyle w:val="Heading2"/>
      </w:pPr>
      <w:r>
        <w:t>8.1 交付文件</w:t>
      </w:r>
    </w:p>
    <w:p>
      <w:pPr>
        <w:pStyle w:val="ListBullet"/>
      </w:pPr>
      <w:r>
        <w:t>完整系统代码：5g-ai-project/week7/</w:t>
      </w:r>
    </w:p>
    <w:p>
      <w:pPr>
        <w:pStyle w:val="ListBullet"/>
      </w:pPr>
      <w:r>
        <w:t>Web 应用入口：5g-ai-project/week7/app.py</w:t>
      </w:r>
    </w:p>
    <w:p>
      <w:pPr>
        <w:pStyle w:val="ListBullet"/>
      </w:pPr>
      <w:r>
        <w:t>Windows 启动脚本：5g-ai-project/week7/run_web.ps1</w:t>
      </w:r>
    </w:p>
    <w:p>
      <w:pPr>
        <w:pStyle w:val="ListBullet"/>
      </w:pPr>
      <w:r>
        <w:t>自动测试：5g-ai-project/week7/tests/</w:t>
      </w:r>
    </w:p>
    <w:p>
      <w:pPr>
        <w:pStyle w:val="ListBullet"/>
      </w:pPr>
      <w:r>
        <w:t>性能结果：5g-ai-project/week7/results/performance_report.json</w:t>
      </w:r>
    </w:p>
    <w:p>
      <w:pPr>
        <w:pStyle w:val="ListBullet"/>
      </w:pPr>
      <w:r>
        <w:t>本使用手册：第7周_5G_KPI智能运维平台_系统使用手册.docx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6F7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565C0"/>
              </w:rPr>
              <w:t>验收结论</w:t>
              <w:br/>
            </w:r>
            <w:r>
              <w:t>第 7 周“系统集成与 Web 展示”目标已完成。系统在 Windows 环境下可运行，核心页面已进行真实浏览器验收。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5B6573"/>
        <w:sz w:val="18"/>
      </w:rPr>
      <w:t>5G AI 项目 · 第 7 周交付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b w:val="0"/>
      <w:color w:val="26384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A8A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02A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