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44" w:name="_GoBack"/>
          <w:bookmarkEnd w:id="44"/>
          <w:r>
            <w:rPr>
              <w:rFonts w:ascii="宋体" w:hAnsi="宋体" w:eastAsia="宋体"/>
              <w:sz w:val="21"/>
            </w:rPr>
            <w:t>目录</w:t>
          </w:r>
        </w:p>
        <w:p w14:paraId="6FADDDA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_Toc14288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_Toc14288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74C2F3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_Toc32481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6B83BE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_Toc5714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B2A604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_Toc22724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2E94DD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_Toc19216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71CCD3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EFFED5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_Toc30694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F72DC1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_Toc3940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_Toc3940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7FD63B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_Toc16725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7BACF9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_Toc21874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17D377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_Toc8638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_Toc8638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00ABC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_Toc20384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B4FCBD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_Toc18330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2DD2E0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_Toc27902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583352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_Toc24136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DD99DB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_Toc2490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C6D2A2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_Toc24163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14A28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_Toc7323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3F95A4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_Toc10694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9DD38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_Toc30078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0957A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_Toc6305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_Toc6305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E67327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_Toc15496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69692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_Toc2129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1EA26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_Toc8239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31B74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_Toc16854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1ACFE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_Toc20556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C9A2A6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_Toc32029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5AA641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_Toc5826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B595D1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_Toc12153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B9F63C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_Toc8849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_Toc8849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F675FF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_Toc1790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846AF6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81BA29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_Toc16796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87844E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_Toc21301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5F01A8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_Toc17963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23B787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_Toc15540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_Toc15540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F8646A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_Toc22220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67F9AC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_Toc2975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B5984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_Toc12099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_Toc12099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DE4922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_Toc23476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6A4DC9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_Toc14137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476672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 xml:space="preserve">. 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_Toc19791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54BC54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_Toc28557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刻印基类使用UObject而非AActor</w:t>
          </w:r>
          <w:r>
            <w:tab/>
          </w:r>
          <w:r>
            <w:fldChar w:fldCharType="begin"/>
          </w:r>
          <w:r>
            <w:instrText xml:space="preserve"> PAGEREF _Toc28557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DF9AE9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_Toc32767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工具组件改为UObject组件</w:t>
          </w:r>
          <w:r>
            <w:tab/>
          </w:r>
          <w:r>
            <w:fldChar w:fldCharType="begin"/>
          </w:r>
          <w:r>
            <w:instrText xml:space="preserve"> PAGEREF _Toc32767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14288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32481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571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2272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4999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2"/>
        <w:gridCol w:w="4125"/>
        <w:gridCol w:w="3102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A0B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71C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9216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931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30694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394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37507DE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67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18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86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03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72754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敌人复用玩家完整的三槽架构，配置由刻印池随机生成。信息素机制：敌人被击杀时在死亡位置留下信息素，记录击杀所用技能的属性标签。后续在该点刷新的敌人，信息素标签获得三倍抽取权重，使其配置向玩家偏好趋同。信息素三波刷新后衰减归零，每五层全局重置。抗性机制：同一刷新点被同一套路反复击杀时，该点敌人对该伤害类型产生可叠加的百分比抗性，外观以渐变色纹路警示，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2" w:name="_Toc183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2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3" w:name="_Toc279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3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4" w:name="_Toc2413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4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5" w:name="_Toc249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5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61F3C63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事件流：刻印放入槽位一时执行本位逻辑，本位在生命周期节点中调用工具组件函数完成核心行为，然后调用 BroadcastEvent 广播事件。刻印放入槽位二时执行变位逻辑，变位在 OnEventReceived 中接收事件，根据事件类型和当前功能槽类型执行对应的响应逻辑。功能槽类型通过 CurrentSlotType 字段传递给变位。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6" w:name="_Toc241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16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  <w:r>
        <w:rPr>
          <w:rFonts w:hint="default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7" w:name="_Toc73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17"/>
    </w:p>
    <w:p w14:paraId="28D8726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 xml:space="preserve">做一枚新刻印的操作：在 Content Browser 中右键新建蓝图类，继承自 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Base，命名为 BP_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_刻印名称。使用 NewObject 创建工具组件并赋值给对应成员变量。工具组件作为 UObject 引用成员持有。在 Event Graph 中重写本位事件，实现本位行为逻辑，调用组件工具函数，在关键节点调用 BroadcastEvent 广播事件。重写 OnEventReceived，实现变位逻辑：判断事件类型和当前功能槽类型，执行对应响应逻辑。在 Details 面板中暴露和调整参数（速度、伤害、冷却等）。编译保存，拖入槽位测试。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8" w:name="_Toc1069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18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3007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19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630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0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1" w:name="_Toc154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1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2" w:name="_Toc21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2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823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3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36D80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39659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Ability/</w:t>
      </w:r>
    </w:p>
    <w:p w14:paraId="6E13A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AbilityBase.h/cpp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EffectBase.h/cpp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168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4"/>
    </w:p>
    <w:tbl>
      <w:tblPr>
        <w:tblStyle w:val="13"/>
        <w:tblW w:w="501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574"/>
        <w:gridCol w:w="3808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2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2055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5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26" w:name="_Toc320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26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 负责刻印的完整生命周期：通过 NewObject 创建，通过 MarkAsGarbage 销毁。销毁时机包括：刻印被舍弃、刻印被融合消耗、角色死亡时清空所有刻印。UGlyphInventoryComponent 的 BeginDestroy 中需遍历数组并销毁所有持有的刻印，防止内存泄漏。UGlyphInventoryComponent 挂载在 AGlyphCharacter 上，作为角色的子组件。角色和敌人复用同一套 InventoryComponent 逻辑，通过配置不同的初始刻印池来区分。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58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27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8" w:name="_Toc1215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28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29" w:name="_Toc884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29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179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0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1" w:name="_Toc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1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2" w:name="_Toc167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2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3" w:name="_Toc213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3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179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4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 MVP 刻印如下：</w:t>
      </w:r>
    </w:p>
    <w:p w14:paraId="5011B18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火焰：普攻发射火球伤害20，技能发射大火球伤害50并爆炸，位移向后喷射火球自身位移。变位在命中或位移结束时生成燃烧区域持续灼烧敌人。</w:t>
      </w:r>
    </w:p>
    <w:p w14:paraId="2213F78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冰霜：普攻发射冰锥伤害18并减速，技能发射大冰锥伤害45并范围冻结，位移向前突进并在终点释放冰环。变位在命中或位移结束时生成冰面区域减速敌人。</w:t>
      </w:r>
    </w:p>
    <w:p w14:paraId="547E41C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雷电：普攻发射闪电伤害15，技能发射强闪电伤害40并范围传导，位移化作闪电向前闪烁。变位在命中时连锁弹射至附近敌人。</w:t>
      </w:r>
    </w:p>
    <w:p w14:paraId="2FC571E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暗影：普攻短距离突进斩击伤害25，技能长距离突进斩击伤害60，位移长距离突进且全程无敌。变位在突进路径上造成伤害并回复生命。</w:t>
      </w:r>
    </w:p>
    <w:p w14:paraId="239F360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生命：普攻释放小治疗波恢复15生命，技能释放大治疗波恢复40生命并清除负面状态，位移向后闪烁并留下治疗区域。变位在命中友军时连锁弹射治疗。</w:t>
      </w:r>
    </w:p>
    <w:p w14:paraId="55AC04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燃烧：普攻召唤小火元素攻击敌人，技能召唤大火元素攻击敌人并附带灼烧光环，位移召唤火元素后与其交换位置。变位在召唤物攻击时附带灼烧效果。</w:t>
      </w:r>
    </w:p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六枚刻印覆盖三种本位类型（投射物、突进、召唤）和五种变位类型（灼烧、减速、连锁、吸血、治疗），通过事件驱动展示不同组合的质变效果。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5" w:name="_Toc1554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5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6" w:name="_Toc222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6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7" w:name="_Toc29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37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8" w:name="_Toc1209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38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234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39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</w:tbl>
    <w:p w14:paraId="2B7B28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0" w:name="_Toc141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0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1" w:name="_Toc1979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. 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1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2" w:name="_Toc28557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刻印基类使用UObject而非AActor</w:t>
      </w:r>
      <w:bookmarkEnd w:id="42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3" w:name="_Toc32767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工具组件改为UObject组件</w:t>
      </w:r>
      <w:bookmarkEnd w:id="43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0A935149"/>
    <w:rsid w:val="0C9F4679"/>
    <w:rsid w:val="11BD6AC9"/>
    <w:rsid w:val="336B3939"/>
    <w:rsid w:val="387F4F47"/>
    <w:rsid w:val="3AE461DA"/>
    <w:rsid w:val="3D9F1B06"/>
    <w:rsid w:val="4B915409"/>
    <w:rsid w:val="510C617E"/>
    <w:rsid w:val="531212D7"/>
    <w:rsid w:val="54D15CF5"/>
    <w:rsid w:val="598F0A5E"/>
    <w:rsid w:val="5FF4345C"/>
    <w:rsid w:val="6F5837CB"/>
    <w:rsid w:val="73424E8E"/>
    <w:rsid w:val="7A830130"/>
    <w:rsid w:val="7A9E3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54</Words>
  <Characters>105</Characters>
  <Lines>0</Lines>
  <Paragraphs>0</Paragraphs>
  <TotalTime>0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2026-07-17T06:19:45Z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