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FADDDA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_Toc14288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_Toc14288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74C2F3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_Toc32481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6B83BE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_Toc5714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B2A604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_Toc22724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2E94DD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_Toc19216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71CCD3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EFFED5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_Toc30694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F72DC1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_Toc3940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_Toc3940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7FD63B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_Toc16725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7BACF9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_Toc21874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17D377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_Toc8638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_Toc8638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00ABC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_Toc20384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B4FCBD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_Toc18330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2DD2E0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_Toc27902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583352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_Toc24136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DD99DB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_Toc2490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C6D2A2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_Toc24163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14A28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_Toc7323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3F95A4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_Toc10694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9DD38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_Toc30078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0957A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_Toc6305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_Toc6305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67327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_Toc15496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69692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_Toc2129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1EA26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_Toc8239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31B74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_Toc16854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1ACFE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_Toc20556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C9A2A6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_Toc32029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5AA641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_Toc5826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B595D1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_Toc12153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B9F63C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_Toc8849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_Toc8849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F675FF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_Toc1790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846AF6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81BA29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_Toc16796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87844E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_Toc21301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5F01A8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_Toc17963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23B787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_Toc15540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_Toc15540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F8646A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_Toc22220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67F9AC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_Toc2975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B5984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_Toc12099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_Toc12099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DE4922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_Toc23476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6A4DC9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_Toc14137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476672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 xml:space="preserve">. 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_Toc19791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54BC54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_Toc28557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刻印基类使用UObject而非AActor</w:t>
          </w:r>
          <w:r>
            <w:tab/>
          </w:r>
          <w:r>
            <w:fldChar w:fldCharType="begin"/>
          </w:r>
          <w:r>
            <w:instrText xml:space="preserve"> PAGEREF _Toc28557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DF9AE9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_Toc32767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工具组件改为UObject组件</w:t>
          </w:r>
          <w:r>
            <w:tab/>
          </w:r>
          <w:r>
            <w:fldChar w:fldCharType="begin"/>
          </w:r>
          <w:r>
            <w:instrText xml:space="preserve"> PAGEREF _Toc32767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14288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32481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571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2272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4999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2"/>
        <w:gridCol w:w="4125"/>
        <w:gridCol w:w="3102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A0B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71C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9216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931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30694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394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37507DE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67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18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86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03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72754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敌人复用玩家完整的三槽架构，配置由刻印池随机生成。信息素机制：敌人被击杀时在死亡位置留下信息素，记录击杀所用技能的属性标签。后续在该点刷新的敌人，信息素标签获得三倍抽取权重，使其配置向玩家偏好趋同。信息素三波刷新后衰减归零，每五层全局重置。抗性机制：同一刷新点被同一套路反复击杀时，该点敌人对该伤害类型产生可叠加的百分比抗性，外观以渐变色纹路警示，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2" w:name="_Toc183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2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3" w:name="_Toc279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3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4" w:name="_Toc2413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4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5" w:name="_Toc249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5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61F3C63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事件流：刻印放入槽位一时执行本位逻辑，本位在生命周期节点中调用工具组件函数完成核心行为，然后调用 BroadcastEvent 广播事件。刻印放入槽位二时执行变位逻辑，变位在 OnEventReceived 中接收事件，根据事件类型和当前功能槽类型执行对应的响应逻辑。功能槽类型通过 CurrentSlotType 字段传递给变位。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6" w:name="_Toc241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16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  <w:r>
        <w:rPr>
          <w:rFonts w:hint="default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7" w:name="_Toc73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17"/>
    </w:p>
    <w:p w14:paraId="28D8726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 xml:space="preserve">做一枚新刻印的操作：在 Content Browser 中右键新建蓝图类，继承自 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Base，命名为 BP_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_刻印名称。使用 NewObject 创建工具组件并赋值给对应成员变量。工具组件作为 UObject 引用成员持有。在 Event Graph 中重写本位事件，实现本位行为逻辑，调用组件工具函数，在关键节点调用 BroadcastEvent 广播事件。重写 OnEventReceived，实现变位逻辑：判断事件类型和当前功能槽类型，执行对应响应逻辑。在 Details 面板中暴露和调整参数（速度、伤害、冷却等）。编译保存，拖入槽位测试。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8" w:name="_Toc1069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18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3007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19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630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0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1" w:name="_Toc154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1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2" w:name="_Toc21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2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823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3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36D80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39659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Ability/</w:t>
      </w:r>
    </w:p>
    <w:p w14:paraId="6E13A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AbilityBase.h/cpp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EffectBase.h/cpp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168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4"/>
    </w:p>
    <w:tbl>
      <w:tblPr>
        <w:tblStyle w:val="13"/>
        <w:tblW w:w="501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574"/>
        <w:gridCol w:w="3808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2055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5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26" w:name="_Toc320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26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>销毁。销毁时机包括：刻印被舍弃、刻印被融合消耗、角色死亡时清空所有刻印UGlyphInventoryComponent的BeginDestroy</w:t>
      </w:r>
      <w:bookmarkStart w:id="44" w:name="_GoBack"/>
      <w:bookmarkEnd w:id="44"/>
      <w:r>
        <w:rPr>
          <w:rFonts w:hint="default" w:ascii="Times New Roman" w:hAnsi="Times New Roman" w:eastAsia="宋体" w:cs="Times New Roman"/>
          <w:sz w:val="24"/>
          <w:szCs w:val="24"/>
        </w:rPr>
        <w:t>中需遍历数组并销毁所有持有的刻印，防止内存泄漏。UGlyphInventoryComponent 挂载在 AGlyphCharacter 上，作为角色的子组件。角色和敌人复用同一套 InventoryComponent 逻辑，通过配置不同的初始刻印池来区分。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58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27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8" w:name="_Toc1215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28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29" w:name="_Toc884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29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179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0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1" w:name="_Toc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1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2" w:name="_Toc167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2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3" w:name="_Toc213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3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179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4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 MVP 刻印如下：</w:t>
      </w:r>
    </w:p>
    <w:p w14:paraId="5011B18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火焰：普攻发射火球伤害20，技能发射大火球伤害50并爆炸，位移向后喷射火球自身位移。变位在命中或位移结束时生成燃烧区域持续灼烧敌人。</w:t>
      </w:r>
    </w:p>
    <w:p w14:paraId="2213F78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冰霜：普攻发射冰锥伤害18并减速，技能发射大冰锥伤害45并范围冻结，位移向前突进并在终点释放冰环。变位在命中或位移结束时生成冰面区域减速敌人。</w:t>
      </w:r>
    </w:p>
    <w:p w14:paraId="547E41C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雷电：普攻发射闪电伤害15，技能发射强闪电伤害40并范围传导，位移化作闪电向前闪烁。变位在命中时连锁弹射至附近敌人。</w:t>
      </w:r>
    </w:p>
    <w:p w14:paraId="2FC571E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暗影：普攻短距离突进斩击伤害25，技能长距离突进斩击伤害60，位移长距离突进且全程无敌。变位在突进路径上造成伤害并回复生命。</w:t>
      </w:r>
    </w:p>
    <w:p w14:paraId="239F360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生命：普攻释放小治疗波恢复15生命，技能释放大治疗波恢复40生命并清除负面状态，位移向后闪烁并留下治疗区域。变位在命中友军时连锁弹射治疗。</w:t>
      </w:r>
    </w:p>
    <w:p w14:paraId="55AC04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燃烧：普攻召唤小火元素攻击敌人，技能召唤大火元素攻击敌人并附带灼烧光环，位移召唤火元素后与其交换位置。变位在召唤物攻击时附带灼烧效果。</w:t>
      </w:r>
    </w:p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六枚刻印覆盖三种本位类型（投射物、突进、召唤）和五种变位类型（灼烧、减速、连锁、吸血、治疗），通过事件驱动展示不同组合的质变效果。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5" w:name="_Toc1554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5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6" w:name="_Toc222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6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7" w:name="_Toc29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37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8" w:name="_Toc1209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38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234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39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</w:tbl>
    <w:p w14:paraId="2B7B28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0" w:name="_Toc141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0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1" w:name="_Toc1979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. 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1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2" w:name="_Toc28557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刻印基类使用UObject而非AActor</w:t>
      </w:r>
      <w:bookmarkEnd w:id="42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3" w:name="_Toc32767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工具组件改为UObject组件</w:t>
      </w:r>
      <w:bookmarkEnd w:id="43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0A935149"/>
    <w:rsid w:val="0C9F4679"/>
    <w:rsid w:val="11BD6AC9"/>
    <w:rsid w:val="336B3939"/>
    <w:rsid w:val="387F4F47"/>
    <w:rsid w:val="3AE461DA"/>
    <w:rsid w:val="3D9F1B06"/>
    <w:rsid w:val="4B915409"/>
    <w:rsid w:val="510C617E"/>
    <w:rsid w:val="531212D7"/>
    <w:rsid w:val="54D15CF5"/>
    <w:rsid w:val="598F0A5E"/>
    <w:rsid w:val="5FF4345C"/>
    <w:rsid w:val="6F5837CB"/>
    <w:rsid w:val="73424E8E"/>
    <w:rsid w:val="74CB21EE"/>
    <w:rsid w:val="7A830130"/>
    <w:rsid w:val="7A9E3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54</Words>
  <Characters>105</Characters>
  <Lines>0</Lines>
  <Paragraphs>0</Paragraphs>
  <TotalTime>143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2026-07-18T11:54:43Z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