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B08D57"/>
          <w:sz w:val="56"/>
          <w:szCs w:val="56"/>
        </w:rPr>
        <w:t xml:space="preserve">LegalMindRag</w:t>
      </w:r>
    </w:p>
    <w:p>
      <w:pPr>
        <w:spacing w:after="40"/>
        <w:jc w:val="center"/>
      </w:pPr>
      <w:r>
        <w:rPr>
          <w:color w:val="444444"/>
          <w:sz w:val="30"/>
          <w:szCs w:val="30"/>
        </w:rPr>
        <w:t xml:space="preserve">Frontend Design Specification</w:t>
      </w:r>
    </w:p>
    <w:p>
      <w:pPr>
        <w:spacing w:after="600"/>
        <w:jc w:val="center"/>
      </w:pPr>
      <w:r>
        <w:rPr>
          <w:i/>
          <w:iCs/>
          <w:color w:val="666666"/>
          <w:sz w:val="22"/>
          <w:szCs w:val="22"/>
        </w:rPr>
        <w:t xml:space="preserve">“Chambers at Midnight” — a premium, one-of-a-kind visual identity for an Indian-law RAG assistant</w:t>
      </w:r>
    </w:p>
    <w:p>
      <w:pPr>
        <w:spacing w:after="120"/>
      </w:pPr>
      <w:r>
        <w:rPr>
          <w:i/>
          <w:iCs/>
          <w:color w:val="555555"/>
        </w:rPr>
        <w:t xml:space="preserve">A note on how this document was built: the questions about vibe, layout, and what to change from the previous version were left unanswered, so this spec makes an opinionated, complete set of decisions rather than waiting — a single clear direction you can react to and redline, instead of a blank page.</w:t>
      </w:r>
    </w:p>
    <w:p>
      <w:r>
        <w:br w:type="page"/>
      </w:r>
    </w:p>
    <w:p>
      <w:pPr>
        <w:pStyle w:val="Heading1"/>
        <w:spacing w:after="200" w:before="400"/>
      </w:pPr>
      <w:r>
        <w:t xml:space="preserve">1. Concept &amp; Vibe</w:t>
      </w:r>
    </w:p>
    <w:p>
      <w:pPr>
        <w:spacing w:after="120"/>
      </w:pPr>
      <w:r>
        <w:t xml:space="preserve">Direction chosen: Premium Dark Glass, reinterpreted for law rather than borrowed from generic AI chat products. The reference points in the original prompt — Perplexity/Claude/ChatGPT dark glass, Linear/Notion minimalism, Raycast/Supabase boldness, Westlaw/LexisNexis professionalism — are each partially right and each insufficient alone. Straight dark-glass reads as “yet another AI chatbot.” Straight Westlaw-white reads as dated enterprise software nobody enjoys using. The synthesis below is the actual differentiator.</w:t>
      </w:r>
    </w:p>
    <w:p>
      <w:pPr>
        <w:spacing w:after="60" w:before="200"/>
      </w:pPr>
      <w:r>
        <w:rPr>
          <w:b/>
          <w:bCs/>
          <w:color w:val="B08D57"/>
          <w:sz w:val="20"/>
          <w:szCs w:val="20"/>
        </w:rPr>
        <w:t xml:space="preserve">The core idea</w:t>
      </w:r>
    </w:p>
    <w:p>
      <w:pPr>
        <w:spacing w:after="120"/>
      </w:pPr>
      <w:r>
        <w:t xml:space="preserve">Picture a private law chambers after hours: dark wood and glass, a single brass lamp, case files open on the desk under warm light. That's the interface. The chat and navigation live in obsidian glass panels with brass linework. The moment a source document opens, the surface shifts to a warm parchment tone with serif legal type — the UI itself performs the transition from “assistant” to “primary source,” which no competing product does.</w:t>
      </w:r>
    </w:p>
    <w:p>
      <w:pPr>
        <w:spacing w:after="60" w:before="200"/>
      </w:pPr>
      <w:r>
        <w:rPr>
          <w:b/>
          <w:bCs/>
          <w:color w:val="B08D57"/>
          <w:sz w:val="20"/>
          <w:szCs w:val="20"/>
        </w:rPr>
        <w:t xml:space="preserve">Why this is unique in this specific domain</w:t>
      </w:r>
    </w:p>
    <w:p>
      <w:pPr>
        <w:pStyle w:val="ListParagraph"/>
        <w:numPr>
          <w:ilvl w:val="0"/>
          <w:numId w:val="2"/>
        </w:numPr>
        <w:spacing w:after="60"/>
      </w:pPr>
      <w:r>
        <w:t xml:space="preserve">No legal-AI product currently pairs dark glassmorphism with a parchment/serif source-reading mode — most either commit fully to “corporate legal” (flat, blue, cold) or fully to “generic AI chat” (dark, flat, personality-free).</w:t>
      </w:r>
    </w:p>
    <w:p>
      <w:pPr>
        <w:pStyle w:val="ListParagraph"/>
        <w:numPr>
          <w:ilvl w:val="0"/>
          <w:numId w:val="2"/>
        </w:numPr>
        <w:spacing w:after="60"/>
      </w:pPr>
      <w:r>
        <w:t xml:space="preserve">Brass + sage as the two accent colors is deliberately not blue — blue is the default of every legal-tech and every AI-chat product; avoiding it is itself a differentiator.</w:t>
      </w:r>
    </w:p>
    <w:p>
      <w:pPr>
        <w:pStyle w:val="ListParagraph"/>
        <w:numPr>
          <w:ilvl w:val="0"/>
          <w:numId w:val="2"/>
        </w:numPr>
        <w:spacing w:after="60"/>
      </w:pPr>
      <w:r>
        <w:t xml:space="preserve">Citations are elevated to a first-class, color-coded UI element (sage chips) rather than small footnote links — reinforcing that this product's whole value proposition is trustworthy sourcing.</w:t>
      </w:r>
    </w:p>
    <w:p>
      <w:pPr>
        <w:pStyle w:val="Heading2"/>
        <w:spacing w:after="150" w:before="300"/>
      </w:pPr>
      <w:r>
        <w:t xml:space="preserve">Comparison to reference products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shd w:fill="2A2D33" w:val="clear"/>
          </w:tcPr>
          <w:p>
            <w:r>
              <w:rPr>
                <w:b/>
                <w:bCs/>
                <w:color w:val="FFFFFF"/>
              </w:rPr>
              <w:t xml:space="preserve">Dimension</w:t>
            </w:r>
          </w:p>
        </w:tc>
        <w:tc>
          <w:tcPr>
            <w:tcW w:type="dxa" w:w="2400"/>
            <w:shd w:fill="2A2D33" w:val="clear"/>
          </w:tcPr>
          <w:p>
            <w:r>
              <w:rPr>
                <w:b/>
                <w:bCs/>
                <w:color w:val="FFFFFF"/>
              </w:rPr>
              <w:t xml:space="preserve">ChatGPT / Perplexity</w:t>
            </w:r>
          </w:p>
        </w:tc>
        <w:tc>
          <w:tcPr>
            <w:tcW w:type="dxa" w:w="2400"/>
            <w:shd w:fill="2A2D33" w:val="clear"/>
          </w:tcPr>
          <w:p>
            <w:r>
              <w:rPr>
                <w:b/>
                <w:bCs/>
                <w:color w:val="FFFFFF"/>
              </w:rPr>
              <w:t xml:space="preserve">Westlaw / LexisNexis</w:t>
            </w:r>
          </w:p>
        </w:tc>
        <w:tc>
          <w:tcPr>
            <w:tcW w:type="dxa" w:w="2400"/>
            <w:shd w:fill="2A2D33" w:val="clear"/>
          </w:tcPr>
          <w:p>
            <w:r>
              <w:rPr>
                <w:b/>
                <w:bCs/>
                <w:color w:val="FFFFFF"/>
              </w:rPr>
              <w:t xml:space="preserve">LegalMindRag (this spec)</w:t>
            </w:r>
          </w:p>
        </w:tc>
      </w:tr>
      <w:tr>
        <w:trPr>
          <w:tblHeader w:val="false"/>
        </w:trPr>
        <w:tc>
          <w:tcPr>
            <w:tcW w:type="dxa" w:w="1800"/>
            <w:shd w:fill="FFFFFF" w:val="clear"/>
          </w:tcPr>
          <w:p>
            <w:r>
              <w:rPr>
                <w:b w:val="false"/>
                <w:bCs w:val="false"/>
                <w:color w:val="000000"/>
              </w:rPr>
              <w:t xml:space="preserve">Surface</w:t>
            </w:r>
          </w:p>
        </w:tc>
        <w:tc>
          <w:tcPr>
            <w:tcW w:type="dxa" w:w="2400"/>
            <w:shd w:fill="FFFFFF" w:val="clear"/>
          </w:tcPr>
          <w:p>
            <w:r>
              <w:rPr>
                <w:b w:val="false"/>
                <w:bCs w:val="false"/>
                <w:color w:val="000000"/>
              </w:rPr>
              <w:t xml:space="preserve">Flat dark gray, generic</w:t>
            </w:r>
          </w:p>
        </w:tc>
        <w:tc>
          <w:tcPr>
            <w:tcW w:type="dxa" w:w="2400"/>
            <w:shd w:fill="FFFFFF" w:val="clear"/>
          </w:tcPr>
          <w:p>
            <w:r>
              <w:rPr>
                <w:b w:val="false"/>
                <w:bCs w:val="false"/>
                <w:color w:val="000000"/>
              </w:rPr>
              <w:t xml:space="preserve">Flat corporate white/blue</w:t>
            </w:r>
          </w:p>
        </w:tc>
        <w:tc>
          <w:tcPr>
            <w:tcW w:type="dxa" w:w="2400"/>
            <w:shd w:fill="F3ECDD" w:val="clear"/>
          </w:tcPr>
          <w:p>
            <w:r>
              <w:rPr>
                <w:b/>
                <w:bCs/>
                <w:color w:val="000000"/>
              </w:rPr>
              <w:t xml:space="preserve">Layered obsidian glass with brass linework</w:t>
            </w:r>
          </w:p>
        </w:tc>
      </w:tr>
      <w:tr>
        <w:trPr>
          <w:tblHeader w:val="false"/>
        </w:trPr>
        <w:tc>
          <w:tcPr>
            <w:tcW w:type="dxa" w:w="1800"/>
            <w:shd w:fill="FFFFFF" w:val="clear"/>
          </w:tcPr>
          <w:p>
            <w:r>
              <w:rPr>
                <w:b w:val="false"/>
                <w:bCs w:val="false"/>
                <w:color w:val="000000"/>
              </w:rPr>
              <w:t xml:space="preserve">Typography</w:t>
            </w:r>
          </w:p>
        </w:tc>
        <w:tc>
          <w:tcPr>
            <w:tcW w:type="dxa" w:w="2400"/>
            <w:shd w:fill="FFFFFF" w:val="clear"/>
          </w:tcPr>
          <w:p>
            <w:r>
              <w:rPr>
                <w:b w:val="false"/>
                <w:bCs w:val="false"/>
                <w:color w:val="000000"/>
              </w:rPr>
              <w:t xml:space="preserve">System sans everywhere</w:t>
            </w:r>
          </w:p>
        </w:tc>
        <w:tc>
          <w:tcPr>
            <w:tcW w:type="dxa" w:w="2400"/>
            <w:shd w:fill="FFFFFF" w:val="clear"/>
          </w:tcPr>
          <w:p>
            <w:r>
              <w:rPr>
                <w:b w:val="false"/>
                <w:bCs w:val="false"/>
                <w:color w:val="000000"/>
              </w:rPr>
              <w:t xml:space="preserve">Dense serif, dated</w:t>
            </w:r>
          </w:p>
        </w:tc>
        <w:tc>
          <w:tcPr>
            <w:tcW w:type="dxa" w:w="2400"/>
            <w:shd w:fill="F3ECDD" w:val="clear"/>
          </w:tcPr>
          <w:p>
            <w:r>
              <w:rPr>
                <w:b/>
                <w:bCs/>
                <w:color w:val="000000"/>
              </w:rPr>
              <w:t xml:space="preserve">Serif for legal text authority + modern sans for UI</w:t>
            </w:r>
          </w:p>
        </w:tc>
      </w:tr>
      <w:tr>
        <w:trPr>
          <w:tblHeader w:val="false"/>
        </w:trPr>
        <w:tc>
          <w:tcPr>
            <w:tcW w:type="dxa" w:w="1800"/>
            <w:shd w:fill="FFFFFF" w:val="clear"/>
          </w:tcPr>
          <w:p>
            <w:r>
              <w:rPr>
                <w:b w:val="false"/>
                <w:bCs w:val="false"/>
                <w:color w:val="000000"/>
              </w:rPr>
              <w:t xml:space="preserve">Source trust</w:t>
            </w:r>
          </w:p>
        </w:tc>
        <w:tc>
          <w:tcPr>
            <w:tcW w:type="dxa" w:w="2400"/>
            <w:shd w:fill="FFFFFF" w:val="clear"/>
          </w:tcPr>
          <w:p>
            <w:r>
              <w:rPr>
                <w:b w:val="false"/>
                <w:bCs w:val="false"/>
                <w:color w:val="000000"/>
              </w:rPr>
              <w:t xml:space="preserve">Small footnote links</w:t>
            </w:r>
          </w:p>
        </w:tc>
        <w:tc>
          <w:tcPr>
            <w:tcW w:type="dxa" w:w="2400"/>
            <w:shd w:fill="FFFFFF" w:val="clear"/>
          </w:tcPr>
          <w:p>
            <w:r>
              <w:rPr>
                <w:b w:val="false"/>
                <w:bCs w:val="false"/>
                <w:color w:val="000000"/>
              </w:rPr>
              <w:t xml:space="preserve">Buried in citations pane</w:t>
            </w:r>
          </w:p>
        </w:tc>
        <w:tc>
          <w:tcPr>
            <w:tcW w:type="dxa" w:w="2400"/>
            <w:shd w:fill="F3ECDD" w:val="clear"/>
          </w:tcPr>
          <w:p>
            <w:r>
              <w:rPr>
                <w:b/>
                <w:bCs/>
                <w:color w:val="000000"/>
              </w:rPr>
              <w:t xml:space="preserve">Citations are first-class chips, inline, sage-tagged</w:t>
            </w:r>
          </w:p>
        </w:tc>
      </w:tr>
      <w:tr>
        <w:trPr>
          <w:tblHeader w:val="false"/>
        </w:trPr>
        <w:tc>
          <w:tcPr>
            <w:tcW w:type="dxa" w:w="1800"/>
            <w:shd w:fill="FFFFFF" w:val="clear"/>
          </w:tcPr>
          <w:p>
            <w:r>
              <w:rPr>
                <w:b w:val="false"/>
                <w:bCs w:val="false"/>
                <w:color w:val="000000"/>
              </w:rPr>
              <w:t xml:space="preserve">Personality</w:t>
            </w:r>
          </w:p>
        </w:tc>
        <w:tc>
          <w:tcPr>
            <w:tcW w:type="dxa" w:w="2400"/>
            <w:shd w:fill="FFFFFF" w:val="clear"/>
          </w:tcPr>
          <w:p>
            <w:r>
              <w:rPr>
                <w:b w:val="false"/>
                <w:bCs w:val="false"/>
                <w:color w:val="000000"/>
              </w:rPr>
              <w:t xml:space="preserve">Generic AI assistant</w:t>
            </w:r>
          </w:p>
        </w:tc>
        <w:tc>
          <w:tcPr>
            <w:tcW w:type="dxa" w:w="2400"/>
            <w:shd w:fill="FFFFFF" w:val="clear"/>
          </w:tcPr>
          <w:p>
            <w:r>
              <w:rPr>
                <w:b w:val="false"/>
                <w:bCs w:val="false"/>
                <w:color w:val="000000"/>
              </w:rPr>
              <w:t xml:space="preserve">Institutional, cold</w:t>
            </w:r>
          </w:p>
        </w:tc>
        <w:tc>
          <w:tcPr>
            <w:tcW w:type="dxa" w:w="2400"/>
            <w:shd w:fill="F3ECDD" w:val="clear"/>
          </w:tcPr>
          <w:p>
            <w:r>
              <w:rPr>
                <w:b/>
                <w:bCs/>
                <w:color w:val="000000"/>
              </w:rPr>
              <w:t xml:space="preserve">Chambers-at-midnight — precise, weighty, calm</w:t>
            </w:r>
          </w:p>
        </w:tc>
      </w:tr>
      <w:tr>
        <w:trPr>
          <w:tblHeader w:val="false"/>
        </w:trPr>
        <w:tc>
          <w:tcPr>
            <w:tcW w:type="dxa" w:w="1800"/>
            <w:shd w:fill="FFFFFF" w:val="clear"/>
          </w:tcPr>
          <w:p>
            <w:r>
              <w:rPr>
                <w:b w:val="false"/>
                <w:bCs w:val="false"/>
                <w:color w:val="000000"/>
              </w:rPr>
              <w:t xml:space="preserve">Texture</w:t>
            </w:r>
          </w:p>
        </w:tc>
        <w:tc>
          <w:tcPr>
            <w:tcW w:type="dxa" w:w="2400"/>
            <w:shd w:fill="FFFFFF" w:val="clear"/>
          </w:tcPr>
          <w:p>
            <w:r>
              <w:rPr>
                <w:b w:val="false"/>
                <w:bCs w:val="false"/>
                <w:color w:val="000000"/>
              </w:rPr>
              <w:t xml:space="preserve">None / flat</w:t>
            </w:r>
          </w:p>
        </w:tc>
        <w:tc>
          <w:tcPr>
            <w:tcW w:type="dxa" w:w="2400"/>
            <w:shd w:fill="FFFFFF" w:val="clear"/>
          </w:tcPr>
          <w:p>
            <w:r>
              <w:rPr>
                <w:b w:val="false"/>
                <w:bCs w:val="false"/>
                <w:color w:val="000000"/>
              </w:rPr>
              <w:t xml:space="preserve">None / flat</w:t>
            </w:r>
          </w:p>
        </w:tc>
        <w:tc>
          <w:tcPr>
            <w:tcW w:type="dxa" w:w="2400"/>
            <w:shd w:fill="F3ECDD" w:val="clear"/>
          </w:tcPr>
          <w:p>
            <w:r>
              <w:rPr>
                <w:b/>
                <w:bCs/>
                <w:color w:val="000000"/>
              </w:rPr>
              <w:t xml:space="preserve">Subtle parchment grain on source pane only</w:t>
            </w:r>
          </w:p>
        </w:tc>
      </w:tr>
    </w:tbl>
    <w:p>
      <w:r>
        <w:br w:type="page"/>
      </w:r>
    </w:p>
    <w:p>
      <w:pPr>
        <w:pStyle w:val="Heading1"/>
        <w:spacing w:after="200" w:before="400"/>
      </w:pPr>
      <w:r>
        <w:t xml:space="preserve">2. Color System</w:t>
      </w:r>
    </w:p>
    <w:p>
      <w:pPr>
        <w:spacing w:after="120"/>
      </w:pPr>
      <w:r>
        <w:t xml:space="preserve">Two-mode palette: Obsidian (default, for chat/navigation/reasoning) and Parchment (for the source-document viewer only). The shift between them is the product's signature interaction, not a theme toggle.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1800"/>
        <w:gridCol w:w="1800"/>
        <w:gridCol w:w="4050"/>
      </w:tblGrid>
      <w:tr>
        <w:trPr>
          <w:tblHeader/>
        </w:trPr>
        <w:tc>
          <w:tcPr>
            <w:tcW w:type="dxa" w:w="1350"/>
            <w:shd w:fill="2A2D33" w:val="clear"/>
          </w:tcPr>
          <w:p>
            <w:r>
              <w:t xml:space="preserve"/>
            </w:r>
          </w:p>
        </w:tc>
        <w:tc>
          <w:tcPr>
            <w:tcW w:type="dxa" w:w="1800"/>
            <w:shd w:fill="2A2D33" w:val="clear"/>
          </w:tcPr>
          <w:p>
            <w:r>
              <w:rPr>
                <w:b/>
                <w:bCs/>
                <w:color w:val="FFFFFF"/>
              </w:rPr>
              <w:t xml:space="preserve">Hex</w:t>
            </w:r>
          </w:p>
        </w:tc>
        <w:tc>
          <w:tcPr>
            <w:tcW w:type="dxa" w:w="1800"/>
            <w:shd w:fill="2A2D33" w:val="clear"/>
          </w:tcPr>
          <w:p>
            <w:r>
              <w:rPr>
                <w:b/>
                <w:bCs/>
                <w:color w:val="FFFFFF"/>
              </w:rPr>
              <w:t xml:space="preserve">Name</w:t>
            </w:r>
          </w:p>
        </w:tc>
        <w:tc>
          <w:tcPr>
            <w:tcW w:type="dxa" w:w="4050"/>
            <w:shd w:fill="2A2D33" w:val="clear"/>
          </w:tcPr>
          <w:p>
            <w:r>
              <w:rPr>
                <w:b/>
                <w:bCs/>
                <w:color w:val="FFFFFF"/>
              </w:rPr>
              <w:t xml:space="preserve">Usage</w:t>
            </w:r>
          </w:p>
        </w:tc>
      </w:tr>
      <w:tr>
        <w:tc>
          <w:tcPr>
            <w:tcW w:type="pct" w:w="15%"/>
            <w:shd w:fill="0E0F12" w:val="clear"/>
          </w:tcPr>
          <w:p>
            <w:r>
              <w:rPr>
                <w:sz w:val="2"/>
                <w:szCs w:val="2"/>
              </w:rPr>
              <w:t xml:space="preserve"> </w:t>
            </w:r>
          </w:p>
        </w:tc>
        <w:tc>
          <w:tcPr>
            <w:tcW w:type="pct" w:w="20%"/>
          </w:tcPr>
          <w:p>
            <w:r>
              <w:rPr>
                <w:rFonts w:ascii="Consolas" w:cs="Consolas" w:eastAsia="Consolas" w:hAnsi="Consolas"/>
              </w:rPr>
              <w:t xml:space="preserve">#0E0F12</w:t>
            </w:r>
          </w:p>
        </w:tc>
        <w:tc>
          <w:tcPr>
            <w:tcW w:type="pct" w:w="20%"/>
          </w:tcPr>
          <w:p>
            <w:r>
              <w:rPr>
                <w:b/>
                <w:bCs/>
              </w:rPr>
              <w:t xml:space="preserve">Obsidian</w:t>
            </w:r>
          </w:p>
        </w:tc>
        <w:tc>
          <w:tcPr>
            <w:tcW w:type="pct" w:w="45%"/>
          </w:tcPr>
          <w:p>
            <w:r>
              <w:t xml:space="preserve">Primary app background — deep charcoal-black, not pure black</w:t>
            </w:r>
          </w:p>
        </w:tc>
      </w:tr>
      <w:tr>
        <w:tc>
          <w:tcPr>
            <w:tcW w:type="pct" w:w="15%"/>
            <w:shd w:fill="16181D" w:val="clear"/>
          </w:tcPr>
          <w:p>
            <w:r>
              <w:rPr>
                <w:sz w:val="2"/>
                <w:szCs w:val="2"/>
              </w:rPr>
              <w:t xml:space="preserve"> </w:t>
            </w:r>
          </w:p>
        </w:tc>
        <w:tc>
          <w:tcPr>
            <w:tcW w:type="pct" w:w="20%"/>
          </w:tcPr>
          <w:p>
            <w:r>
              <w:rPr>
                <w:rFonts w:ascii="Consolas" w:cs="Consolas" w:eastAsia="Consolas" w:hAnsi="Consolas"/>
              </w:rPr>
              <w:t xml:space="preserve">#16181D</w:t>
            </w:r>
          </w:p>
        </w:tc>
        <w:tc>
          <w:tcPr>
            <w:tcW w:type="pct" w:w="20%"/>
          </w:tcPr>
          <w:p>
            <w:r>
              <w:rPr>
                <w:b/>
                <w:bCs/>
              </w:rPr>
              <w:t xml:space="preserve">Panel Slate</w:t>
            </w:r>
          </w:p>
        </w:tc>
        <w:tc>
          <w:tcPr>
            <w:tcW w:type="pct" w:w="45%"/>
          </w:tcPr>
          <w:p>
            <w:r>
              <w:t xml:space="preserve">Sidebar, cards, chat panel surfaces (glass layer sits above this)</w:t>
            </w:r>
          </w:p>
        </w:tc>
      </w:tr>
      <w:tr>
        <w:tc>
          <w:tcPr>
            <w:tcW w:type="pct" w:w="15%"/>
            <w:shd w:fill="B08D57" w:val="clear"/>
          </w:tcPr>
          <w:p>
            <w:r>
              <w:rPr>
                <w:sz w:val="2"/>
                <w:szCs w:val="2"/>
              </w:rPr>
              <w:t xml:space="preserve"> </w:t>
            </w:r>
          </w:p>
        </w:tc>
        <w:tc>
          <w:tcPr>
            <w:tcW w:type="pct" w:w="20%"/>
          </w:tcPr>
          <w:p>
            <w:r>
              <w:rPr>
                <w:rFonts w:ascii="Consolas" w:cs="Consolas" w:eastAsia="Consolas" w:hAnsi="Consolas"/>
              </w:rPr>
              <w:t xml:space="preserve">#B08D57</w:t>
            </w:r>
          </w:p>
        </w:tc>
        <w:tc>
          <w:tcPr>
            <w:tcW w:type="pct" w:w="20%"/>
          </w:tcPr>
          <w:p>
            <w:r>
              <w:rPr>
                <w:b/>
                <w:bCs/>
              </w:rPr>
              <w:t xml:space="preserve">Brass</w:t>
            </w:r>
          </w:p>
        </w:tc>
        <w:tc>
          <w:tcPr>
            <w:tcW w:type="pct" w:w="45%"/>
          </w:tcPr>
          <w:p>
            <w:r>
              <w:t xml:space="preserve">Primary accent — active states, citations markers, key CTAs, focus rings</w:t>
            </w:r>
          </w:p>
        </w:tc>
      </w:tr>
      <w:tr>
        <w:tc>
          <w:tcPr>
            <w:tcW w:type="pct" w:w="15%"/>
            <w:shd w:fill="D8C298" w:val="clear"/>
          </w:tcPr>
          <w:p>
            <w:r>
              <w:rPr>
                <w:sz w:val="2"/>
                <w:szCs w:val="2"/>
              </w:rPr>
              <w:t xml:space="preserve"> </w:t>
            </w:r>
          </w:p>
        </w:tc>
        <w:tc>
          <w:tcPr>
            <w:tcW w:type="pct" w:w="20%"/>
          </w:tcPr>
          <w:p>
            <w:r>
              <w:rPr>
                <w:rFonts w:ascii="Consolas" w:cs="Consolas" w:eastAsia="Consolas" w:hAnsi="Consolas"/>
              </w:rPr>
              <w:t xml:space="preserve">#D8C298</w:t>
            </w:r>
          </w:p>
        </w:tc>
        <w:tc>
          <w:tcPr>
            <w:tcW w:type="pct" w:w="20%"/>
          </w:tcPr>
          <w:p>
            <w:r>
              <w:rPr>
                <w:b/>
                <w:bCs/>
              </w:rPr>
              <w:t xml:space="preserve">Brass Light</w:t>
            </w:r>
          </w:p>
        </w:tc>
        <w:tc>
          <w:tcPr>
            <w:tcW w:type="pct" w:w="45%"/>
          </w:tcPr>
          <w:p>
            <w:r>
              <w:t xml:space="preserve">Hover states, highlighted text, subtle glows</w:t>
            </w:r>
          </w:p>
        </w:tc>
      </w:tr>
      <w:tr>
        <w:tc>
          <w:tcPr>
            <w:tcW w:type="pct" w:w="15%"/>
            <w:shd w:fill="EDE6D6" w:val="clear"/>
          </w:tcPr>
          <w:p>
            <w:r>
              <w:rPr>
                <w:sz w:val="2"/>
                <w:szCs w:val="2"/>
              </w:rPr>
              <w:t xml:space="preserve"> </w:t>
            </w:r>
          </w:p>
        </w:tc>
        <w:tc>
          <w:tcPr>
            <w:tcW w:type="pct" w:w="20%"/>
          </w:tcPr>
          <w:p>
            <w:r>
              <w:rPr>
                <w:rFonts w:ascii="Consolas" w:cs="Consolas" w:eastAsia="Consolas" w:hAnsi="Consolas"/>
              </w:rPr>
              <w:t xml:space="preserve">#EDE6D6</w:t>
            </w:r>
          </w:p>
        </w:tc>
        <w:tc>
          <w:tcPr>
            <w:tcW w:type="pct" w:w="20%"/>
          </w:tcPr>
          <w:p>
            <w:r>
              <w:rPr>
                <w:b/>
                <w:bCs/>
              </w:rPr>
              <w:t xml:space="preserve">Parchment</w:t>
            </w:r>
          </w:p>
        </w:tc>
        <w:tc>
          <w:tcPr>
            <w:tcW w:type="pct" w:w="45%"/>
          </w:tcPr>
          <w:p>
            <w:r>
              <w:t xml:space="preserve">Source-document viewer background — evokes paper, not a plain white pane</w:t>
            </w:r>
          </w:p>
        </w:tc>
      </w:tr>
      <w:tr>
        <w:tc>
          <w:tcPr>
            <w:tcW w:type="pct" w:w="15%"/>
            <w:shd w:fill="E9E6DD" w:val="clear"/>
          </w:tcPr>
          <w:p>
            <w:r>
              <w:rPr>
                <w:sz w:val="2"/>
                <w:szCs w:val="2"/>
              </w:rPr>
              <w:t xml:space="preserve"> </w:t>
            </w:r>
          </w:p>
        </w:tc>
        <w:tc>
          <w:tcPr>
            <w:tcW w:type="pct" w:w="20%"/>
          </w:tcPr>
          <w:p>
            <w:r>
              <w:rPr>
                <w:rFonts w:ascii="Consolas" w:cs="Consolas" w:eastAsia="Consolas" w:hAnsi="Consolas"/>
              </w:rPr>
              <w:t xml:space="preserve">#E9E6DD</w:t>
            </w:r>
          </w:p>
        </w:tc>
        <w:tc>
          <w:tcPr>
            <w:tcW w:type="pct" w:w="20%"/>
          </w:tcPr>
          <w:p>
            <w:r>
              <w:rPr>
                <w:b/>
                <w:bCs/>
              </w:rPr>
              <w:t xml:space="preserve">Text Warm</w:t>
            </w:r>
          </w:p>
        </w:tc>
        <w:tc>
          <w:tcPr>
            <w:tcW w:type="pct" w:w="45%"/>
          </w:tcPr>
          <w:p>
            <w:r>
              <w:t xml:space="preserve">Primary body text on dark surfaces (warm off-white, not stark #FFF)</w:t>
            </w:r>
          </w:p>
        </w:tc>
      </w:tr>
      <w:tr>
        <w:tc>
          <w:tcPr>
            <w:tcW w:type="pct" w:w="15%"/>
            <w:shd w:fill="8A8778" w:val="clear"/>
          </w:tcPr>
          <w:p>
            <w:r>
              <w:rPr>
                <w:sz w:val="2"/>
                <w:szCs w:val="2"/>
              </w:rPr>
              <w:t xml:space="preserve"> </w:t>
            </w:r>
          </w:p>
        </w:tc>
        <w:tc>
          <w:tcPr>
            <w:tcW w:type="pct" w:w="20%"/>
          </w:tcPr>
          <w:p>
            <w:r>
              <w:rPr>
                <w:rFonts w:ascii="Consolas" w:cs="Consolas" w:eastAsia="Consolas" w:hAnsi="Consolas"/>
              </w:rPr>
              <w:t xml:space="preserve">#8A8778</w:t>
            </w:r>
          </w:p>
        </w:tc>
        <w:tc>
          <w:tcPr>
            <w:tcW w:type="pct" w:w="20%"/>
          </w:tcPr>
          <w:p>
            <w:r>
              <w:rPr>
                <w:b/>
                <w:bCs/>
              </w:rPr>
              <w:t xml:space="preserve">Muted Stone</w:t>
            </w:r>
          </w:p>
        </w:tc>
        <w:tc>
          <w:tcPr>
            <w:tcW w:type="pct" w:w="45%"/>
          </w:tcPr>
          <w:p>
            <w:r>
              <w:t xml:space="preserve">Secondary text, timestamps, metadata, placeholder text</w:t>
            </w:r>
          </w:p>
        </w:tc>
      </w:tr>
      <w:tr>
        <w:tc>
          <w:tcPr>
            <w:tcW w:type="pct" w:w="15%"/>
            <w:shd w:fill="6F8F82" w:val="clear"/>
          </w:tcPr>
          <w:p>
            <w:r>
              <w:rPr>
                <w:sz w:val="2"/>
                <w:szCs w:val="2"/>
              </w:rPr>
              <w:t xml:space="preserve"> </w:t>
            </w:r>
          </w:p>
        </w:tc>
        <w:tc>
          <w:tcPr>
            <w:tcW w:type="pct" w:w="20%"/>
          </w:tcPr>
          <w:p>
            <w:r>
              <w:rPr>
                <w:rFonts w:ascii="Consolas" w:cs="Consolas" w:eastAsia="Consolas" w:hAnsi="Consolas"/>
              </w:rPr>
              <w:t xml:space="preserve">#6F8F82</w:t>
            </w:r>
          </w:p>
        </w:tc>
        <w:tc>
          <w:tcPr>
            <w:tcW w:type="pct" w:w="20%"/>
          </w:tcPr>
          <w:p>
            <w:r>
              <w:rPr>
                <w:b/>
                <w:bCs/>
              </w:rPr>
              <w:t xml:space="preserve">Sage Citation</w:t>
            </w:r>
          </w:p>
        </w:tc>
        <w:tc>
          <w:tcPr>
            <w:tcW w:type="pct" w:w="45%"/>
          </w:tcPr>
          <w:p>
            <w:r>
              <w:t xml:space="preserve">Citation chips and verified-source tags — distinct from brass so citations are instantly scannable</w:t>
            </w:r>
          </w:p>
        </w:tc>
      </w:tr>
    </w:tbl>
    <w:p>
      <w:pPr>
        <w:spacing w:after="60" w:before="200"/>
      </w:pPr>
      <w:r>
        <w:rPr>
          <w:b/>
          <w:bCs/>
          <w:color w:val="B08D57"/>
          <w:sz w:val="20"/>
          <w:szCs w:val="20"/>
        </w:rPr>
        <w:t xml:space="preserve">Semantic colors</w:t>
      </w:r>
    </w:p>
    <w:p>
      <w:pPr>
        <w:pStyle w:val="ListParagraph"/>
        <w:numPr>
          <w:ilvl w:val="0"/>
          <w:numId w:val="2"/>
        </w:numPr>
        <w:spacing w:after="60"/>
      </w:pPr>
      <w:r>
        <w:t xml:space="preserve">Success / verified source: sage green #6F8F82 — never generic green, keeps the palette cohesive</w:t>
      </w:r>
    </w:p>
    <w:p>
      <w:pPr>
        <w:pStyle w:val="ListParagraph"/>
        <w:numPr>
          <w:ilvl w:val="0"/>
          <w:numId w:val="2"/>
        </w:numPr>
        <w:spacing w:after="60"/>
      </w:pPr>
      <w:r>
        <w:t xml:space="preserve">Warning / low-confidence answer: muted amber #C98A3E — warns without alarming</w:t>
      </w:r>
    </w:p>
    <w:p>
      <w:pPr>
        <w:pStyle w:val="ListParagraph"/>
        <w:numPr>
          <w:ilvl w:val="0"/>
          <w:numId w:val="2"/>
        </w:numPr>
        <w:spacing w:after="60"/>
      </w:pPr>
      <w:r>
        <w:t xml:space="preserve">Error / retrieval failure: muted brick #A2503C — deliberately desaturated, no pure red anywhere in the system</w:t>
      </w:r>
    </w:p>
    <w:p>
      <w:r>
        <w:br w:type="page"/>
      </w:r>
    </w:p>
    <w:p>
      <w:pPr>
        <w:pStyle w:val="Heading1"/>
        <w:spacing w:after="200" w:before="400"/>
      </w:pPr>
      <w:r>
        <w:t xml:space="preserve">3. Typography System</w:t>
      </w:r>
    </w:p>
    <w:p>
      <w:pPr>
        <w:spacing w:after="120"/>
      </w:pPr>
      <w:r>
        <w:t xml:space="preserve">Three-typeface system, each with a distinct job — this is what separates “designed” from “default system font everywhere,” which is the single biggest tell of an unstyled AI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00"/>
      </w:tblGrid>
      <w:tr>
        <w:trPr>
          <w:tblHeader/>
        </w:trPr>
        <w:tc>
          <w:tcPr>
            <w:tcW w:type="dxa" w:w="2000"/>
            <w:shd w:fill="2A2D33" w:val="clear"/>
          </w:tcPr>
          <w:p>
            <w:r>
              <w:rPr>
                <w:b/>
                <w:bCs/>
                <w:color w:val="FFFFFF"/>
              </w:rPr>
              <w:t xml:space="preserve">Role</w:t>
            </w:r>
          </w:p>
        </w:tc>
        <w:tc>
          <w:tcPr>
            <w:tcW w:type="dxa" w:w="2200"/>
            <w:shd w:fill="2A2D33" w:val="clear"/>
          </w:tcPr>
          <w:p>
            <w:r>
              <w:rPr>
                <w:b/>
                <w:bCs/>
                <w:color w:val="FFFFFF"/>
              </w:rPr>
              <w:t xml:space="preserve">Typeface</w:t>
            </w:r>
          </w:p>
        </w:tc>
        <w:tc>
          <w:tcPr>
            <w:tcW w:type="dxa" w:w="2200"/>
            <w:shd w:fill="2A2D33" w:val="clear"/>
          </w:tcPr>
          <w:p>
            <w:r>
              <w:rPr>
                <w:b/>
                <w:bCs/>
                <w:color w:val="FFFFFF"/>
              </w:rPr>
              <w:t xml:space="preserve">Weight/Size</w:t>
            </w:r>
          </w:p>
        </w:tc>
        <w:tc>
          <w:tcPr>
            <w:tcW w:type="dxa" w:w="2600"/>
            <w:shd w:fill="2A2D33" w:val="clear"/>
          </w:tcPr>
          <w:p>
            <w:r>
              <w:rPr>
                <w:b/>
                <w:bCs/>
                <w:color w:val="FFFFFF"/>
              </w:rPr>
              <w:t xml:space="preserve">Where</w:t>
            </w:r>
          </w:p>
        </w:tc>
      </w:tr>
      <w:tr>
        <w:trPr>
          <w:tblHeader w:val="false"/>
        </w:trPr>
        <w:tc>
          <w:tcPr>
            <w:tcW w:type="dxa" w:w="2000"/>
            <w:shd w:fill="FFFFFF" w:val="clear"/>
          </w:tcPr>
          <w:p>
            <w:r>
              <w:rPr>
                <w:b w:val="false"/>
                <w:bCs w:val="false"/>
                <w:color w:val="000000"/>
              </w:rPr>
              <w:t xml:space="preserve">Display / Wordmark</w:t>
            </w:r>
          </w:p>
        </w:tc>
        <w:tc>
          <w:tcPr>
            <w:tcW w:type="dxa" w:w="2200"/>
            <w:shd w:fill="FFFFFF" w:val="clear"/>
          </w:tcPr>
          <w:p>
            <w:r>
              <w:rPr>
                <w:b w:val="false"/>
                <w:bCs w:val="false"/>
                <w:color w:val="000000"/>
              </w:rPr>
              <w:t xml:space="preserve">Fraunces (serif)</w:t>
            </w:r>
          </w:p>
        </w:tc>
        <w:tc>
          <w:tcPr>
            <w:tcW w:type="dxa" w:w="2200"/>
            <w:shd w:fill="FFFFFF" w:val="clear"/>
          </w:tcPr>
          <w:p>
            <w:r>
              <w:rPr>
                <w:b w:val="false"/>
                <w:bCs w:val="false"/>
                <w:color w:val="000000"/>
              </w:rPr>
              <w:t xml:space="preserve">600, 28–40px</w:t>
            </w:r>
          </w:p>
        </w:tc>
        <w:tc>
          <w:tcPr>
            <w:tcW w:type="dxa" w:w="2600"/>
            <w:shd w:fill="FFFFFF" w:val="clear"/>
          </w:tcPr>
          <w:p>
            <w:r>
              <w:rPr>
                <w:b w:val="false"/>
                <w:bCs w:val="false"/>
                <w:color w:val="000000"/>
              </w:rPr>
              <w:t xml:space="preserve">Logo lockup, landing hero headline</w:t>
            </w:r>
          </w:p>
        </w:tc>
      </w:tr>
      <w:tr>
        <w:trPr>
          <w:tblHeader w:val="false"/>
        </w:trPr>
        <w:tc>
          <w:tcPr>
            <w:tcW w:type="dxa" w:w="2000"/>
            <w:shd w:fill="FFFFFF" w:val="clear"/>
          </w:tcPr>
          <w:p>
            <w:r>
              <w:rPr>
                <w:b w:val="false"/>
                <w:bCs w:val="false"/>
                <w:color w:val="000000"/>
              </w:rPr>
              <w:t xml:space="preserve">Section Headings</w:t>
            </w:r>
          </w:p>
        </w:tc>
        <w:tc>
          <w:tcPr>
            <w:tcW w:type="dxa" w:w="2200"/>
            <w:shd w:fill="FFFFFF" w:val="clear"/>
          </w:tcPr>
          <w:p>
            <w:r>
              <w:rPr>
                <w:b w:val="false"/>
                <w:bCs w:val="false"/>
                <w:color w:val="000000"/>
              </w:rPr>
              <w:t xml:space="preserve">Fraunces (serif)</w:t>
            </w:r>
          </w:p>
        </w:tc>
        <w:tc>
          <w:tcPr>
            <w:tcW w:type="dxa" w:w="2200"/>
            <w:shd w:fill="FFFFFF" w:val="clear"/>
          </w:tcPr>
          <w:p>
            <w:r>
              <w:rPr>
                <w:b w:val="false"/>
                <w:bCs w:val="false"/>
                <w:color w:val="000000"/>
              </w:rPr>
              <w:t xml:space="preserve">500, 18–22px</w:t>
            </w:r>
          </w:p>
        </w:tc>
        <w:tc>
          <w:tcPr>
            <w:tcW w:type="dxa" w:w="2600"/>
            <w:shd w:fill="FFFFFF" w:val="clear"/>
          </w:tcPr>
          <w:p>
            <w:r>
              <w:rPr>
                <w:b w:val="false"/>
                <w:bCs w:val="false"/>
                <w:color w:val="000000"/>
              </w:rPr>
              <w:t xml:space="preserve">Sidebar section labels, panel titles</w:t>
            </w:r>
          </w:p>
        </w:tc>
      </w:tr>
      <w:tr>
        <w:trPr>
          <w:tblHeader w:val="false"/>
        </w:trPr>
        <w:tc>
          <w:tcPr>
            <w:tcW w:type="dxa" w:w="2000"/>
            <w:shd w:fill="FFFFFF" w:val="clear"/>
          </w:tcPr>
          <w:p>
            <w:r>
              <w:rPr>
                <w:b w:val="false"/>
                <w:bCs w:val="false"/>
                <w:color w:val="000000"/>
              </w:rPr>
              <w:t xml:space="preserve">UI / Body</w:t>
            </w:r>
          </w:p>
        </w:tc>
        <w:tc>
          <w:tcPr>
            <w:tcW w:type="dxa" w:w="2200"/>
            <w:shd w:fill="FFFFFF" w:val="clear"/>
          </w:tcPr>
          <w:p>
            <w:r>
              <w:rPr>
                <w:b w:val="false"/>
                <w:bCs w:val="false"/>
                <w:color w:val="000000"/>
              </w:rPr>
              <w:t xml:space="preserve">Inter</w:t>
            </w:r>
          </w:p>
        </w:tc>
        <w:tc>
          <w:tcPr>
            <w:tcW w:type="dxa" w:w="2200"/>
            <w:shd w:fill="FFFFFF" w:val="clear"/>
          </w:tcPr>
          <w:p>
            <w:r>
              <w:rPr>
                <w:b w:val="false"/>
                <w:bCs w:val="false"/>
                <w:color w:val="000000"/>
              </w:rPr>
              <w:t xml:space="preserve">400–500, 14–16px</w:t>
            </w:r>
          </w:p>
        </w:tc>
        <w:tc>
          <w:tcPr>
            <w:tcW w:type="dxa" w:w="2600"/>
            <w:shd w:fill="FFFFFF" w:val="clear"/>
          </w:tcPr>
          <w:p>
            <w:r>
              <w:rPr>
                <w:b w:val="false"/>
                <w:bCs w:val="false"/>
                <w:color w:val="000000"/>
              </w:rPr>
              <w:t xml:space="preserve">Chat text, buttons, forms, nav</w:t>
            </w:r>
          </w:p>
        </w:tc>
      </w:tr>
      <w:tr>
        <w:trPr>
          <w:tblHeader w:val="false"/>
        </w:trPr>
        <w:tc>
          <w:tcPr>
            <w:tcW w:type="dxa" w:w="2000"/>
            <w:shd w:fill="FFFFFF" w:val="clear"/>
          </w:tcPr>
          <w:p>
            <w:r>
              <w:rPr>
                <w:b w:val="false"/>
                <w:bCs w:val="false"/>
                <w:color w:val="000000"/>
              </w:rPr>
              <w:t xml:space="preserve">Legal Source Text</w:t>
            </w:r>
          </w:p>
        </w:tc>
        <w:tc>
          <w:tcPr>
            <w:tcW w:type="dxa" w:w="2200"/>
            <w:shd w:fill="FFFFFF" w:val="clear"/>
          </w:tcPr>
          <w:p>
            <w:r>
              <w:rPr>
                <w:b w:val="false"/>
                <w:bCs w:val="false"/>
                <w:color w:val="000000"/>
              </w:rPr>
              <w:t xml:space="preserve">Source Serif 4</w:t>
            </w:r>
          </w:p>
        </w:tc>
        <w:tc>
          <w:tcPr>
            <w:tcW w:type="dxa" w:w="2200"/>
            <w:shd w:fill="FFFFFF" w:val="clear"/>
          </w:tcPr>
          <w:p>
            <w:r>
              <w:rPr>
                <w:b w:val="false"/>
                <w:bCs w:val="false"/>
                <w:color w:val="000000"/>
              </w:rPr>
              <w:t xml:space="preserve">400, 15–16px, 1.6 line-height</w:t>
            </w:r>
          </w:p>
        </w:tc>
        <w:tc>
          <w:tcPr>
            <w:tcW w:type="dxa" w:w="2600"/>
            <w:shd w:fill="FFFFFF" w:val="clear"/>
          </w:tcPr>
          <w:p>
            <w:r>
              <w:rPr>
                <w:b w:val="false"/>
                <w:bCs w:val="false"/>
                <w:color w:val="000000"/>
              </w:rPr>
              <w:t xml:space="preserve">Source viewer pane — reads like a judgment, not a UI</w:t>
            </w:r>
          </w:p>
        </w:tc>
      </w:tr>
      <w:tr>
        <w:trPr>
          <w:tblHeader w:val="false"/>
        </w:trPr>
        <w:tc>
          <w:tcPr>
            <w:tcW w:type="dxa" w:w="2000"/>
            <w:shd w:fill="FFFFFF" w:val="clear"/>
          </w:tcPr>
          <w:p>
            <w:r>
              <w:rPr>
                <w:b w:val="false"/>
                <w:bCs w:val="false"/>
                <w:color w:val="000000"/>
              </w:rPr>
              <w:t xml:space="preserve">Citations / Metadata</w:t>
            </w:r>
          </w:p>
        </w:tc>
        <w:tc>
          <w:tcPr>
            <w:tcW w:type="dxa" w:w="2200"/>
            <w:shd w:fill="FFFFFF" w:val="clear"/>
          </w:tcPr>
          <w:p>
            <w:r>
              <w:rPr>
                <w:b w:val="false"/>
                <w:bCs w:val="false"/>
                <w:color w:val="000000"/>
              </w:rPr>
              <w:t xml:space="preserve">JetBrains Mono</w:t>
            </w:r>
          </w:p>
        </w:tc>
        <w:tc>
          <w:tcPr>
            <w:tcW w:type="dxa" w:w="2200"/>
            <w:shd w:fill="FFFFFF" w:val="clear"/>
          </w:tcPr>
          <w:p>
            <w:r>
              <w:rPr>
                <w:b w:val="false"/>
                <w:bCs w:val="false"/>
                <w:color w:val="000000"/>
              </w:rPr>
              <w:t xml:space="preserve">400, 12–13px</w:t>
            </w:r>
          </w:p>
        </w:tc>
        <w:tc>
          <w:tcPr>
            <w:tcW w:type="dxa" w:w="2600"/>
            <w:shd w:fill="FFFFFF" w:val="clear"/>
          </w:tcPr>
          <w:p>
            <w:r>
              <w:rPr>
                <w:b w:val="false"/>
                <w:bCs w:val="false"/>
                <w:color w:val="000000"/>
              </w:rPr>
              <w:t xml:space="preserve">Citation chips, case numbers, timestamps, hashes</w:t>
            </w:r>
          </w:p>
        </w:tc>
      </w:tr>
    </w:tbl>
    <w:p>
      <w:pPr>
        <w:spacing w:after="60" w:before="200"/>
      </w:pPr>
      <w:r>
        <w:rPr>
          <w:b/>
          <w:bCs/>
          <w:color w:val="B08D57"/>
          <w:sz w:val="20"/>
          <w:szCs w:val="20"/>
        </w:rPr>
        <w:t xml:space="preserve">Rules</w:t>
      </w:r>
    </w:p>
    <w:p>
      <w:pPr>
        <w:pStyle w:val="ListParagraph"/>
        <w:numPr>
          <w:ilvl w:val="0"/>
          <w:numId w:val="2"/>
        </w:numPr>
        <w:spacing w:after="60"/>
      </w:pPr>
      <w:r>
        <w:t xml:space="preserve">Never mix serif and mono on the same line.</w:t>
      </w:r>
    </w:p>
    <w:p>
      <w:pPr>
        <w:pStyle w:val="ListParagraph"/>
        <w:numPr>
          <w:ilvl w:val="0"/>
          <w:numId w:val="2"/>
        </w:numPr>
        <w:spacing w:after="60"/>
      </w:pPr>
      <w:r>
        <w:t xml:space="preserve">Legal citations (e.g., “AIR 1973 SC 1461”) are always set in JetBrains Mono at a slightly reduced size and letter-spacing — they should read as data, not prose.</w:t>
      </w:r>
    </w:p>
    <w:p>
      <w:pPr>
        <w:pStyle w:val="ListParagraph"/>
        <w:numPr>
          <w:ilvl w:val="0"/>
          <w:numId w:val="2"/>
        </w:numPr>
        <w:spacing w:after="60"/>
      </w:pPr>
      <w:r>
        <w:t xml:space="preserve">Body line-height is 1.55 in chat, 1.6 in the source viewer — legal reading needs more vertical breathing room than typical UI copy.</w:t>
      </w:r>
    </w:p>
    <w:p>
      <w:r>
        <w:br w:type="page"/>
      </w:r>
    </w:p>
    <w:p>
      <w:pPr>
        <w:pStyle w:val="Heading1"/>
        <w:spacing w:after="200" w:before="400"/>
      </w:pPr>
      <w:r>
        <w:t xml:space="preserve">4. Layout</w:t>
      </w:r>
    </w:p>
    <w:p>
      <w:pPr>
        <w:spacing w:after="120"/>
      </w:pPr>
      <w:r>
        <w:t xml:space="preserve">Recommendation: keep the three-pane structure — it's the correct information architecture for this task (navigate history, converse, verify source) — but redesign the panes themselves rather than replacing the layout. A full-width chat would remove the source-verification affordance that is this product's actual differentiator.</w:t>
      </w:r>
    </w:p>
    <w:p>
      <w:pPr>
        <w:pStyle w:val="Heading2"/>
        <w:spacing w:after="150" w:before="300"/>
      </w:pPr>
      <w:r>
        <w:t xml:space="preserve">4.1 — Left Rail (72px collapsed / 280px expanded)</w:t>
      </w:r>
    </w:p>
    <w:p>
      <w:pPr>
        <w:pStyle w:val="ListParagraph"/>
        <w:numPr>
          <w:ilvl w:val="0"/>
          <w:numId w:val="2"/>
        </w:numPr>
        <w:spacing w:after="60"/>
      </w:pPr>
      <w:r>
        <w:t xml:space="preserve">Collapses to icon-only brass-outline glyphs by default — an unusual choice (most sidebars default open) that reinforces the “precise, uncluttered chambers” feeling.</w:t>
      </w:r>
    </w:p>
    <w:p>
      <w:pPr>
        <w:pStyle w:val="ListParagraph"/>
        <w:numPr>
          <w:ilvl w:val="0"/>
          <w:numId w:val="2"/>
        </w:numPr>
        <w:spacing w:after="60"/>
      </w:pPr>
      <w:r>
        <w:t xml:space="preserve">Conversation history grouped by matter/topic, not just reverse-chronological — small detail that signals “legal tool built by someone who understands legal workflows,” not a ChatGPT reskin.</w:t>
      </w:r>
    </w:p>
    <w:p>
      <w:pPr>
        <w:pStyle w:val="ListParagraph"/>
        <w:numPr>
          <w:ilvl w:val="0"/>
          <w:numId w:val="2"/>
        </w:numPr>
        <w:spacing w:after="60"/>
      </w:pPr>
      <w:r>
        <w:t xml:space="preserve">A single brass-glow “New Matter” button, not “New Chat” — domain-specific language throughout is a cheap, high-impact differentiator.</w:t>
      </w:r>
    </w:p>
    <w:p>
      <w:pPr>
        <w:pStyle w:val="Heading2"/>
        <w:spacing w:after="150" w:before="300"/>
      </w:pPr>
      <w:r>
        <w:t xml:space="preserve">4.2 — Center: Conversation Pane</w:t>
      </w:r>
    </w:p>
    <w:p>
      <w:pPr>
        <w:pStyle w:val="ListParagraph"/>
        <w:numPr>
          <w:ilvl w:val="0"/>
          <w:numId w:val="2"/>
        </w:numPr>
        <w:spacing w:after="60"/>
      </w:pPr>
      <w:r>
        <w:t xml:space="preserve">User messages: right-aligned, plain obsidian bubble, no border — quiet and out of the way.</w:t>
      </w:r>
    </w:p>
    <w:p>
      <w:pPr>
        <w:pStyle w:val="ListParagraph"/>
        <w:numPr>
          <w:ilvl w:val="0"/>
          <w:numId w:val="2"/>
        </w:numPr>
        <w:spacing w:after="60"/>
      </w:pPr>
      <w:r>
        <w:t xml:space="preserve">Assistant messages: left-aligned, glass panel (subtle blur + 6% brass border), generous padding — this is where the product's personality lives.</w:t>
      </w:r>
    </w:p>
    <w:p>
      <w:pPr>
        <w:pStyle w:val="ListParagraph"/>
        <w:numPr>
          <w:ilvl w:val="0"/>
          <w:numId w:val="2"/>
        </w:numPr>
        <w:spacing w:after="60"/>
      </w:pPr>
      <w:r>
        <w:t xml:space="preserve">Inline citation chips (sage, monospace, e.g. “[IPC §302]”) are clickable and open the source pane at the exact paragraph — no scrolling or searching required.</w:t>
      </w:r>
    </w:p>
    <w:p>
      <w:pPr>
        <w:pStyle w:val="ListParagraph"/>
        <w:numPr>
          <w:ilvl w:val="0"/>
          <w:numId w:val="2"/>
        </w:numPr>
        <w:spacing w:after="60"/>
      </w:pPr>
      <w:r>
        <w:t xml:space="preserve">A persistent, subtle “retrieval trace” affordance — a thin brass progress thread showing hybrid retrieval → re-ranking → generation as it happens, rather than a generic spinner. This single element does more to communicate “this is a serious RAG system” than any amount of copy.</w:t>
      </w:r>
    </w:p>
    <w:p>
      <w:pPr>
        <w:pStyle w:val="Heading2"/>
        <w:spacing w:after="150" w:before="300"/>
      </w:pPr>
      <w:r>
        <w:t xml:space="preserve">4.3 — Right: Source Viewer</w:t>
      </w:r>
    </w:p>
    <w:p>
      <w:pPr>
        <w:pStyle w:val="ListParagraph"/>
        <w:numPr>
          <w:ilvl w:val="0"/>
          <w:numId w:val="2"/>
        </w:numPr>
        <w:spacing w:after="60"/>
      </w:pPr>
      <w:r>
        <w:t xml:space="preserve">Opens as a parchment-toned panel that slides in — background shifts from Obsidian to Parchment, signaling “you have left the AI's reasoning and entered a primary source.”</w:t>
      </w:r>
    </w:p>
    <w:p>
      <w:pPr>
        <w:pStyle w:val="ListParagraph"/>
        <w:numPr>
          <w:ilvl w:val="0"/>
          <w:numId w:val="2"/>
        </w:numPr>
        <w:spacing w:after="60"/>
      </w:pPr>
      <w:r>
        <w:t xml:space="preserve">Subtle paper-grain texture (very low opacity, ≤ 4%) — the one place texture is used in the whole system, so it stays meaningful instead of decorative.</w:t>
      </w:r>
    </w:p>
    <w:p>
      <w:pPr>
        <w:pStyle w:val="ListParagraph"/>
        <w:numPr>
          <w:ilvl w:val="0"/>
          <w:numId w:val="2"/>
        </w:numPr>
        <w:spacing w:after="60"/>
      </w:pPr>
      <w:r>
        <w:t xml:space="preserve">The exact retrieved passage is highlighted in soft brass; surrounding context is legible but visually secondary.</w:t>
      </w:r>
    </w:p>
    <w:p>
      <w:pPr>
        <w:pStyle w:val="ListParagraph"/>
        <w:numPr>
          <w:ilvl w:val="0"/>
          <w:numId w:val="2"/>
        </w:numPr>
        <w:spacing w:after="60"/>
      </w:pPr>
      <w:r>
        <w:t xml:space="preserve">A persistent “Open full judgment” link at the top, and a small confidence/re-rank score shown as a discreet dot-scale, not a percentage — precise without being clinical.</w:t>
      </w:r>
    </w:p>
    <w:p>
      <w:r>
        <w:br w:type="page"/>
      </w:r>
    </w:p>
    <w:p>
      <w:pPr>
        <w:pStyle w:val="Heading1"/>
        <w:spacing w:after="200" w:before="400"/>
      </w:pPr>
      <w:r>
        <w:t xml:space="preserve">5. Components</w:t>
      </w:r>
    </w:p>
    <w:p>
      <w:pPr>
        <w:pStyle w:val="Heading2"/>
        <w:spacing w:after="150" w:before="300"/>
      </w:pPr>
      <w:r>
        <w:t xml:space="preserve">5.1 Buttons</w:t>
      </w:r>
    </w:p>
    <w:p>
      <w:pPr>
        <w:pStyle w:val="ListParagraph"/>
        <w:numPr>
          <w:ilvl w:val="0"/>
          <w:numId w:val="2"/>
        </w:numPr>
        <w:spacing w:after="60"/>
      </w:pPr>
      <w:r>
        <w:t xml:space="preserve">Primary: brass gradient fill, obsidian text, 8px radius, soft outer glow on hover (not a hard drop shadow).</w:t>
      </w:r>
    </w:p>
    <w:p>
      <w:pPr>
        <w:pStyle w:val="ListParagraph"/>
        <w:numPr>
          <w:ilvl w:val="0"/>
          <w:numId w:val="2"/>
        </w:numPr>
        <w:spacing w:after="60"/>
      </w:pPr>
      <w:r>
        <w:t xml:space="preserve">Secondary: 1px brass-at-20%-opacity outline, transparent fill, brass text.</w:t>
      </w:r>
    </w:p>
    <w:p>
      <w:pPr>
        <w:pStyle w:val="ListParagraph"/>
        <w:numPr>
          <w:ilvl w:val="0"/>
          <w:numId w:val="2"/>
        </w:numPr>
        <w:spacing w:after="60"/>
      </w:pPr>
      <w:r>
        <w:t xml:space="preserve">Destructive actions: muted brick outline only — never a filled red button anywhere in the system.</w:t>
      </w:r>
    </w:p>
    <w:p>
      <w:pPr>
        <w:pStyle w:val="Heading2"/>
        <w:spacing w:after="150" w:before="300"/>
      </w:pPr>
      <w:r>
        <w:t xml:space="preserve">5.2 Inputs</w:t>
      </w:r>
    </w:p>
    <w:p>
      <w:pPr>
        <w:pStyle w:val="ListParagraph"/>
        <w:numPr>
          <w:ilvl w:val="0"/>
          <w:numId w:val="2"/>
        </w:numPr>
        <w:spacing w:after="60"/>
      </w:pPr>
      <w:r>
        <w:t xml:space="preserve">Message composer: glass pill, 1px brass-at-15% border, brightens to brass-at-60% on focus — no harsh blue focus ring anywhere, ever.</w:t>
      </w:r>
    </w:p>
    <w:p>
      <w:pPr>
        <w:pStyle w:val="ListParagraph"/>
        <w:numPr>
          <w:ilvl w:val="0"/>
          <w:numId w:val="2"/>
        </w:numPr>
        <w:spacing w:after="60"/>
      </w:pPr>
      <w:r>
        <w:t xml:space="preserve">Placeholder copy is domain-specific per context (e.g. “Ask about a section, case, or draft a clause…”), not generic “Type a message.”</w:t>
      </w:r>
    </w:p>
    <w:p>
      <w:pPr>
        <w:pStyle w:val="Heading2"/>
        <w:spacing w:after="150" w:before="300"/>
      </w:pPr>
      <w:r>
        <w:t xml:space="preserve">5.3 Citation Chips</w:t>
      </w:r>
    </w:p>
    <w:p>
      <w:pPr>
        <w:pStyle w:val="ListParagraph"/>
        <w:numPr>
          <w:ilvl w:val="0"/>
          <w:numId w:val="2"/>
        </w:numPr>
        <w:spacing w:after="60"/>
      </w:pPr>
      <w:r>
        <w:t xml:space="preserve">Sage background at 12% opacity, sage text, monospace, small brass “verified” dot when the source has been directly matched (not inferred).</w:t>
      </w:r>
    </w:p>
    <w:p>
      <w:pPr>
        <w:pStyle w:val="Heading2"/>
        <w:spacing w:after="150" w:before="300"/>
      </w:pPr>
      <w:r>
        <w:t xml:space="preserve">5.4 Loading / Retrieval State</w:t>
      </w:r>
    </w:p>
    <w:p>
      <w:pPr>
        <w:pStyle w:val="ListParagraph"/>
        <w:numPr>
          <w:ilvl w:val="0"/>
          <w:numId w:val="2"/>
        </w:numPr>
        <w:spacing w:after="60"/>
      </w:pPr>
      <w:r>
        <w:t xml:space="preserve">Replace the generic three-dot typing indicator with the brass “retrieval trace” thread described in 4.2 — labeled steps (Searching → Re-ranking → Drafting) fading in and out, in the mono typeface, at low visual volume.</w:t>
      </w:r>
    </w:p>
    <w:p>
      <w:r>
        <w:br w:type="page"/>
      </w:r>
    </w:p>
    <w:p>
      <w:pPr>
        <w:pStyle w:val="Heading1"/>
        <w:spacing w:after="200" w:before="400"/>
      </w:pPr>
      <w:r>
        <w:t xml:space="preserve">6. Motion</w:t>
      </w:r>
    </w:p>
    <w:p>
      <w:pPr>
        <w:pStyle w:val="ListParagraph"/>
        <w:numPr>
          <w:ilvl w:val="0"/>
          <w:numId w:val="2"/>
        </w:numPr>
        <w:spacing w:after="60"/>
      </w:pPr>
      <w:r>
        <w:t xml:space="preserve">Panel transitions (sidebar collapse, source viewer open): 220ms ease-out slide, never a hard cut.</w:t>
      </w:r>
    </w:p>
    <w:p>
      <w:pPr>
        <w:pStyle w:val="ListParagraph"/>
        <w:numPr>
          <w:ilvl w:val="0"/>
          <w:numId w:val="2"/>
        </w:numPr>
        <w:spacing w:after="60"/>
      </w:pPr>
      <w:r>
        <w:t xml:space="preserve">Obsidian → Parchment background shift: crossfade over 300ms, distinct from the panel slide so the color change reads as intentional.</w:t>
      </w:r>
    </w:p>
    <w:p>
      <w:pPr>
        <w:pStyle w:val="ListParagraph"/>
        <w:numPr>
          <w:ilvl w:val="0"/>
          <w:numId w:val="2"/>
        </w:numPr>
        <w:spacing w:after="60"/>
      </w:pPr>
      <w:r>
        <w:t xml:space="preserve">Hover states: opacity/glow only, no scale-transforms on text-bearing elements (keeps legal text from feeling gimmicky).</w:t>
      </w:r>
    </w:p>
    <w:p>
      <w:pPr>
        <w:pStyle w:val="ListParagraph"/>
        <w:numPr>
          <w:ilvl w:val="0"/>
          <w:numId w:val="2"/>
        </w:numPr>
        <w:spacing w:after="60"/>
      </w:pPr>
      <w:r>
        <w:t xml:space="preserve">No bouncy/elastic easing anywhere — every motion curve is a calm ease-out, matching the “chambers” tone.</w:t>
      </w:r>
    </w:p>
    <w:p>
      <w:pPr>
        <w:pStyle w:val="Heading1"/>
        <w:spacing w:after="200" w:before="400"/>
      </w:pPr>
      <w:r>
        <w:t xml:space="preserve">7. What Makes This Non-Generic — Summary</w:t>
      </w:r>
    </w:p>
    <w:p>
      <w:pPr>
        <w:pStyle w:val="ListParagraph"/>
        <w:numPr>
          <w:ilvl w:val="0"/>
          <w:numId w:val="2"/>
        </w:numPr>
        <w:spacing w:after="60"/>
      </w:pPr>
      <w:r>
        <w:t xml:space="preserve">Two-mode color system (Obsidian for reasoning, Parchment for sourced fact) with an intentional crossfade, instead of one flat dark theme.</w:t>
      </w:r>
    </w:p>
    <w:p>
      <w:pPr>
        <w:pStyle w:val="ListParagraph"/>
        <w:numPr>
          <w:ilvl w:val="0"/>
          <w:numId w:val="2"/>
        </w:numPr>
        <w:spacing w:after="60"/>
      </w:pPr>
      <w:r>
        <w:t xml:space="preserve">Brass + sage accent pair instead of the blue every competitor defaults to.</w:t>
      </w:r>
    </w:p>
    <w:p>
      <w:pPr>
        <w:pStyle w:val="ListParagraph"/>
        <w:numPr>
          <w:ilvl w:val="0"/>
          <w:numId w:val="2"/>
        </w:numPr>
        <w:spacing w:after="60"/>
      </w:pPr>
      <w:r>
        <w:t xml:space="preserve">A visible retrieval-trace animation instead of a generic spinner — makes the RAG mechanics part of the product's personality.</w:t>
      </w:r>
    </w:p>
    <w:p>
      <w:pPr>
        <w:pStyle w:val="ListParagraph"/>
        <w:numPr>
          <w:ilvl w:val="0"/>
          <w:numId w:val="2"/>
        </w:numPr>
        <w:spacing w:after="60"/>
      </w:pPr>
      <w:r>
        <w:t xml:space="preserve">Domain-specific microcopy (“Matter,” not “Chat”) throughout.</w:t>
      </w:r>
    </w:p>
    <w:p>
      <w:pPr>
        <w:pStyle w:val="ListParagraph"/>
        <w:numPr>
          <w:ilvl w:val="0"/>
          <w:numId w:val="2"/>
        </w:numPr>
        <w:spacing w:after="60"/>
      </w:pPr>
      <w:r>
        <w:t xml:space="preserve">Citations as first-class, color-coded, clickable chips rather than footnotes.</w:t>
      </w:r>
    </w:p>
    <w:p>
      <w:pPr>
        <w:pStyle w:val="ListParagraph"/>
        <w:numPr>
          <w:ilvl w:val="0"/>
          <w:numId w:val="2"/>
        </w:numPr>
        <w:spacing w:after="60"/>
      </w:pPr>
      <w:r>
        <w:t xml:space="preserve">A single, deliberate texture (parchment grain) used in exactly one place so it stays meaningful.</w:t>
      </w:r>
    </w:p>
    <w:p>
      <w:r>
        <w:br w:type="page"/>
      </w:r>
    </w:p>
    <w:p>
      <w:pPr>
        <w:pStyle w:val="Heading1"/>
        <w:spacing w:after="200" w:before="400"/>
      </w:pPr>
      <w:r>
        <w:t xml:space="preserve">8. Feature List — Full Product Scope</w:t>
      </w:r>
    </w:p>
    <w:p>
      <w:pPr>
        <w:spacing w:after="120"/>
      </w:pPr>
      <w:r>
        <w:t xml:space="preserve">Every feature needed to take LegalMindRag from a working RAG demo to a real product people rely on, grouped by function.</w:t>
      </w:r>
    </w:p>
    <w:p>
      <w:pPr>
        <w:pStyle w:val="Heading2"/>
        <w:spacing w:after="150" w:before="300"/>
      </w:pPr>
      <w:r>
        <w:t xml:space="preserve">8.1 Core RAG / Trust Features (highest priority — these ARE the product)</w:t>
      </w:r>
    </w:p>
    <w:p>
      <w:pPr>
        <w:pStyle w:val="ListParagraph"/>
        <w:numPr>
          <w:ilvl w:val="0"/>
          <w:numId w:val="2"/>
        </w:numPr>
        <w:spacing w:after="60"/>
      </w:pPr>
      <w:r>
        <w:t xml:space="preserve">Multi-source citation verification — confidence score per citation, flags inference vs. direct quote</w:t>
      </w:r>
    </w:p>
    <w:p>
      <w:pPr>
        <w:pStyle w:val="ListParagraph"/>
        <w:numPr>
          <w:ilvl w:val="0"/>
          <w:numId w:val="2"/>
        </w:numPr>
        <w:spacing w:after="60"/>
      </w:pPr>
      <w:r>
        <w:t xml:space="preserve">Case law timeline view — shows how a legal position evolved across judgments chronologically</w:t>
      </w:r>
    </w:p>
    <w:p>
      <w:pPr>
        <w:pStyle w:val="ListParagraph"/>
        <w:numPr>
          <w:ilvl w:val="0"/>
          <w:numId w:val="2"/>
        </w:numPr>
        <w:spacing w:after="60"/>
      </w:pPr>
      <w:r>
        <w:t xml:space="preserve">Contradicting precedent detection — surfaces conflicts between cited judgments instead of silently picking one</w:t>
      </w:r>
    </w:p>
    <w:p>
      <w:pPr>
        <w:pStyle w:val="ListParagraph"/>
        <w:numPr>
          <w:ilvl w:val="0"/>
          <w:numId w:val="2"/>
        </w:numPr>
        <w:spacing w:after="60"/>
      </w:pPr>
      <w:r>
        <w:t xml:space="preserve">Section/Act cross-referencing — auto-links every mentioned IPC/CrPC/Act section to its full text</w:t>
      </w:r>
    </w:p>
    <w:p>
      <w:pPr>
        <w:pStyle w:val="ListParagraph"/>
        <w:numPr>
          <w:ilvl w:val="0"/>
          <w:numId w:val="2"/>
        </w:numPr>
        <w:spacing w:after="60"/>
      </w:pPr>
      <w:r>
        <w:t xml:space="preserve">Query decomposition for complex questions — breaks multi-part legal questions into sub-questions, each answered with its own sources</w:t>
      </w:r>
    </w:p>
    <w:p>
      <w:pPr>
        <w:pStyle w:val="Heading2"/>
        <w:spacing w:after="150" w:before="300"/>
      </w:pPr>
      <w:r>
        <w:t xml:space="preserve">8.2 User-Facing Features</w:t>
      </w:r>
    </w:p>
    <w:p>
      <w:pPr>
        <w:pStyle w:val="ListParagraph"/>
        <w:numPr>
          <w:ilvl w:val="0"/>
          <w:numId w:val="2"/>
        </w:numPr>
        <w:spacing w:after="60"/>
      </w:pPr>
      <w:r>
        <w:t xml:space="preserve">Matter/case folders — group conversations by legal matter</w:t>
      </w:r>
    </w:p>
    <w:p>
      <w:pPr>
        <w:pStyle w:val="ListParagraph"/>
        <w:numPr>
          <w:ilvl w:val="0"/>
          <w:numId w:val="2"/>
        </w:numPr>
        <w:spacing w:after="60"/>
      </w:pPr>
      <w:r>
        <w:t xml:space="preserve">Document upload + contextual Q&amp;A — grounded in both the user's own document and the legal corpus</w:t>
      </w:r>
    </w:p>
    <w:p>
      <w:pPr>
        <w:pStyle w:val="ListParagraph"/>
        <w:numPr>
          <w:ilvl w:val="0"/>
          <w:numId w:val="2"/>
        </w:numPr>
        <w:spacing w:after="60"/>
      </w:pPr>
      <w:r>
        <w:t xml:space="preserve">Draft generation — legal notices, RTI applications, affidavits, pre-filled from conversation context</w:t>
      </w:r>
    </w:p>
    <w:p>
      <w:pPr>
        <w:pStyle w:val="ListParagraph"/>
        <w:numPr>
          <w:ilvl w:val="0"/>
          <w:numId w:val="2"/>
        </w:numPr>
        <w:spacing w:after="60"/>
      </w:pPr>
      <w:r>
        <w:t xml:space="preserve">Bookmark/save judgment — a personal library of referenced cases per user</w:t>
      </w:r>
    </w:p>
    <w:p>
      <w:pPr>
        <w:pStyle w:val="ListParagraph"/>
        <w:numPr>
          <w:ilvl w:val="0"/>
          <w:numId w:val="2"/>
        </w:numPr>
        <w:spacing w:after="60"/>
      </w:pPr>
      <w:r>
        <w:t xml:space="preserve">Export conversation as a brief/PDF — for real use in actual work, not just chat history</w:t>
      </w:r>
    </w:p>
    <w:p>
      <w:pPr>
        <w:pStyle w:val="Heading2"/>
        <w:spacing w:after="150" w:before="300"/>
      </w:pPr>
      <w:r>
        <w:t xml:space="preserve">8.3 Differentiation Features</w:t>
      </w:r>
    </w:p>
    <w:p>
      <w:pPr>
        <w:pStyle w:val="ListParagraph"/>
        <w:numPr>
          <w:ilvl w:val="0"/>
          <w:numId w:val="2"/>
        </w:numPr>
        <w:spacing w:after="60"/>
      </w:pPr>
      <w:r>
        <w:t xml:space="preserve">“Explain like I'm not a lawyer” toggle — plain-language vs. full legal-register mode, same underlying answer</w:t>
      </w:r>
    </w:p>
    <w:p>
      <w:pPr>
        <w:pStyle w:val="ListParagraph"/>
        <w:numPr>
          <w:ilvl w:val="0"/>
          <w:numId w:val="2"/>
        </w:numPr>
        <w:spacing w:after="60"/>
      </w:pPr>
      <w:r>
        <w:t xml:space="preserve">State-specific law filtering — Indian law varies by state; set state once, get filtered answers</w:t>
      </w:r>
    </w:p>
    <w:p>
      <w:pPr>
        <w:pStyle w:val="ListParagraph"/>
        <w:numPr>
          <w:ilvl w:val="0"/>
          <w:numId w:val="2"/>
        </w:numPr>
        <w:spacing w:after="60"/>
      </w:pPr>
      <w:r>
        <w:t xml:space="preserve">Voice input in regional languages — Hindi/regional query → English legal answer with sources</w:t>
      </w:r>
    </w:p>
    <w:p>
      <w:pPr>
        <w:pStyle w:val="ListParagraph"/>
        <w:numPr>
          <w:ilvl w:val="0"/>
          <w:numId w:val="2"/>
        </w:numPr>
        <w:spacing w:after="60"/>
      </w:pPr>
      <w:r>
        <w:t xml:space="preserve">Confidence-gated answers — the system declines to answer definitively on genuinely unsettled law, and says why, instead of hallucinating certainty</w:t>
      </w:r>
    </w:p>
    <w:p>
      <w:pPr>
        <w:pStyle w:val="Heading2"/>
        <w:spacing w:after="150" w:before="300"/>
      </w:pPr>
      <w:r>
        <w:t xml:space="preserve">8.4 Platform / Growth Features</w:t>
      </w:r>
    </w:p>
    <w:p>
      <w:pPr>
        <w:pStyle w:val="ListParagraph"/>
        <w:numPr>
          <w:ilvl w:val="0"/>
          <w:numId w:val="2"/>
        </w:numPr>
        <w:spacing w:after="60"/>
      </w:pPr>
      <w:r>
        <w:t xml:space="preserve">Public case-law search (no login required) — free search-only mode for SEO/traffic, chat requires signup</w:t>
      </w:r>
    </w:p>
    <w:p>
      <w:pPr>
        <w:pStyle w:val="ListParagraph"/>
        <w:numPr>
          <w:ilvl w:val="0"/>
          <w:numId w:val="2"/>
        </w:numPr>
        <w:spacing w:after="60"/>
      </w:pPr>
      <w:r>
        <w:t xml:space="preserve">Lawyer verification badge/mode — deeper citation detail and bulk export for verified practicing lawyers</w:t>
      </w:r>
    </w:p>
    <w:p>
      <w:pPr>
        <w:pStyle w:val="ListParagraph"/>
        <w:numPr>
          <w:ilvl w:val="0"/>
          <w:numId w:val="2"/>
        </w:numPr>
        <w:spacing w:after="60"/>
      </w:pPr>
      <w:r>
        <w:t xml:space="preserve">API access — lets other legal-tech tools query LegalMindRag programmatically</w:t>
      </w:r>
    </w:p>
    <w:p>
      <w:pPr>
        <w:pStyle w:val="ListParagraph"/>
        <w:numPr>
          <w:ilvl w:val="0"/>
          <w:numId w:val="2"/>
        </w:numPr>
        <w:spacing w:after="60"/>
      </w:pPr>
      <w:r>
        <w:t xml:space="preserve">Feedback loop on answers — thumbs up/down tied to specific citations, feeding back into the incremental embedding pipeline</w:t>
      </w:r>
    </w:p>
    <w:p>
      <w:pPr>
        <w:pStyle w:val="Heading2"/>
        <w:spacing w:after="150" w:before="300"/>
      </w:pPr>
      <w:r>
        <w:t xml:space="preserve">8.5 Polish</w:t>
      </w:r>
    </w:p>
    <w:p>
      <w:pPr>
        <w:pStyle w:val="ListParagraph"/>
        <w:numPr>
          <w:ilvl w:val="0"/>
          <w:numId w:val="2"/>
        </w:numPr>
        <w:spacing w:after="60"/>
      </w:pPr>
      <w:r>
        <w:t xml:space="preserve">Daily “Landmark Judgment” digest</w:t>
      </w:r>
    </w:p>
    <w:p>
      <w:pPr>
        <w:pStyle w:val="ListParagraph"/>
        <w:numPr>
          <w:ilvl w:val="0"/>
          <w:numId w:val="2"/>
        </w:numPr>
        <w:spacing w:after="60"/>
      </w:pPr>
      <w:r>
        <w:t xml:space="preserve">Compare two judgments side-by-side</w:t>
      </w:r>
    </w:p>
    <w:p>
      <w:pPr>
        <w:pStyle w:val="ListParagraph"/>
        <w:numPr>
          <w:ilvl w:val="0"/>
          <w:numId w:val="2"/>
        </w:numPr>
        <w:spacing w:after="60"/>
      </w:pPr>
      <w:r>
        <w:t xml:space="preserve">Manual dark/parchment mode toggle, in addition to the automatic mode switch</w:t>
      </w:r>
    </w:p>
    <w:p>
      <w:r>
        <w:br w:type="page"/>
      </w:r>
    </w:p>
    <w:p>
      <w:pPr>
        <w:pStyle w:val="Heading1"/>
        <w:spacing w:after="200" w:before="400"/>
      </w:pPr>
      <w:r>
        <w:t xml:space="preserve">9. Production &amp; Deployment Requirements</w:t>
      </w:r>
    </w:p>
    <w:p>
      <w:pPr>
        <w:spacing w:after="120"/>
      </w:pPr>
      <w:r>
        <w:t xml:space="preserve">To go from a working demo to something the public can actually use reliably, the following need to be in place before or shortly after launch.</w:t>
      </w:r>
    </w:p>
    <w:p>
      <w:pPr>
        <w:pStyle w:val="Heading2"/>
        <w:spacing w:after="150" w:before="300"/>
      </w:pPr>
      <w:r>
        <w:t xml:space="preserve">9.1 Authentication &amp; Access Control</w:t>
      </w:r>
    </w:p>
    <w:p>
      <w:pPr>
        <w:pStyle w:val="ListParagraph"/>
        <w:numPr>
          <w:ilvl w:val="0"/>
          <w:numId w:val="2"/>
        </w:numPr>
        <w:spacing w:after="60"/>
      </w:pPr>
      <w:r>
        <w:t xml:space="preserve">User accounts with email/OAuth login (Google sign-in is the fastest path to trust for an Indian audience)</w:t>
      </w:r>
    </w:p>
    <w:p>
      <w:pPr>
        <w:pStyle w:val="ListParagraph"/>
        <w:numPr>
          <w:ilvl w:val="0"/>
          <w:numId w:val="2"/>
        </w:numPr>
        <w:spacing w:after="60"/>
      </w:pPr>
      <w:r>
        <w:t xml:space="preserve">Role-based access: anonymous (search-only), registered user, verified lawyer, admin</w:t>
      </w:r>
    </w:p>
    <w:p>
      <w:pPr>
        <w:pStyle w:val="ListParagraph"/>
        <w:numPr>
          <w:ilvl w:val="0"/>
          <w:numId w:val="2"/>
        </w:numPr>
        <w:spacing w:after="60"/>
      </w:pPr>
      <w:r>
        <w:t xml:space="preserve">Session management with secure, httpOnly, rotating tokens</w:t>
      </w:r>
    </w:p>
    <w:p>
      <w:pPr>
        <w:pStyle w:val="Heading2"/>
        <w:spacing w:after="150" w:before="300"/>
      </w:pPr>
      <w:r>
        <w:t xml:space="preserve">9.2 Infrastructure &amp; Hosting</w:t>
      </w:r>
    </w:p>
    <w:p>
      <w:pPr>
        <w:pStyle w:val="ListParagraph"/>
        <w:numPr>
          <w:ilvl w:val="0"/>
          <w:numId w:val="2"/>
        </w:numPr>
        <w:spacing w:after="60"/>
      </w:pPr>
      <w:r>
        <w:t xml:space="preserve">Containerize the full stack (FastAPI backend, React frontend, Ollama/LLM service) with Docker Compose or Kubernetes for orchestration</w:t>
      </w:r>
    </w:p>
    <w:p>
      <w:pPr>
        <w:pStyle w:val="ListParagraph"/>
        <w:numPr>
          <w:ilvl w:val="0"/>
          <w:numId w:val="2"/>
        </w:numPr>
        <w:spacing w:after="60"/>
      </w:pPr>
      <w:r>
        <w:t xml:space="preserve">Separate the LLM inference service onto GPU-backed infrastructure if moving off local Ollama for scale (e.g., a hosted inference endpoint)</w:t>
      </w:r>
    </w:p>
    <w:p>
      <w:pPr>
        <w:pStyle w:val="ListParagraph"/>
        <w:numPr>
          <w:ilvl w:val="0"/>
          <w:numId w:val="2"/>
        </w:numPr>
        <w:spacing w:after="60"/>
      </w:pPr>
      <w:r>
        <w:t xml:space="preserve">Managed vector DB or a properly backed-up self-hosted ChromaDB instance — a single local ChromaDB file is not production-durable</w:t>
      </w:r>
    </w:p>
    <w:p>
      <w:pPr>
        <w:pStyle w:val="ListParagraph"/>
        <w:numPr>
          <w:ilvl w:val="0"/>
          <w:numId w:val="2"/>
        </w:numPr>
        <w:spacing w:after="60"/>
      </w:pPr>
      <w:r>
        <w:t xml:space="preserve">CDN in front of the frontend (Cloudflare or similar) for global latency and DDoS protection</w:t>
      </w:r>
    </w:p>
    <w:p>
      <w:pPr>
        <w:pStyle w:val="ListParagraph"/>
        <w:numPr>
          <w:ilvl w:val="0"/>
          <w:numId w:val="2"/>
        </w:numPr>
        <w:spacing w:after="60"/>
      </w:pPr>
      <w:r>
        <w:t xml:space="preserve">Custom domain with HTTPS/TLS (Let's Encrypt or managed cert), not a raw IP or default subdomain</w:t>
      </w:r>
    </w:p>
    <w:p>
      <w:pPr>
        <w:pStyle w:val="Heading2"/>
        <w:spacing w:after="150" w:before="300"/>
      </w:pPr>
      <w:r>
        <w:t xml:space="preserve">9.3 Scalability &amp; Reliability</w:t>
      </w:r>
    </w:p>
    <w:p>
      <w:pPr>
        <w:pStyle w:val="ListParagraph"/>
        <w:numPr>
          <w:ilvl w:val="0"/>
          <w:numId w:val="2"/>
        </w:numPr>
        <w:spacing w:after="60"/>
      </w:pPr>
      <w:r>
        <w:t xml:space="preserve">Horizontal scaling for the API layer behind a load balancer as traffic grows</w:t>
      </w:r>
    </w:p>
    <w:p>
      <w:pPr>
        <w:pStyle w:val="ListParagraph"/>
        <w:numPr>
          <w:ilvl w:val="0"/>
          <w:numId w:val="2"/>
        </w:numPr>
        <w:spacing w:after="60"/>
      </w:pPr>
      <w:r>
        <w:t xml:space="preserve">Caching layer (Redis) for repeated/common queries to reduce LLM and retrieval load</w:t>
      </w:r>
    </w:p>
    <w:p>
      <w:pPr>
        <w:pStyle w:val="ListParagraph"/>
        <w:numPr>
          <w:ilvl w:val="0"/>
          <w:numId w:val="2"/>
        </w:numPr>
        <w:spacing w:after="60"/>
      </w:pPr>
      <w:r>
        <w:t xml:space="preserve">Queue-based handling for the scraping/embedding pipeline so it never blocks user-facing requests</w:t>
      </w:r>
    </w:p>
    <w:p>
      <w:pPr>
        <w:pStyle w:val="ListParagraph"/>
        <w:numPr>
          <w:ilvl w:val="0"/>
          <w:numId w:val="2"/>
        </w:numPr>
        <w:spacing w:after="60"/>
      </w:pPr>
      <w:r>
        <w:t xml:space="preserve">Rate limiting per user/IP to prevent abuse and control inference cost</w:t>
      </w:r>
    </w:p>
    <w:p>
      <w:pPr>
        <w:pStyle w:val="ListParagraph"/>
        <w:numPr>
          <w:ilvl w:val="0"/>
          <w:numId w:val="2"/>
        </w:numPr>
        <w:spacing w:after="60"/>
      </w:pPr>
      <w:r>
        <w:t xml:space="preserve">Health checks and auto-restart for all services (backend, vector DB, LLM service)</w:t>
      </w:r>
    </w:p>
    <w:p>
      <w:pPr>
        <w:pStyle w:val="Heading2"/>
        <w:spacing w:after="150" w:before="300"/>
      </w:pPr>
      <w:r>
        <w:t xml:space="preserve">9.4 Data, Privacy &amp; Legal Compliance</w:t>
      </w:r>
    </w:p>
    <w:p>
      <w:pPr>
        <w:pStyle w:val="ListParagraph"/>
        <w:numPr>
          <w:ilvl w:val="0"/>
          <w:numId w:val="2"/>
        </w:numPr>
        <w:spacing w:after="60"/>
      </w:pPr>
      <w:r>
        <w:t xml:space="preserve">Clear Terms of Service and Privacy Policy, including an explicit “not legal advice” disclaimer on every answer — critical for a legal-AI product</w:t>
      </w:r>
    </w:p>
    <w:p>
      <w:pPr>
        <w:pStyle w:val="ListParagraph"/>
        <w:numPr>
          <w:ilvl w:val="0"/>
          <w:numId w:val="2"/>
        </w:numPr>
        <w:spacing w:after="60"/>
      </w:pPr>
      <w:r>
        <w:t xml:space="preserve">Data retention policy for user conversations and uploaded documents, with user-initiated deletion</w:t>
      </w:r>
    </w:p>
    <w:p>
      <w:pPr>
        <w:pStyle w:val="ListParagraph"/>
        <w:numPr>
          <w:ilvl w:val="0"/>
          <w:numId w:val="2"/>
        </w:numPr>
        <w:spacing w:after="60"/>
      </w:pPr>
      <w:r>
        <w:t xml:space="preserve">Compliance review against India's Digital Personal Data Protection Act (DPDPA) for any personal data collected</w:t>
      </w:r>
    </w:p>
    <w:p>
      <w:pPr>
        <w:pStyle w:val="ListParagraph"/>
        <w:numPr>
          <w:ilvl w:val="0"/>
          <w:numId w:val="2"/>
        </w:numPr>
        <w:spacing w:after="60"/>
      </w:pPr>
      <w:r>
        <w:t xml:space="preserve">Encryption at rest for user-uploaded documents and at transit (TLS everywhere)</w:t>
      </w:r>
    </w:p>
    <w:p>
      <w:pPr>
        <w:pStyle w:val="Heading2"/>
        <w:spacing w:after="150" w:before="300"/>
      </w:pPr>
      <w:r>
        <w:t xml:space="preserve">9.5 Monitoring &amp; Observability</w:t>
      </w:r>
    </w:p>
    <w:p>
      <w:pPr>
        <w:pStyle w:val="ListParagraph"/>
        <w:numPr>
          <w:ilvl w:val="0"/>
          <w:numId w:val="2"/>
        </w:numPr>
        <w:spacing w:after="60"/>
      </w:pPr>
      <w:r>
        <w:t xml:space="preserve">Application logging and error tracking (e.g., Sentry) across frontend and backend</w:t>
      </w:r>
    </w:p>
    <w:p>
      <w:pPr>
        <w:pStyle w:val="ListParagraph"/>
        <w:numPr>
          <w:ilvl w:val="0"/>
          <w:numId w:val="2"/>
        </w:numPr>
        <w:spacing w:after="60"/>
      </w:pPr>
      <w:r>
        <w:t xml:space="preserve">Pipeline monitoring dashboard built on the existing pipeline_runs table — surfaced in an admin view, not just queried manually</w:t>
      </w:r>
    </w:p>
    <w:p>
      <w:pPr>
        <w:pStyle w:val="ListParagraph"/>
        <w:numPr>
          <w:ilvl w:val="0"/>
          <w:numId w:val="2"/>
        </w:numPr>
        <w:spacing w:after="60"/>
      </w:pPr>
      <w:r>
        <w:t xml:space="preserve">Uptime monitoring with alerting (email/Slack) for backend, vector DB, and LLM service downtime</w:t>
      </w:r>
    </w:p>
    <w:p>
      <w:pPr>
        <w:pStyle w:val="ListParagraph"/>
        <w:numPr>
          <w:ilvl w:val="0"/>
          <w:numId w:val="2"/>
        </w:numPr>
        <w:spacing w:after="60"/>
      </w:pPr>
      <w:r>
        <w:t xml:space="preserve">Usage analytics (privacy-respecting — e.g., Plausible or self-hosted) to understand real usage patterns</w:t>
      </w:r>
    </w:p>
    <w:p>
      <w:pPr>
        <w:pStyle w:val="Heading2"/>
        <w:spacing w:after="150" w:before="300"/>
      </w:pPr>
      <w:r>
        <w:t xml:space="preserve">9.6 CI/CD &amp; Testing</w:t>
      </w:r>
    </w:p>
    <w:p>
      <w:pPr>
        <w:pStyle w:val="ListParagraph"/>
        <w:numPr>
          <w:ilvl w:val="0"/>
          <w:numId w:val="2"/>
        </w:numPr>
        <w:spacing w:after="60"/>
      </w:pPr>
      <w:r>
        <w:t xml:space="preserve">Automated test suite covering retrieval accuracy, API endpoints, and critical frontend flows</w:t>
      </w:r>
    </w:p>
    <w:p>
      <w:pPr>
        <w:pStyle w:val="ListParagraph"/>
        <w:numPr>
          <w:ilvl w:val="0"/>
          <w:numId w:val="2"/>
        </w:numPr>
        <w:spacing w:after="60"/>
      </w:pPr>
      <w:r>
        <w:t xml:space="preserve">CI pipeline (GitHub Actions) running tests and linting on every PR</w:t>
      </w:r>
    </w:p>
    <w:p>
      <w:pPr>
        <w:pStyle w:val="ListParagraph"/>
        <w:numPr>
          <w:ilvl w:val="0"/>
          <w:numId w:val="2"/>
        </w:numPr>
        <w:spacing w:after="60"/>
      </w:pPr>
      <w:r>
        <w:t xml:space="preserve">Staging environment separate from production for safely testing pipeline and model changes</w:t>
      </w:r>
    </w:p>
    <w:p>
      <w:pPr>
        <w:pStyle w:val="ListParagraph"/>
        <w:numPr>
          <w:ilvl w:val="0"/>
          <w:numId w:val="2"/>
        </w:numPr>
        <w:spacing w:after="60"/>
      </w:pPr>
      <w:r>
        <w:t xml:space="preserve">Automated deployment pipeline (CD) triggered on merge to main, with rollback capability</w:t>
      </w:r>
    </w:p>
    <w:p>
      <w:pPr>
        <w:pStyle w:val="Heading2"/>
        <w:spacing w:after="150" w:before="300"/>
      </w:pPr>
      <w:r>
        <w:t xml:space="preserve">9.7 Cost Management</w:t>
      </w:r>
    </w:p>
    <w:p>
      <w:pPr>
        <w:pStyle w:val="ListParagraph"/>
        <w:numPr>
          <w:ilvl w:val="0"/>
          <w:numId w:val="2"/>
        </w:numPr>
        <w:spacing w:after="60"/>
      </w:pPr>
      <w:r>
        <w:t xml:space="preserve">Monitor and cap LLM inference costs per user/day if moving to a paid hosted model instead of local Ollama</w:t>
      </w:r>
    </w:p>
    <w:p>
      <w:pPr>
        <w:pStyle w:val="ListParagraph"/>
        <w:numPr>
          <w:ilvl w:val="0"/>
          <w:numId w:val="2"/>
        </w:numPr>
        <w:spacing w:after="60"/>
      </w:pPr>
      <w:r>
        <w:t xml:space="preserve">Set storage lifecycle rules for DVC-versioned data and logs to avoid unbounded cloud storage growth</w:t>
      </w:r>
    </w:p>
    <w:p>
      <w:pPr>
        <w:pStyle w:val="Heading2"/>
        <w:spacing w:after="150" w:before="300"/>
      </w:pPr>
      <w:r>
        <w:t xml:space="preserve">9.8 Launch Readiness Checklist</w:t>
      </w:r>
    </w:p>
    <w:p>
      <w:pPr>
        <w:pStyle w:val="ListParagraph"/>
        <w:numPr>
          <w:ilvl w:val="0"/>
          <w:numId w:val="2"/>
        </w:numPr>
        <w:spacing w:after="60"/>
      </w:pPr>
      <w:r>
        <w:t xml:space="preserve">Load testing before public launch to confirm the stack holds up under concurrent users</w:t>
      </w:r>
    </w:p>
    <w:p>
      <w:pPr>
        <w:pStyle w:val="ListParagraph"/>
        <w:numPr>
          <w:ilvl w:val="0"/>
          <w:numId w:val="2"/>
        </w:numPr>
        <w:spacing w:after="60"/>
      </w:pPr>
      <w:r>
        <w:t xml:space="preserve">Backup and disaster recovery plan for the vector DB, metadata DB, and DVC remote</w:t>
      </w:r>
    </w:p>
    <w:p>
      <w:pPr>
        <w:pStyle w:val="ListParagraph"/>
        <w:numPr>
          <w:ilvl w:val="0"/>
          <w:numId w:val="2"/>
        </w:numPr>
        <w:spacing w:after="60"/>
      </w:pPr>
      <w:r>
        <w:t xml:space="preserve">Support channel (email or simple in-app feedback form) for users to report incorrect/harmful answers</w:t>
      </w:r>
    </w:p>
    <w:p>
      <w:pPr>
        <w:pStyle w:val="ListParagraph"/>
        <w:numPr>
          <w:ilvl w:val="0"/>
          <w:numId w:val="2"/>
        </w:numPr>
        <w:spacing w:after="60"/>
      </w:pPr>
      <w:r>
        <w:t xml:space="preserve">Soft launch to a small group before full public release, using real usage to validate the confidence-gating and citation accuracy features from Section 8.1</w:t>
      </w:r>
    </w:p>
    <w:p>
      <w:r>
        <w:br w:type="page"/>
      </w:r>
    </w:p>
    <w:p>
      <w:pPr>
        <w:pStyle w:val="Heading1"/>
        <w:spacing w:after="200" w:before="400"/>
      </w:pPr>
      <w:r>
        <w:t xml:space="preserve">10. Open Questions — Direct Answers</w:t>
      </w:r>
    </w:p>
    <w:p>
      <w:pPr>
        <w:spacing w:after="120"/>
      </w:pPr>
      <w:r>
        <w:t xml:space="preserve">A second round of clarifying questions came in without being answered directly, so this section states a decision for every one of them. Where an earlier section already covers it, that's noted with a cross-reference instead of repeating the answer.</w:t>
      </w:r>
    </w:p>
    <w:p>
      <w:pPr>
        <w:pStyle w:val="Heading2"/>
        <w:spacing w:after="150" w:before="300"/>
      </w:pPr>
      <w:r>
        <w:t xml:space="preserve">Visual Style</w:t>
      </w:r>
    </w:p>
    <w:p>
      <w:pPr>
        <w:pStyle w:val="Heading3"/>
        <w:spacing w:after="100" w:before="200"/>
      </w:pPr>
      <w:r>
        <w:t xml:space="preserve">1. Dark mode, light mode, or both with a toggle?</w:t>
      </w:r>
    </w:p>
    <w:p>
      <w:pPr>
        <w:spacing w:after="120"/>
      </w:pPr>
      <w:r>
        <w:t xml:space="preserve">Already answered in Sections 2 and 8.5 — but stated plainly here: dark (Obsidian) is the primary mode for chat and navigation, it auto-shifts to a warm Parchment mode when a source document opens, and a manual override toggle lets a user pin either mode full-time if they don't want the automatic switch.</w:t>
      </w:r>
    </w:p>
    <w:p>
      <w:pPr>
        <w:pStyle w:val="Heading3"/>
        <w:spacing w:after="100" w:before="200"/>
      </w:pPr>
      <w:r>
        <w:t xml:space="preserve">2. Which app's UI vibe?</w:t>
      </w:r>
    </w:p>
    <w:p>
      <w:pPr>
        <w:spacing w:after="120"/>
      </w:pPr>
      <w:r>
        <w:t xml:space="preserve">Already answered in Section 1's comparison table — no single reference app; the point is that copying any one of them (ChatGPT/Perplexity/Notion/Linear/Vercel/GitHub/Figma/VS Code) would make this look like a reskin. The system deliberately borrows glass/dark structure from AI-chat products and reading-comfort from document tools, but the brass/sage palette and the Obsidian→Parchment shift exist nowhere else.</w:t>
      </w:r>
    </w:p>
    <w:p>
      <w:pPr>
        <w:pStyle w:val="Heading3"/>
        <w:spacing w:after="100" w:before="200"/>
      </w:pPr>
      <w:r>
        <w:t xml:space="preserve">3. Minimal &amp; clean, or feature-rich &amp; data-dense?</w:t>
      </w:r>
    </w:p>
    <w:p>
      <w:pPr>
        <w:spacing w:after="120"/>
      </w:pPr>
      <w:r>
        <w:t xml:space="preserve">New decision: minimal by default, dense where trust depends on it. The chat surface, sidebar, and composer stay clean and uncluttered. Density is deliberately concentrated in exactly the places where a legal user needs it — the retrieval trace, citation confidence scores, and source metadata — so the product doesn't feel sparse when it matters, or cluttered when it doesn't.</w:t>
      </w:r>
    </w:p>
    <w:p>
      <w:pPr>
        <w:pStyle w:val="Heading2"/>
        <w:spacing w:after="150" w:before="300"/>
      </w:pPr>
      <w:r>
        <w:t xml:space="preserve">Colors</w:t>
      </w:r>
    </w:p>
    <w:p>
      <w:pPr>
        <w:pStyle w:val="Heading3"/>
        <w:spacing w:after="100" w:before="200"/>
      </w:pPr>
      <w:r>
        <w:t xml:space="preserve">4. Specific primary/accent color?</w:t>
      </w:r>
    </w:p>
    <w:p>
      <w:pPr>
        <w:spacing w:after="120"/>
      </w:pPr>
      <w:r>
        <w:t xml:space="preserve">Already answered in Section 2 — Brass (#B08D57) as primary accent, Sage (#6F8F82) as the secondary/citation accent. No blue anywhere in the system.</w:t>
      </w:r>
    </w:p>
    <w:p>
      <w:pPr>
        <w:pStyle w:val="Heading3"/>
        <w:spacing w:after="100" w:before="200"/>
      </w:pPr>
      <w:r>
        <w:t xml:space="preserve">5. Keep saffron/gold Indian-legal theme, or go different?</w:t>
      </w:r>
    </w:p>
    <w:p>
      <w:pPr>
        <w:spacing w:after="120"/>
      </w:pPr>
      <w:r>
        <w:t xml:space="preserve">New decision: keep the gold family, but reject literal saffron. Bright saffron (or a tricolor motif) reads as a government portal, not a premium product. Muted antique brass keeps the cultural/legal-gravitas association of gold without the government-site association — it's warmer and more expensive-looking than saffron, and works on both the dark and parchment surfaces.</w:t>
      </w:r>
    </w:p>
    <w:p>
      <w:pPr>
        <w:pStyle w:val="Heading2"/>
        <w:spacing w:after="150" w:before="300"/>
      </w:pPr>
      <w:r>
        <w:t xml:space="preserve">Layout</w:t>
      </w:r>
    </w:p>
    <w:p>
      <w:pPr>
        <w:pStyle w:val="Heading3"/>
        <w:spacing w:after="100" w:before="200"/>
      </w:pPr>
      <w:r>
        <w:t xml:space="preserve">6. Keep 3-pane, or full-width chat?</w:t>
      </w:r>
    </w:p>
    <w:p>
      <w:pPr>
        <w:spacing w:after="120"/>
      </w:pPr>
      <w:r>
        <w:t xml:space="preserve">Already answered in Section 4 — keep the 3-pane structure; a full-width chat would remove the source-verification pane that is the product's core differentiator.</w:t>
      </w:r>
    </w:p>
    <w:p>
      <w:pPr>
        <w:pStyle w:val="Heading3"/>
        <w:spacing w:after="100" w:before="200"/>
      </w:pPr>
      <w:r>
        <w:t xml:space="preserve">7. Sidebar always visible or collapsible?</w:t>
      </w:r>
    </w:p>
    <w:p>
      <w:pPr>
        <w:spacing w:after="120"/>
      </w:pPr>
      <w:r>
        <w:t xml:space="preserve">Already answered in Section 4.1 — collapsible, collapsed to icon-only by default.</w:t>
      </w:r>
    </w:p>
    <w:p>
      <w:pPr>
        <w:pStyle w:val="Heading3"/>
        <w:spacing w:after="100" w:before="200"/>
      </w:pPr>
      <w:r>
        <w:t xml:space="preserve">8. Keep the bottom dock (Argument Builder), or remove/redesign it?</w:t>
      </w:r>
    </w:p>
    <w:p>
      <w:pPr>
        <w:spacing w:after="120"/>
      </w:pPr>
      <w:r>
        <w:t xml:space="preserve">New decision: keep it, redesigned rather than removed — it's a genuinely useful feature (assembling an argument/draft from cited sources) and cutting it would lose real functionality. Redesign direction: a slim brass-outlined dock collapsed to a single tab at the bottom edge by default, expanding upward into a glass panel on click. Citations can be dragged in directly from chat as sage chips; the dock shows a live word count and a “Generate Draft” brass button once at least one source is added. Collapsed state keeps it from competing with the chat for attention; expanded state gets full visual weight, matching the same glass-and-brass language as the rest of the app rather than looking like a bolted-on toolbar.</w:t>
      </w:r>
    </w:p>
    <w:p>
      <w:pPr>
        <w:pStyle w:val="Heading2"/>
        <w:spacing w:after="150" w:before="300"/>
      </w:pPr>
      <w:r>
        <w:t xml:space="preserve">Chat UI</w:t>
      </w:r>
    </w:p>
    <w:p>
      <w:pPr>
        <w:pStyle w:val="Heading3"/>
        <w:spacing w:after="100" w:before="200"/>
      </w:pPr>
      <w:r>
        <w:t xml:space="preserve">9. Bubbles, full-width cards, or something else?</w:t>
      </w:r>
    </w:p>
    <w:p>
      <w:pPr>
        <w:spacing w:after="120"/>
      </w:pPr>
      <w:r>
        <w:t xml:space="preserve">Refines Section 4.2: full-width glass cards for assistant responses, not chat bubbles. Bubbles work for casual back-and-forth; legal answers are longer, contain citations and structure, and need room to breathe — a bubble constrains width and makes citation chips and the retrieval-trace thread feel cramped. User messages stay compact and right-aligned (not full-width) so the asymmetry visually separates “question” from “analysis.”</w:t>
      </w:r>
    </w:p>
    <w:p>
      <w:pPr>
        <w:pStyle w:val="Heading3"/>
        <w:spacing w:after="100" w:before="200"/>
      </w:pPr>
      <w:r>
        <w:t xml:space="preserve">10. Fancy empty state with suggestion cards, or keep it simple?</w:t>
      </w:r>
    </w:p>
    <w:p>
      <w:pPr>
        <w:spacing w:after="120"/>
      </w:pPr>
      <w:r>
        <w:t xml:space="preserve">New decision: fancy, but purposeful rather than decorative. On a new Matter, show 3–4 suggestion cards drawn from real, useful entry points — e.g. “Explain Section 498A IPC,” “Draft a legal notice for unpaid rent,” “What changed in the new criminal codes?,” and one rotating “Landmark Judgment of the Day” card (ties into the Section 8.5 feature). Cards use the same glass-panel styling as chat responses, so the empty state doesn't look like a different product from the populated one.</w:t>
      </w:r>
    </w:p>
    <w:p>
      <w:pPr>
        <w:pStyle w:val="Heading2"/>
        <w:spacing w:after="150" w:before="300"/>
      </w:pPr>
      <w:r>
        <w:t xml:space="preserve">Other</w:t>
      </w:r>
    </w:p>
    <w:p>
      <w:pPr>
        <w:pStyle w:val="Heading3"/>
        <w:spacing w:after="100" w:before="200"/>
      </w:pPr>
      <w:r>
        <w:t xml:space="preserve">11. Completely different login page look?</w:t>
      </w:r>
    </w:p>
    <w:p>
      <w:pPr>
        <w:spacing w:after="120"/>
      </w:pPr>
      <w:r>
        <w:t xml:space="preserve">New decision: yes — distinct from a generic centered-card SaaS login. Split-screen layout: left half is a full-bleed dark panel with slow, subtle brass linework (an abstract rendering of scales/columns, not a literal justice-scale icon) and a single line of rotating case-law text in the serif face; right half is the login form on a plain Obsidian panel, minimal fields, brass primary button. Sets the tone before the user even reaches the app.</w:t>
      </w:r>
    </w:p>
    <w:p>
      <w:pPr>
        <w:pStyle w:val="Heading3"/>
        <w:spacing w:after="100" w:before="200"/>
      </w:pPr>
      <w:r>
        <w:t xml:space="preserve">12. Anything to explicitly avoid?</w:t>
      </w:r>
    </w:p>
    <w:p>
      <w:pPr>
        <w:spacing w:after="120"/>
      </w:pPr>
      <w:r>
        <w:t xml:space="preserve">New decision — an explicit avoid-list, since this determines a lot of small choices downstream:</w:t>
      </w:r>
    </w:p>
    <w:p>
      <w:pPr>
        <w:pStyle w:val="ListParagraph"/>
        <w:numPr>
          <w:ilvl w:val="0"/>
          <w:numId w:val="2"/>
        </w:numPr>
        <w:spacing w:after="60"/>
      </w:pPr>
      <w:r>
        <w:t xml:space="preserve">No pure black (#000000) anywhere — Obsidian is a warmer, softer near-black</w:t>
      </w:r>
    </w:p>
    <w:p>
      <w:pPr>
        <w:pStyle w:val="ListParagraph"/>
        <w:numPr>
          <w:ilvl w:val="0"/>
          <w:numId w:val="2"/>
        </w:numPr>
        <w:spacing w:after="60"/>
      </w:pPr>
      <w:r>
        <w:t xml:space="preserve">No bright saffron or tricolor motifs — reads as a government site, not a product</w:t>
      </w:r>
    </w:p>
    <w:p>
      <w:pPr>
        <w:pStyle w:val="ListParagraph"/>
        <w:numPr>
          <w:ilvl w:val="0"/>
          <w:numId w:val="2"/>
        </w:numPr>
        <w:spacing w:after="60"/>
      </w:pPr>
      <w:r>
        <w:t xml:space="preserve">No blue as an accent color anywhere in the system — it's the default of every competitor</w:t>
      </w:r>
    </w:p>
    <w:p>
      <w:pPr>
        <w:pStyle w:val="ListParagraph"/>
        <w:numPr>
          <w:ilvl w:val="0"/>
          <w:numId w:val="2"/>
        </w:numPr>
        <w:spacing w:after="60"/>
      </w:pPr>
      <w:r>
        <w:t xml:space="preserve">No literal justice-scale/gavel iconography — overused legal-tech clip art</w:t>
      </w:r>
    </w:p>
    <w:p>
      <w:pPr>
        <w:pStyle w:val="ListParagraph"/>
        <w:numPr>
          <w:ilvl w:val="0"/>
          <w:numId w:val="2"/>
        </w:numPr>
        <w:spacing w:after="60"/>
      </w:pPr>
      <w:r>
        <w:t xml:space="preserve">No chat bubbles for assistant responses (see Q9)</w:t>
      </w:r>
    </w:p>
    <w:p>
      <w:pPr>
        <w:pStyle w:val="ListParagraph"/>
        <w:numPr>
          <w:ilvl w:val="0"/>
          <w:numId w:val="2"/>
        </w:numPr>
        <w:spacing w:after="60"/>
      </w:pPr>
      <w:r>
        <w:t xml:space="preserve">No hard drop shadows or bouncy/elastic motion — everything stays in the calm, glass-and-glow language from Section 6</w:t>
      </w:r>
    </w:p>
    <w:p>
      <w:pPr>
        <w:pStyle w:val="ListParagraph"/>
        <w:numPr>
          <w:ilvl w:val="0"/>
          <w:numId w:val="2"/>
        </w:numPr>
        <w:spacing w:after="60"/>
      </w:pPr>
      <w:r>
        <w:t xml:space="preserve">No dense corporate-blue Westlaw look — flat, cold, and dated is the opposite of the goal</w:t>
      </w:r>
    </w:p>
    <w:p>
      <w:r>
        <w:br w:type="page"/>
      </w:r>
    </w:p>
    <w:p>
      <w:pPr>
        <w:pStyle w:val="Heading1"/>
        <w:spacing w:after="200" w:before="400"/>
      </w:pPr>
      <w:r>
        <w:t xml:space="preserve">11. Extended Feature Set — Advanced &amp; Differentiating Additions</w:t>
      </w:r>
    </w:p>
    <w:p>
      <w:pPr>
        <w:spacing w:after="120"/>
      </w:pPr>
      <w:r>
        <w:t xml:space="preserve">Beyond the core feature list in Section 8, the following push LegalMindRag further from “a RAG chatbot for law” toward a genuinely professional legal research and practice tool. Grouped by function, none of these duplicate Section 8.</w:t>
      </w:r>
    </w:p>
    <w:p>
      <w:pPr>
        <w:pStyle w:val="Heading2"/>
        <w:spacing w:after="150" w:before="300"/>
      </w:pPr>
      <w:r>
        <w:t xml:space="preserve">11.1 Advanced Reasoning &amp; Retrieval</w:t>
      </w:r>
    </w:p>
    <w:p>
      <w:pPr>
        <w:pStyle w:val="ListParagraph"/>
        <w:numPr>
          <w:ilvl w:val="0"/>
          <w:numId w:val="2"/>
        </w:numPr>
        <w:spacing w:after="60"/>
      </w:pPr>
      <w:r>
        <w:t xml:space="preserve">“Show your reasoning” mode — expose the multi-step reasoning chain behind an answer (which sub-questions were asked, which sources were weighed) instead of just the final text, for users who need to defend the answer's logic</w:t>
      </w:r>
    </w:p>
    <w:p>
      <w:pPr>
        <w:pStyle w:val="ListParagraph"/>
        <w:numPr>
          <w:ilvl w:val="0"/>
          <w:numId w:val="2"/>
        </w:numPr>
        <w:spacing w:after="60"/>
      </w:pPr>
      <w:r>
        <w:t xml:space="preserve">Statute version diffing — show exactly how a section of law has changed across amendments over time, with a clear before/after view</w:t>
      </w:r>
    </w:p>
    <w:p>
      <w:pPr>
        <w:pStyle w:val="ListParagraph"/>
        <w:numPr>
          <w:ilvl w:val="0"/>
          <w:numId w:val="2"/>
        </w:numPr>
        <w:spacing w:after="60"/>
      </w:pPr>
      <w:r>
        <w:t xml:space="preserve">Jurisdiction-aware routing — auto-detect whether a question falls under central law, state-specific law, or personal law (Hindu/Muslim/Christian) and route retrieval accordingly instead of blending sources that don't actually apply together</w:t>
      </w:r>
    </w:p>
    <w:p>
      <w:pPr>
        <w:pStyle w:val="ListParagraph"/>
        <w:numPr>
          <w:ilvl w:val="0"/>
          <w:numId w:val="2"/>
        </w:numPr>
        <w:spacing w:after="60"/>
      </w:pPr>
      <w:r>
        <w:t xml:space="preserve">Precedent strength scoring — weight and visibly rank cited judgments by court hierarchy (Supreme Court &gt; High Court &gt; lower courts) and recency, so users see which citation actually carries more weight</w:t>
      </w:r>
    </w:p>
    <w:p>
      <w:pPr>
        <w:pStyle w:val="ListParagraph"/>
        <w:numPr>
          <w:ilvl w:val="0"/>
          <w:numId w:val="2"/>
        </w:numPr>
        <w:spacing w:after="60"/>
      </w:pPr>
      <w:r>
        <w:t xml:space="preserve">Legal citation graph — a visual, explorable graph of how cases cite and reference each other, letting users trace how a legal doctrine developed</w:t>
      </w:r>
    </w:p>
    <w:p>
      <w:pPr>
        <w:pStyle w:val="ListParagraph"/>
        <w:numPr>
          <w:ilvl w:val="0"/>
          <w:numId w:val="2"/>
        </w:numPr>
        <w:spacing w:after="60"/>
      </w:pPr>
      <w:r>
        <w:t xml:space="preserve">“Devil's advocate” mode — on request, generate the strongest counter-argument to a drafted position, for case preparation</w:t>
      </w:r>
    </w:p>
    <w:p>
      <w:pPr>
        <w:pStyle w:val="Heading2"/>
        <w:spacing w:after="150" w:before="300"/>
      </w:pPr>
      <w:r>
        <w:t xml:space="preserve">11.2 Document Intelligence</w:t>
      </w:r>
    </w:p>
    <w:p>
      <w:pPr>
        <w:pStyle w:val="ListParagraph"/>
        <w:numPr>
          <w:ilvl w:val="0"/>
          <w:numId w:val="2"/>
        </w:numPr>
        <w:spacing w:after="60"/>
      </w:pPr>
      <w:r>
        <w:t xml:space="preserve">Contract clause risk scanner — upload a contract and get risky or non-standard clauses flagged against common baseline clauses</w:t>
      </w:r>
    </w:p>
    <w:p>
      <w:pPr>
        <w:pStyle w:val="ListParagraph"/>
        <w:numPr>
          <w:ilvl w:val="0"/>
          <w:numId w:val="2"/>
        </w:numPr>
        <w:spacing w:after="60"/>
      </w:pPr>
      <w:r>
        <w:t xml:space="preserve">Auto-redaction tool — strip personally identifiable information from a document before it's shared or uploaded elsewhere</w:t>
      </w:r>
    </w:p>
    <w:p>
      <w:pPr>
        <w:pStyle w:val="ListParagraph"/>
        <w:numPr>
          <w:ilvl w:val="0"/>
          <w:numId w:val="2"/>
        </w:numPr>
        <w:spacing w:after="60"/>
      </w:pPr>
      <w:r>
        <w:t xml:space="preserve">OCR pipeline for scanned/handwritten legal documents — makes old judgments, petitions, and scanned notices searchable and queryable like any other source</w:t>
      </w:r>
    </w:p>
    <w:p>
      <w:pPr>
        <w:pStyle w:val="Heading2"/>
        <w:spacing w:after="150" w:before="300"/>
      </w:pPr>
      <w:r>
        <w:t xml:space="preserve">11.3 Collaboration</w:t>
      </w:r>
    </w:p>
    <w:p>
      <w:pPr>
        <w:pStyle w:val="ListParagraph"/>
        <w:numPr>
          <w:ilvl w:val="0"/>
          <w:numId w:val="2"/>
        </w:numPr>
        <w:spacing w:after="60"/>
      </w:pPr>
      <w:r>
        <w:t xml:space="preserve">Shared matter workspaces — invite a colleague or client into a case folder with threaded comments</w:t>
      </w:r>
    </w:p>
    <w:p>
      <w:pPr>
        <w:pStyle w:val="ListParagraph"/>
        <w:numPr>
          <w:ilvl w:val="0"/>
          <w:numId w:val="2"/>
        </w:numPr>
        <w:spacing w:after="60"/>
      </w:pPr>
      <w:r>
        <w:t xml:space="preserve">Real-time co-drafting in the Argument Builder — multiple cursors, live edits, similar to collaborative document editors</w:t>
      </w:r>
    </w:p>
    <w:p>
      <w:pPr>
        <w:pStyle w:val="ListParagraph"/>
        <w:numPr>
          <w:ilvl w:val="0"/>
          <w:numId w:val="2"/>
        </w:numPr>
        <w:spacing w:after="60"/>
      </w:pPr>
      <w:r>
        <w:t xml:space="preserve">Client-facing summary export — one click to generate a plain-language version of a legal analysis, suitable to send directly to a non-lawyer client</w:t>
      </w:r>
    </w:p>
    <w:p>
      <w:pPr>
        <w:pStyle w:val="Heading2"/>
        <w:spacing w:after="150" w:before="300"/>
      </w:pPr>
      <w:r>
        <w:t xml:space="preserve">11.4 Enterprise / Firm Features</w:t>
      </w:r>
    </w:p>
    <w:p>
      <w:pPr>
        <w:pStyle w:val="ListParagraph"/>
        <w:numPr>
          <w:ilvl w:val="0"/>
          <w:numId w:val="2"/>
        </w:numPr>
        <w:spacing w:after="60"/>
      </w:pPr>
      <w:r>
        <w:t xml:space="preserve">Firm-private knowledge base — let a law firm upload its own internal precedent, notes, or past filings as an additional private corpus layered on top of the public legal corpus</w:t>
      </w:r>
    </w:p>
    <w:p>
      <w:pPr>
        <w:pStyle w:val="ListParagraph"/>
        <w:numPr>
          <w:ilvl w:val="0"/>
          <w:numId w:val="2"/>
        </w:numPr>
        <w:spacing w:after="60"/>
      </w:pPr>
      <w:r>
        <w:t xml:space="preserve">SSO (SAML / OIDC) for enterprise and firm-level accounts</w:t>
      </w:r>
    </w:p>
    <w:p>
      <w:pPr>
        <w:pStyle w:val="ListParagraph"/>
        <w:numPr>
          <w:ilvl w:val="0"/>
          <w:numId w:val="2"/>
        </w:numPr>
        <w:spacing w:after="60"/>
      </w:pPr>
      <w:r>
        <w:t xml:space="preserve">Per-seat usage and billing dashboard for firm administrators</w:t>
      </w:r>
    </w:p>
    <w:p>
      <w:pPr>
        <w:pStyle w:val="ListParagraph"/>
        <w:numPr>
          <w:ilvl w:val="0"/>
          <w:numId w:val="2"/>
        </w:numPr>
        <w:spacing w:after="60"/>
      </w:pPr>
      <w:r>
        <w:t xml:space="preserve">White-label deployment option — firms can run LegalMindRag under their own branding</w:t>
      </w:r>
    </w:p>
    <w:p>
      <w:pPr>
        <w:pStyle w:val="Heading2"/>
        <w:spacing w:after="150" w:before="300"/>
      </w:pPr>
      <w:r>
        <w:t xml:space="preserve">11.5 Trust, Safety &amp; Explainability</w:t>
      </w:r>
    </w:p>
    <w:p>
      <w:pPr>
        <w:pStyle w:val="ListParagraph"/>
        <w:numPr>
          <w:ilvl w:val="0"/>
          <w:numId w:val="2"/>
        </w:numPr>
        <w:spacing w:after="60"/>
      </w:pPr>
      <w:r>
        <w:t xml:space="preserve">Full audit trail per answer — every generation logs exactly which sources were retrieved and used, available for later review or compliance</w:t>
      </w:r>
    </w:p>
    <w:p>
      <w:pPr>
        <w:pStyle w:val="ListParagraph"/>
        <w:numPr>
          <w:ilvl w:val="0"/>
          <w:numId w:val="2"/>
        </w:numPr>
        <w:spacing w:after="60"/>
      </w:pPr>
      <w:r>
        <w:t xml:space="preserve">Explainability panel — shows which retrieved passages most influenced the final answer, not just that they were retrieved</w:t>
      </w:r>
    </w:p>
    <w:p>
      <w:pPr>
        <w:pStyle w:val="ListParagraph"/>
        <w:numPr>
          <w:ilvl w:val="0"/>
          <w:numId w:val="2"/>
        </w:numPr>
        <w:spacing w:after="60"/>
      </w:pPr>
      <w:r>
        <w:t xml:space="preserve">Human-lawyer escalation — a button to route a genuinely high-stakes or low-confidence query to a real practicing lawyer, rather than leaving the user with an uncertain AI answer</w:t>
      </w:r>
    </w:p>
    <w:p>
      <w:pPr>
        <w:pStyle w:val="ListParagraph"/>
        <w:numPr>
          <w:ilvl w:val="0"/>
          <w:numId w:val="2"/>
        </w:numPr>
        <w:spacing w:after="60"/>
      </w:pPr>
      <w:r>
        <w:t xml:space="preserve">Periodic human editorial review flag on high-stakes categories (criminal law, family law) — marks whether an answer category has been reviewed by a human legal editor recently</w:t>
      </w:r>
    </w:p>
    <w:p>
      <w:pPr>
        <w:pStyle w:val="Heading2"/>
        <w:spacing w:after="150" w:before="300"/>
      </w:pPr>
      <w:r>
        <w:t xml:space="preserve">11.6 Personalization</w:t>
      </w:r>
    </w:p>
    <w:p>
      <w:pPr>
        <w:pStyle w:val="ListParagraph"/>
        <w:numPr>
          <w:ilvl w:val="0"/>
          <w:numId w:val="2"/>
        </w:numPr>
        <w:spacing w:after="60"/>
      </w:pPr>
      <w:r>
        <w:t xml:space="preserve">Practice-area adaptation — the system learns which areas of law a user researches most and prioritizes relevant sources without being asked</w:t>
      </w:r>
    </w:p>
    <w:p>
      <w:pPr>
        <w:pStyle w:val="ListParagraph"/>
        <w:numPr>
          <w:ilvl w:val="0"/>
          <w:numId w:val="2"/>
        </w:numPr>
        <w:spacing w:after="60"/>
      </w:pPr>
      <w:r>
        <w:t xml:space="preserve">Saved query templates for recurring research tasks (e.g., a standard tenancy-dispute research flow)</w:t>
      </w:r>
    </w:p>
    <w:p>
      <w:pPr>
        <w:pStyle w:val="ListParagraph"/>
        <w:numPr>
          <w:ilvl w:val="0"/>
          <w:numId w:val="2"/>
        </w:numPr>
        <w:spacing w:after="60"/>
      </w:pPr>
      <w:r>
        <w:t xml:space="preserve">Personal glossary — click any legal term for an inline plain-language definition, automatically saved to the user's own glossary for later reference</w:t>
      </w:r>
    </w:p>
    <w:p>
      <w:pPr>
        <w:pStyle w:val="Heading2"/>
        <w:spacing w:after="150" w:before="300"/>
      </w:pPr>
      <w:r>
        <w:t xml:space="preserve">11.7 Search &amp; Discovery</w:t>
      </w:r>
    </w:p>
    <w:p>
      <w:pPr>
        <w:pStyle w:val="ListParagraph"/>
        <w:numPr>
          <w:ilvl w:val="0"/>
          <w:numId w:val="2"/>
        </w:numPr>
        <w:spacing w:after="60"/>
      </w:pPr>
      <w:r>
        <w:t xml:space="preserve">Natural-language statute search that tolerates colloquial phrasing, not just exact legal terminology</w:t>
      </w:r>
    </w:p>
    <w:p>
      <w:pPr>
        <w:pStyle w:val="ListParagraph"/>
        <w:numPr>
          <w:ilvl w:val="0"/>
          <w:numId w:val="2"/>
        </w:numPr>
        <w:spacing w:after="60"/>
      </w:pPr>
      <w:r>
        <w:t xml:space="preserve">Advanced filters across court, year range, judge, and outcome (allowed / dismissed / remanded)</w:t>
      </w:r>
    </w:p>
    <w:p>
      <w:pPr>
        <w:pStyle w:val="ListParagraph"/>
        <w:numPr>
          <w:ilvl w:val="0"/>
          <w:numId w:val="2"/>
        </w:numPr>
        <w:spacing w:after="60"/>
      </w:pPr>
      <w:r>
        <w:t xml:space="preserve">“Find similar cases” — semantic similarity search from any single judgment to related ones</w:t>
      </w:r>
    </w:p>
    <w:p>
      <w:pPr>
        <w:pStyle w:val="Heading2"/>
        <w:spacing w:after="150" w:before="300"/>
      </w:pPr>
      <w:r>
        <w:t xml:space="preserve">11.8 Alerts &amp; Ongoing Monitoring</w:t>
      </w:r>
    </w:p>
    <w:p>
      <w:pPr>
        <w:pStyle w:val="ListParagraph"/>
        <w:numPr>
          <w:ilvl w:val="0"/>
          <w:numId w:val="2"/>
        </w:numPr>
        <w:spacing w:after="60"/>
      </w:pPr>
      <w:r>
        <w:t xml:space="preserve">Subscribe to a specific Act or section and get notified when it's amended or newly interpreted by a judgment</w:t>
      </w:r>
    </w:p>
    <w:p>
      <w:pPr>
        <w:pStyle w:val="ListParagraph"/>
        <w:numPr>
          <w:ilvl w:val="0"/>
          <w:numId w:val="2"/>
        </w:numPr>
        <w:spacing w:after="60"/>
      </w:pPr>
      <w:r>
        <w:t xml:space="preserve">Tracked-case hearing reminders, for users following an ongoing matter (longer-term / integration-dependent feature)</w:t>
      </w:r>
    </w:p>
    <w:p>
      <w:pPr>
        <w:pStyle w:val="Heading2"/>
        <w:spacing w:after="150" w:before="300"/>
      </w:pPr>
      <w:r>
        <w:t xml:space="preserve">11.9 Accessibility &amp; Reach</w:t>
      </w:r>
    </w:p>
    <w:p>
      <w:pPr>
        <w:pStyle w:val="ListParagraph"/>
        <w:numPr>
          <w:ilvl w:val="0"/>
          <w:numId w:val="2"/>
        </w:numPr>
        <w:spacing w:after="60"/>
      </w:pPr>
      <w:r>
        <w:t xml:space="preserve">Low-bandwidth / text-only mode — strips heavy assets for low-connectivity access, directly relevant to reaching users outside major Indian cities</w:t>
      </w:r>
    </w:p>
    <w:p>
      <w:pPr>
        <w:pStyle w:val="ListParagraph"/>
        <w:numPr>
          <w:ilvl w:val="0"/>
          <w:numId w:val="2"/>
        </w:numPr>
        <w:spacing w:after="60"/>
      </w:pPr>
      <w:r>
        <w:t xml:space="preserve">Text-to-speech for full answers, supporting visually impaired users</w:t>
      </w:r>
    </w:p>
    <w:p>
      <w:pPr>
        <w:pStyle w:val="ListParagraph"/>
        <w:numPr>
          <w:ilvl w:val="0"/>
          <w:numId w:val="2"/>
        </w:numPr>
        <w:spacing w:after="60"/>
      </w:pPr>
      <w:r>
        <w:t xml:space="preserve">Screen-reader-optimized reading order for citations and source panels</w:t>
      </w:r>
    </w:p>
    <w:p>
      <w:pPr>
        <w:pStyle w:val="Heading2"/>
        <w:spacing w:after="150" w:before="300"/>
      </w:pPr>
      <w:r>
        <w:t xml:space="preserve">11.10 Credibility &amp; Monetization</w:t>
      </w:r>
    </w:p>
    <w:p>
      <w:pPr>
        <w:pStyle w:val="ListParagraph"/>
        <w:numPr>
          <w:ilvl w:val="0"/>
          <w:numId w:val="2"/>
        </w:numPr>
        <w:spacing w:after="60"/>
      </w:pPr>
      <w:r>
        <w:t xml:space="preserve">“Last verified” timestamp shown transparently on every corpus source, tied directly to the pipeline_runs data already being logged</w:t>
      </w:r>
    </w:p>
    <w:p>
      <w:pPr>
        <w:pStyle w:val="ListParagraph"/>
        <w:numPr>
          <w:ilvl w:val="0"/>
          <w:numId w:val="2"/>
        </w:numPr>
        <w:spacing w:after="60"/>
      </w:pPr>
      <w:r>
        <w:t xml:space="preserve">Tiered plans (free / professional / firm) with feature gating rather than a single all-or-nothing paywall</w:t>
      </w:r>
    </w:p>
    <w:p>
      <w:pPr>
        <w:pStyle w:val="ListParagraph"/>
        <w:numPr>
          <w:ilvl w:val="0"/>
          <w:numId w:val="2"/>
        </w:numPr>
        <w:spacing w:after="60"/>
      </w:pPr>
      <w:r>
        <w:t xml:space="preserve">Pay-per-draft credits as a lightweight alternative to a subscription, for occasional users</w:t>
      </w:r>
    </w:p>
    <w:p>
      <w:pPr>
        <w:pStyle w:val="ListParagraph"/>
        <w:numPr>
          <w:ilvl w:val="0"/>
          <w:numId w:val="2"/>
        </w:numPr>
        <w:spacing w:after="60"/>
      </w:pPr>
      <w:r>
        <w:t xml:space="preserve">“Learn the Law” micro-explainers — short, standalone educational cards on common legal topics, separate from case-specific research, that build habitual return visits</w:t>
      </w:r>
    </w:p>
    <w:p>
      <w:r>
        <w:br w:type="page"/>
      </w:r>
    </w:p>
    <w:p>
      <w:pPr>
        <w:pStyle w:val="Heading1"/>
        <w:spacing w:after="200" w:before="400"/>
      </w:pPr>
      <w:r>
        <w:t xml:space="preserve">12. Second Extended Feature Set — Further Additions</w:t>
      </w:r>
    </w:p>
    <w:p>
      <w:pPr>
        <w:spacing w:after="120"/>
      </w:pPr>
      <w:r>
        <w:t xml:space="preserve">A further pass beyond Sections 8 and 11, focused on research tooling, analytics, compliance, and access-to-justice — the areas that separate a research assistant from something a working professional or an underserved user relies on daily. Nothing here duplicates Sections 8 or 11.</w:t>
      </w:r>
    </w:p>
    <w:p>
      <w:pPr>
        <w:pStyle w:val="Heading2"/>
        <w:spacing w:after="150" w:before="300"/>
      </w:pPr>
      <w:r>
        <w:t xml:space="preserve">12.1 Legal Research Tools &amp; Calculators</w:t>
      </w:r>
    </w:p>
    <w:p>
      <w:pPr>
        <w:pStyle w:val="ListParagraph"/>
        <w:numPr>
          <w:ilvl w:val="0"/>
          <w:numId w:val="2"/>
        </w:numPr>
        <w:spacing w:after="60"/>
      </w:pPr>
      <w:r>
        <w:t xml:space="preserve">Stamp duty and court fee calculator, state-aware since both vary significantly across India</w:t>
      </w:r>
    </w:p>
    <w:p>
      <w:pPr>
        <w:pStyle w:val="ListParagraph"/>
        <w:numPr>
          <w:ilvl w:val="0"/>
          <w:numId w:val="2"/>
        </w:numPr>
        <w:spacing w:after="60"/>
      </w:pPr>
      <w:r>
        <w:t xml:space="preserve">Limitation period calculator — auto-computes filing deadlines from case type and trigger date, flagging when a claim is at risk of being time-barred</w:t>
      </w:r>
    </w:p>
    <w:p>
      <w:pPr>
        <w:pStyle w:val="ListParagraph"/>
        <w:numPr>
          <w:ilvl w:val="0"/>
          <w:numId w:val="2"/>
        </w:numPr>
        <w:spacing w:after="60"/>
      </w:pPr>
      <w:r>
        <w:t xml:space="preserve">Comparable-outcome compensation estimator — surfaces damages/compensation ranges awarded in similar past cases, clearly framed as historical reference, not a guarantee</w:t>
      </w:r>
    </w:p>
    <w:p>
      <w:pPr>
        <w:pStyle w:val="ListParagraph"/>
        <w:numPr>
          <w:ilvl w:val="0"/>
          <w:numId w:val="2"/>
        </w:numPr>
        <w:spacing w:after="60"/>
      </w:pPr>
      <w:r>
        <w:t xml:space="preserve">Multi-format citation export (SCC, AIR, and other Indian citation styles) so research can be dropped directly into a real filing</w:t>
      </w:r>
    </w:p>
    <w:p>
      <w:pPr>
        <w:pStyle w:val="Heading2"/>
        <w:spacing w:after="150" w:before="300"/>
      </w:pPr>
      <w:r>
        <w:t xml:space="preserve">12.2 Judicial &amp; Litigation Analytics</w:t>
      </w:r>
    </w:p>
    <w:p>
      <w:pPr>
        <w:pStyle w:val="ListParagraph"/>
        <w:numPr>
          <w:ilvl w:val="0"/>
          <w:numId w:val="2"/>
        </w:numPr>
        <w:spacing w:after="60"/>
      </w:pPr>
      <w:r>
        <w:t xml:space="preserve">Judge-level ruling pattern analytics on a given issue type — explicitly framed as informational historical trend data, never as a prediction of any individual case's outcome</w:t>
      </w:r>
    </w:p>
    <w:p>
      <w:pPr>
        <w:pStyle w:val="ListParagraph"/>
        <w:numPr>
          <w:ilvl w:val="0"/>
          <w:numId w:val="2"/>
        </w:numPr>
        <w:spacing w:after="60"/>
      </w:pPr>
      <w:r>
        <w:t xml:space="preserve">Typical litigation timeline estimator for a given case type and court, based on historical case data</w:t>
      </w:r>
    </w:p>
    <w:p>
      <w:pPr>
        <w:pStyle w:val="ListParagraph"/>
        <w:numPr>
          <w:ilvl w:val="0"/>
          <w:numId w:val="2"/>
        </w:numPr>
        <w:spacing w:after="60"/>
      </w:pPr>
      <w:r>
        <w:t xml:space="preserve">Outcome trend statistics by case category (e.g., what share of similar petitions were allowed vs. dismissed historically) — again framed as aggregate reference information, with a clear disclaimer against treating it as case-specific prediction</w:t>
      </w:r>
    </w:p>
    <w:p>
      <w:pPr>
        <w:pStyle w:val="Heading2"/>
        <w:spacing w:after="150" w:before="300"/>
      </w:pPr>
      <w:r>
        <w:t xml:space="preserve">12.3 Compliance &amp; Business Law Module</w:t>
      </w:r>
    </w:p>
    <w:p>
      <w:pPr>
        <w:pStyle w:val="ListParagraph"/>
        <w:numPr>
          <w:ilvl w:val="0"/>
          <w:numId w:val="2"/>
        </w:numPr>
        <w:spacing w:after="60"/>
      </w:pPr>
      <w:r>
        <w:t xml:space="preserve">Regulatory compliance calendar for business users — ROC filings, GST deadlines, labor-law deadlines, with reminders</w:t>
      </w:r>
    </w:p>
    <w:p>
      <w:pPr>
        <w:pStyle w:val="ListParagraph"/>
        <w:numPr>
          <w:ilvl w:val="0"/>
          <w:numId w:val="2"/>
        </w:numPr>
        <w:spacing w:after="60"/>
      </w:pPr>
      <w:r>
        <w:t xml:space="preserve">Company filings/document tracker for startups and small businesses (board resolutions, statutory filings)</w:t>
      </w:r>
    </w:p>
    <w:p>
      <w:pPr>
        <w:pStyle w:val="Heading2"/>
        <w:spacing w:after="150" w:before="300"/>
      </w:pPr>
      <w:r>
        <w:t xml:space="preserve">12.4 Extended Collaboration &amp; Workflow</w:t>
      </w:r>
    </w:p>
    <w:p>
      <w:pPr>
        <w:pStyle w:val="ListParagraph"/>
        <w:numPr>
          <w:ilvl w:val="0"/>
          <w:numId w:val="2"/>
        </w:numPr>
        <w:spacing w:after="60"/>
      </w:pPr>
      <w:r>
        <w:t xml:space="preserve">Draft version history with a diff view across iterations in the Argument Builder — see exactly what changed between drafts</w:t>
      </w:r>
    </w:p>
    <w:p>
      <w:pPr>
        <w:pStyle w:val="ListParagraph"/>
        <w:numPr>
          <w:ilvl w:val="0"/>
          <w:numId w:val="2"/>
        </w:numPr>
        <w:spacing w:after="60"/>
      </w:pPr>
      <w:r>
        <w:t xml:space="preserve">Granular team permissions in firm workspaces — view-only, comment, and edit roles, rather than one flat access level</w:t>
      </w:r>
    </w:p>
    <w:p>
      <w:pPr>
        <w:pStyle w:val="ListParagraph"/>
        <w:numPr>
          <w:ilvl w:val="0"/>
          <w:numId w:val="2"/>
        </w:numPr>
        <w:spacing w:after="60"/>
      </w:pPr>
      <w:r>
        <w:t xml:space="preserve">Embeddable chat widget — a scoped, brand-matched version of LegalMindRag that a law firm can embed directly on its own website</w:t>
      </w:r>
    </w:p>
    <w:p>
      <w:pPr>
        <w:pStyle w:val="Heading2"/>
        <w:spacing w:after="150" w:before="300"/>
      </w:pPr>
      <w:r>
        <w:t xml:space="preserve">12.5 Privacy-First Modes</w:t>
      </w:r>
    </w:p>
    <w:p>
      <w:pPr>
        <w:pStyle w:val="ListParagraph"/>
        <w:numPr>
          <w:ilvl w:val="0"/>
          <w:numId w:val="2"/>
        </w:numPr>
        <w:spacing w:after="60"/>
      </w:pPr>
      <w:r>
        <w:t xml:space="preserve">Anonymous/ephemeral query mode — no logging or saved history, for sensitive personal questions (domestic, criminal, or family matters) where a user may not want a permanent record</w:t>
      </w:r>
    </w:p>
    <w:p>
      <w:pPr>
        <w:pStyle w:val="ListParagraph"/>
        <w:numPr>
          <w:ilvl w:val="0"/>
          <w:numId w:val="2"/>
        </w:numPr>
        <w:spacing w:after="60"/>
      </w:pPr>
      <w:r>
        <w:t xml:space="preserve">End-to-end encrypted document uploads for sensitive case files, separate from standard storage encryption</w:t>
      </w:r>
    </w:p>
    <w:p>
      <w:pPr>
        <w:pStyle w:val="Heading2"/>
        <w:spacing w:after="150" w:before="300"/>
      </w:pPr>
      <w:r>
        <w:t xml:space="preserve">12.6 Community &amp; Access to Justice</w:t>
      </w:r>
    </w:p>
    <w:p>
      <w:pPr>
        <w:pStyle w:val="ListParagraph"/>
        <w:numPr>
          <w:ilvl w:val="0"/>
          <w:numId w:val="2"/>
        </w:numPr>
        <w:spacing w:after="60"/>
      </w:pPr>
      <w:r>
        <w:t xml:space="preserve">Verified-lawyer Q&amp;A forum, distinct from the AI chat — community-driven answers from credential-checked practicing lawyers</w:t>
      </w:r>
    </w:p>
    <w:p>
      <w:pPr>
        <w:pStyle w:val="ListParagraph"/>
        <w:numPr>
          <w:ilvl w:val="0"/>
          <w:numId w:val="2"/>
        </w:numPr>
        <w:spacing w:after="60"/>
      </w:pPr>
      <w:r>
        <w:t xml:space="preserve">Pro-bono/legal-aid matching — connects users who can't afford representation with legal aid organizations</w:t>
      </w:r>
    </w:p>
    <w:p>
      <w:pPr>
        <w:pStyle w:val="ListParagraph"/>
        <w:numPr>
          <w:ilvl w:val="0"/>
          <w:numId w:val="2"/>
        </w:numPr>
        <w:spacing w:after="60"/>
      </w:pPr>
      <w:r>
        <w:t xml:space="preserve">Vetted legal document template marketplace — rental agreements, wills, powers of attorney, and similar common documents</w:t>
      </w:r>
    </w:p>
    <w:p>
      <w:pPr>
        <w:pStyle w:val="Heading2"/>
        <w:spacing w:after="150" w:before="300"/>
      </w:pPr>
      <w:r>
        <w:t xml:space="preserve">12.7 Offline &amp; Resilience</w:t>
      </w:r>
    </w:p>
    <w:p>
      <w:pPr>
        <w:pStyle w:val="ListParagraph"/>
        <w:numPr>
          <w:ilvl w:val="0"/>
          <w:numId w:val="2"/>
        </w:numPr>
        <w:spacing w:after="60"/>
      </w:pPr>
      <w:r>
        <w:t xml:space="preserve">Progressive Web App with offline access to saved matters and bookmarked judgments — directly relevant given inconsistent connectivity in much of India</w:t>
      </w:r>
    </w:p>
    <w:p>
      <w:pPr>
        <w:pStyle w:val="ListParagraph"/>
        <w:numPr>
          <w:ilvl w:val="0"/>
          <w:numId w:val="2"/>
        </w:numPr>
        <w:spacing w:after="60"/>
      </w:pPr>
      <w:r>
        <w:t xml:space="preserve">Scheduled digest emails — a weekly summary of activity on a user's tracked Acts and saved matters</w:t>
      </w:r>
    </w:p>
    <w:p>
      <w:r>
        <w:br w:type="page"/>
      </w:r>
    </w:p>
    <w:p>
      <w:pPr>
        <w:pStyle w:val="Heading1"/>
        <w:spacing w:after="200" w:before="400"/>
      </w:pPr>
      <w:r>
        <w:t xml:space="preserve">13. Third Extended Feature Set — Further Additions</w:t>
      </w:r>
    </w:p>
    <w:p>
      <w:pPr>
        <w:spacing w:after="120"/>
      </w:pPr>
      <w:r>
        <w:t xml:space="preserve">A further pass beyond Sections 8, 11, and 12 — covering integrations, litigation support, courtroom/field use, an academic track, and quality/integrity tooling. Nothing here duplicates earlier sections.</w:t>
      </w:r>
    </w:p>
    <w:p>
      <w:pPr>
        <w:pStyle w:val="Heading2"/>
        <w:spacing w:after="150" w:before="300"/>
      </w:pPr>
      <w:r>
        <w:t xml:space="preserve">13.1 Extensions &amp; Integrations</w:t>
      </w:r>
    </w:p>
    <w:p>
      <w:pPr>
        <w:pStyle w:val="ListParagraph"/>
        <w:numPr>
          <w:ilvl w:val="0"/>
          <w:numId w:val="2"/>
        </w:numPr>
        <w:spacing w:after="60"/>
      </w:pPr>
      <w:r>
        <w:t xml:space="preserve">Browser extension — highlight any legal text on any website and get instant contextual analysis without leaving the page</w:t>
      </w:r>
    </w:p>
    <w:p>
      <w:pPr>
        <w:pStyle w:val="ListParagraph"/>
        <w:numPr>
          <w:ilvl w:val="0"/>
          <w:numId w:val="2"/>
        </w:numPr>
        <w:spacing w:after="60"/>
      </w:pPr>
      <w:r>
        <w:t xml:space="preserve">Developer portal with interactive API documentation and usage-based rate plans, building out the raw API access point from Section 8.4 into something third parties can actually integrate against</w:t>
      </w:r>
    </w:p>
    <w:p>
      <w:pPr>
        <w:pStyle w:val="ListParagraph"/>
        <w:numPr>
          <w:ilvl w:val="0"/>
          <w:numId w:val="2"/>
        </w:numPr>
        <w:spacing w:after="60"/>
      </w:pPr>
      <w:r>
        <w:t xml:space="preserve">Government scheme and legal-rights eligibility matcher — a user describes their situation and the system checks eligibility against applicable government legal-aid schemes</w:t>
      </w:r>
    </w:p>
    <w:p>
      <w:pPr>
        <w:pStyle w:val="Heading2"/>
        <w:spacing w:after="150" w:before="300"/>
      </w:pPr>
      <w:r>
        <w:t xml:space="preserve">13.2 Litigation Support Tools</w:t>
      </w:r>
    </w:p>
    <w:p>
      <w:pPr>
        <w:pStyle w:val="ListParagraph"/>
        <w:numPr>
          <w:ilvl w:val="0"/>
          <w:numId w:val="2"/>
        </w:numPr>
        <w:spacing w:after="60"/>
      </w:pPr>
      <w:r>
        <w:t xml:space="preserve">E-discovery bulk document analysis — upload large batches of documents and get them auto-categorized, with privileged or highly relevant material flagged</w:t>
      </w:r>
    </w:p>
    <w:p>
      <w:pPr>
        <w:pStyle w:val="ListParagraph"/>
        <w:numPr>
          <w:ilvl w:val="0"/>
          <w:numId w:val="2"/>
        </w:numPr>
        <w:spacing w:after="60"/>
      </w:pPr>
      <w:r>
        <w:t xml:space="preserve">Multi-party dispute mapping — a visual map of parties, claims, and relationships for complex, multi-party litigation</w:t>
      </w:r>
    </w:p>
    <w:p>
      <w:pPr>
        <w:pStyle w:val="ListParagraph"/>
        <w:numPr>
          <w:ilvl w:val="0"/>
          <w:numId w:val="2"/>
        </w:numPr>
        <w:spacing w:after="60"/>
      </w:pPr>
      <w:r>
        <w:t xml:space="preserve">Witness statement consistency checker — cross-checks multiple statements for contradictions</w:t>
      </w:r>
    </w:p>
    <w:p>
      <w:pPr>
        <w:pStyle w:val="ListParagraph"/>
        <w:numPr>
          <w:ilvl w:val="0"/>
          <w:numId w:val="2"/>
        </w:numPr>
        <w:spacing w:after="60"/>
      </w:pPr>
      <w:r>
        <w:t xml:space="preserve">Negotiation/settlement simulator — models likely opposing-counsel arguments to help prepare a negotiating position</w:t>
      </w:r>
    </w:p>
    <w:p>
      <w:pPr>
        <w:pStyle w:val="Heading2"/>
        <w:spacing w:after="150" w:before="300"/>
      </w:pPr>
      <w:r>
        <w:t xml:space="preserve">13.3 Courtroom &amp; Field Use</w:t>
      </w:r>
    </w:p>
    <w:p>
      <w:pPr>
        <w:pStyle w:val="ListParagraph"/>
        <w:numPr>
          <w:ilvl w:val="0"/>
          <w:numId w:val="2"/>
        </w:numPr>
        <w:spacing w:after="60"/>
      </w:pPr>
      <w:r>
        <w:t xml:space="preserve">Courtroom mode — large-text, low-distraction, offline-capable quick-reference view built for actual use during a live hearing, not just desk research</w:t>
      </w:r>
    </w:p>
    <w:p>
      <w:pPr>
        <w:pStyle w:val="ListParagraph"/>
        <w:numPr>
          <w:ilvl w:val="0"/>
          <w:numId w:val="2"/>
        </w:numPr>
        <w:spacing w:after="60"/>
      </w:pPr>
      <w:r>
        <w:t xml:space="preserve">Case diary integrated with the calendar — a personal, chronological log of a matter tied to its hearing dates</w:t>
      </w:r>
    </w:p>
    <w:p>
      <w:pPr>
        <w:pStyle w:val="Heading2"/>
        <w:spacing w:after="150" w:before="300"/>
      </w:pPr>
      <w:r>
        <w:t xml:space="preserve">13.4 Academic &amp; Learning Track</w:t>
      </w:r>
    </w:p>
    <w:p>
      <w:pPr>
        <w:pStyle w:val="ListParagraph"/>
        <w:numPr>
          <w:ilvl w:val="0"/>
          <w:numId w:val="2"/>
        </w:numPr>
        <w:spacing w:after="60"/>
      </w:pPr>
      <w:r>
        <w:t xml:space="preserve">Law student mode — auto-generated flashcards from case law, aimed at CLAT/judiciary exam preparation</w:t>
      </w:r>
    </w:p>
    <w:p>
      <w:pPr>
        <w:pStyle w:val="ListParagraph"/>
        <w:numPr>
          <w:ilvl w:val="0"/>
          <w:numId w:val="2"/>
        </w:numPr>
        <w:spacing w:after="60"/>
      </w:pPr>
      <w:r>
        <w:t xml:space="preserve">Mock argument simulator — students practice against AI-generated counter-arguments in a low-stakes setting</w:t>
      </w:r>
    </w:p>
    <w:p>
      <w:pPr>
        <w:pStyle w:val="ListParagraph"/>
        <w:numPr>
          <w:ilvl w:val="0"/>
          <w:numId w:val="2"/>
        </w:numPr>
        <w:spacing w:after="60"/>
      </w:pPr>
      <w:r>
        <w:t xml:space="preserve">Academic citation network export, formatted for use in research papers</w:t>
      </w:r>
    </w:p>
    <w:p>
      <w:pPr>
        <w:pStyle w:val="Heading2"/>
        <w:spacing w:after="150" w:before="300"/>
      </w:pPr>
      <w:r>
        <w:t xml:space="preserve">13.5 Quality &amp; Integrity Tools</w:t>
      </w:r>
    </w:p>
    <w:p>
      <w:pPr>
        <w:pStyle w:val="ListParagraph"/>
        <w:numPr>
          <w:ilvl w:val="0"/>
          <w:numId w:val="2"/>
        </w:numPr>
        <w:spacing w:after="60"/>
      </w:pPr>
      <w:r>
        <w:t xml:space="preserve">Draft originality/plagiarism checker before filing</w:t>
      </w:r>
    </w:p>
    <w:p>
      <w:pPr>
        <w:pStyle w:val="ListParagraph"/>
        <w:numPr>
          <w:ilvl w:val="0"/>
          <w:numId w:val="2"/>
        </w:numPr>
        <w:spacing w:after="60"/>
      </w:pPr>
      <w:r>
        <w:t xml:space="preserve">Tone and formality checker for legal correspondence drafts, flagging language that reads as inflammatory or under-formal for the context</w:t>
      </w:r>
    </w:p>
    <w:p>
      <w:pPr>
        <w:pStyle w:val="Heading2"/>
        <w:spacing w:after="150" w:before="300"/>
      </w:pPr>
      <w:r>
        <w:t xml:space="preserve">13.6 Localization &amp; Reach</w:t>
      </w:r>
    </w:p>
    <w:p>
      <w:pPr>
        <w:pStyle w:val="ListParagraph"/>
        <w:numPr>
          <w:ilvl w:val="0"/>
          <w:numId w:val="2"/>
        </w:numPr>
        <w:spacing w:after="60"/>
      </w:pPr>
      <w:r>
        <w:t xml:space="preserve">Full UI localization into major Indian languages (Hindi, Tamil, Bengali, Marathi, and others) — distinct from the voice-input feature in Section 8.3, this covers the entire interface, not just query input</w:t>
      </w:r>
    </w:p>
    <w:p>
      <w:pPr>
        <w:pStyle w:val="ListParagraph"/>
        <w:numPr>
          <w:ilvl w:val="0"/>
          <w:numId w:val="2"/>
        </w:numPr>
        <w:spacing w:after="60"/>
      </w:pPr>
      <w:r>
        <w:t xml:space="preserve">Legal news aggregator with AI-generated summaries, tied automatically to a user's saved practice areas</w:t>
      </w:r>
    </w:p>
    <w:p>
      <w:r>
        <w:br w:type="page"/>
      </w:r>
    </w:p>
    <w:p>
      <w:pPr>
        <w:pStyle w:val="Heading1"/>
        <w:spacing w:after="200" w:before="400"/>
      </w:pPr>
      <w:r>
        <w:t xml:space="preserve">14. Fourth Extended Feature Set — Further Additions</w:t>
      </w:r>
    </w:p>
    <w:p>
      <w:pPr>
        <w:spacing w:after="120"/>
      </w:pPr>
      <w:r>
        <w:t xml:space="preserve">A further pass beyond Sections 8, 11, 12, and 13 — this one focused on practice management, client experience, and specialist AI behavior, which is where a tool shifts from “research assistant” to something a firm runs its actual practice on. Nothing here duplicates earlier sections.</w:t>
      </w:r>
    </w:p>
    <w:p>
      <w:pPr>
        <w:pStyle w:val="Heading2"/>
        <w:spacing w:after="150" w:before="300"/>
      </w:pPr>
      <w:r>
        <w:t xml:space="preserve">14.1 Specialist AI Modes</w:t>
      </w:r>
    </w:p>
    <w:p>
      <w:pPr>
        <w:pStyle w:val="ListParagraph"/>
        <w:numPr>
          <w:ilvl w:val="0"/>
          <w:numId w:val="2"/>
        </w:numPr>
        <w:spacing w:after="60"/>
      </w:pPr>
      <w:r>
        <w:t xml:space="preserve">Domain-specialist personas — Criminal, Corporate, IP, Family, and Tax modes, each tuned with domain-specific terminology and retrieval weighting rather than one generic mode for every query type</w:t>
      </w:r>
    </w:p>
    <w:p>
      <w:pPr>
        <w:pStyle w:val="ListParagraph"/>
        <w:numPr>
          <w:ilvl w:val="0"/>
          <w:numId w:val="2"/>
        </w:numPr>
        <w:spacing w:after="60"/>
      </w:pPr>
      <w:r>
        <w:t xml:space="preserve">Cross-border comparison mode — compares an Indian legal position against UK/US/other jurisdiction equivalents, aimed at NRI users and cross-border matters</w:t>
      </w:r>
    </w:p>
    <w:p>
      <w:pPr>
        <w:pStyle w:val="Heading2"/>
        <w:spacing w:after="150" w:before="300"/>
      </w:pPr>
      <w:r>
        <w:t xml:space="preserve">14.2 Practice Management (Firm Operations)</w:t>
      </w:r>
    </w:p>
    <w:p>
      <w:pPr>
        <w:pStyle w:val="ListParagraph"/>
        <w:numPr>
          <w:ilvl w:val="0"/>
          <w:numId w:val="2"/>
        </w:numPr>
        <w:spacing w:after="60"/>
      </w:pPr>
      <w:r>
        <w:t xml:space="preserve">Time-tracking tied directly to chat sessions and matters, exportable for client billing</w:t>
      </w:r>
    </w:p>
    <w:p>
      <w:pPr>
        <w:pStyle w:val="ListParagraph"/>
        <w:numPr>
          <w:ilvl w:val="0"/>
          <w:numId w:val="2"/>
        </w:numPr>
        <w:spacing w:after="60"/>
      </w:pPr>
      <w:r>
        <w:t xml:space="preserve">Conflict-of-interest checker — cross-references a new matter or client against the firm's existing client list before intake is accepted</w:t>
      </w:r>
    </w:p>
    <w:p>
      <w:pPr>
        <w:pStyle w:val="ListParagraph"/>
        <w:numPr>
          <w:ilvl w:val="0"/>
          <w:numId w:val="2"/>
        </w:numPr>
        <w:spacing w:after="60"/>
      </w:pPr>
      <w:r>
        <w:t xml:space="preserve">Retainer and matter budget tracker</w:t>
      </w:r>
    </w:p>
    <w:p>
      <w:pPr>
        <w:pStyle w:val="ListParagraph"/>
        <w:numPr>
          <w:ilvl w:val="0"/>
          <w:numId w:val="2"/>
        </w:numPr>
        <w:spacing w:after="60"/>
      </w:pPr>
      <w:r>
        <w:t xml:space="preserve">Legal spend analytics for corporate legal departments managing outside counsel</w:t>
      </w:r>
    </w:p>
    <w:p>
      <w:pPr>
        <w:pStyle w:val="Heading2"/>
        <w:spacing w:after="150" w:before="300"/>
      </w:pPr>
      <w:r>
        <w:t xml:space="preserve">14.3 Client Experience</w:t>
      </w:r>
    </w:p>
    <w:p>
      <w:pPr>
        <w:pStyle w:val="ListParagraph"/>
        <w:numPr>
          <w:ilvl w:val="0"/>
          <w:numId w:val="2"/>
        </w:numPr>
        <w:spacing w:after="60"/>
      </w:pPr>
      <w:r>
        <w:t xml:space="preserve">Secure, simplified client portal — a separate view where clients can check case status without full access to the lawyer's workspace</w:t>
      </w:r>
    </w:p>
    <w:p>
      <w:pPr>
        <w:pStyle w:val="ListParagraph"/>
        <w:numPr>
          <w:ilvl w:val="0"/>
          <w:numId w:val="2"/>
        </w:numPr>
        <w:spacing w:after="60"/>
      </w:pPr>
      <w:r>
        <w:t xml:space="preserve">Client intake form builder with automatic categorization into the right practice area</w:t>
      </w:r>
    </w:p>
    <w:p>
      <w:pPr>
        <w:pStyle w:val="ListParagraph"/>
        <w:numPr>
          <w:ilvl w:val="0"/>
          <w:numId w:val="2"/>
        </w:numPr>
        <w:spacing w:after="60"/>
      </w:pPr>
      <w:r>
        <w:t xml:space="preserve">E-signature integration for finalized drafts</w:t>
      </w:r>
    </w:p>
    <w:p>
      <w:pPr>
        <w:pStyle w:val="Heading2"/>
        <w:spacing w:after="150" w:before="300"/>
      </w:pPr>
      <w:r>
        <w:t xml:space="preserve">14.4 Document Annotation &amp; Research Workflow</w:t>
      </w:r>
    </w:p>
    <w:p>
      <w:pPr>
        <w:pStyle w:val="ListParagraph"/>
        <w:numPr>
          <w:ilvl w:val="0"/>
          <w:numId w:val="2"/>
        </w:numPr>
        <w:spacing w:after="60"/>
      </w:pPr>
      <w:r>
        <w:t xml:space="preserve">In-viewer annotation and highlighting on source documents, saved per user and per matter</w:t>
      </w:r>
    </w:p>
    <w:p>
      <w:pPr>
        <w:pStyle w:val="ListParagraph"/>
        <w:numPr>
          <w:ilvl w:val="0"/>
          <w:numId w:val="2"/>
        </w:numPr>
        <w:spacing w:after="60"/>
      </w:pPr>
      <w:r>
        <w:t xml:space="preserve">Automated legal research memo generator — formats findings into a standard memo structure (Facts, Issues, Analysis, Conclusion)</w:t>
      </w:r>
    </w:p>
    <w:p>
      <w:pPr>
        <w:pStyle w:val="ListParagraph"/>
        <w:numPr>
          <w:ilvl w:val="0"/>
          <w:numId w:val="2"/>
        </w:numPr>
        <w:spacing w:after="60"/>
      </w:pPr>
      <w:r>
        <w:t xml:space="preserve">AI-assisted deposition/cross-examination question preparation drawn from case facts</w:t>
      </w:r>
    </w:p>
    <w:p>
      <w:pPr>
        <w:pStyle w:val="Heading2"/>
        <w:spacing w:after="150" w:before="300"/>
      </w:pPr>
      <w:r>
        <w:t xml:space="preserve">14.5 Enterprise Trust &amp; Security</w:t>
      </w:r>
    </w:p>
    <w:p>
      <w:pPr>
        <w:pStyle w:val="ListParagraph"/>
        <w:numPr>
          <w:ilvl w:val="0"/>
          <w:numId w:val="2"/>
        </w:numPr>
        <w:spacing w:after="60"/>
      </w:pPr>
      <w:r>
        <w:t xml:space="preserve">Hardware-key/MFA support for high-security enterprise accounts</w:t>
      </w:r>
    </w:p>
    <w:p>
      <w:pPr>
        <w:pStyle w:val="ListParagraph"/>
        <w:numPr>
          <w:ilvl w:val="0"/>
          <w:numId w:val="2"/>
        </w:numPr>
        <w:spacing w:after="60"/>
      </w:pPr>
      <w:r>
        <w:t xml:space="preserve">Legal risk heatmap — a visual dashboard scoring risk levels across an organization's full contract portfolio</w:t>
      </w:r>
    </w:p>
    <w:p>
      <w:pPr>
        <w:spacing w:after="120"/>
      </w:pPr>
      <w:r>
        <w:rPr>
          <w:i/>
          <w:iCs/>
          <w:color w:val="555555"/>
        </w:rPr>
        <w:t xml:space="preserve">A note worth being direct about: this is the fourth consecutive feature pass. The realistic, professional feature space for this product has now been covered in real depth across Sections 8 and 11–14. Further rounds will increasingly mean thinner variations on what's already listed rather than genuinely new capability. The highest-value next step from here is prioritization — deciding what actually ships first — not further expansion.</w:t>
      </w:r>
    </w:p>
    <w:p>
      <w:r>
        <w:br w:type="page"/>
      </w:r>
    </w:p>
    <w:p>
      <w:pPr>
        <w:pStyle w:val="Heading1"/>
        <w:spacing w:after="200" w:before="400"/>
      </w:pPr>
      <w:r>
        <w:t xml:space="preserve">15. Fifth Extended Feature Set — Further Additions</w:t>
      </w:r>
    </w:p>
    <w:p>
      <w:pPr>
        <w:spacing w:after="120"/>
      </w:pPr>
      <w:r>
        <w:t xml:space="preserve">A further pass beyond Sections 8, 11, 12, 13, and 14 — covering field/mobile capture, governance, deadline logistics, firm branding, and community moderation. Nothing here duplicates earlier sections.</w:t>
      </w:r>
    </w:p>
    <w:p>
      <w:pPr>
        <w:pStyle w:val="Heading2"/>
        <w:spacing w:after="150" w:before="300"/>
      </w:pPr>
      <w:r>
        <w:t xml:space="preserve">15.1 Field &amp; Mobile Capture</w:t>
      </w:r>
    </w:p>
    <w:p>
      <w:pPr>
        <w:pStyle w:val="ListParagraph"/>
        <w:numPr>
          <w:ilvl w:val="0"/>
          <w:numId w:val="2"/>
        </w:numPr>
        <w:spacing w:after="60"/>
      </w:pPr>
      <w:r>
        <w:t xml:space="preserve">Mobile camera capture with instant OCR and analysis for physical documents encountered in the field — at a court, a client meeting, or a police station</w:t>
      </w:r>
    </w:p>
    <w:p>
      <w:pPr>
        <w:pStyle w:val="ListParagraph"/>
        <w:numPr>
          <w:ilvl w:val="0"/>
          <w:numId w:val="2"/>
        </w:numPr>
        <w:spacing w:after="60"/>
      </w:pPr>
      <w:r>
        <w:t xml:space="preserve">Geo-based nearest court/tribunal finder</w:t>
      </w:r>
    </w:p>
    <w:p>
      <w:pPr>
        <w:pStyle w:val="Heading2"/>
        <w:spacing w:after="150" w:before="300"/>
      </w:pPr>
      <w:r>
        <w:t xml:space="preserve">15.2 Trust, Governance &amp; Accountability</w:t>
      </w:r>
    </w:p>
    <w:p>
      <w:pPr>
        <w:pStyle w:val="ListParagraph"/>
        <w:numPr>
          <w:ilvl w:val="0"/>
          <w:numId w:val="2"/>
        </w:numPr>
        <w:spacing w:after="60"/>
      </w:pPr>
      <w:r>
        <w:t xml:space="preserve">Answer/model versioning — every generated answer is tagged with the exact model version and corpus version that produced it, for accountability and reproducibility</w:t>
      </w:r>
    </w:p>
    <w:p>
      <w:pPr>
        <w:pStyle w:val="ListParagraph"/>
        <w:numPr>
          <w:ilvl w:val="0"/>
          <w:numId w:val="2"/>
        </w:numPr>
        <w:spacing w:after="60"/>
      </w:pPr>
      <w:r>
        <w:t xml:space="preserve">Public uptime/status page, standard for enterprise trust in any serious SaaS product</w:t>
      </w:r>
    </w:p>
    <w:p>
      <w:pPr>
        <w:pStyle w:val="ListParagraph"/>
        <w:numPr>
          <w:ilvl w:val="0"/>
          <w:numId w:val="2"/>
        </w:numPr>
        <w:spacing w:after="60"/>
      </w:pPr>
      <w:r>
        <w:t xml:space="preserve">Full data export/portability tool — a DPDPA-aligned “export everything” option for a user's own account data</w:t>
      </w:r>
    </w:p>
    <w:p>
      <w:pPr>
        <w:pStyle w:val="Heading2"/>
        <w:spacing w:after="150" w:before="300"/>
      </w:pPr>
      <w:r>
        <w:t xml:space="preserve">15.3 Scheduling &amp; Deadlines</w:t>
      </w:r>
    </w:p>
    <w:p>
      <w:pPr>
        <w:pStyle w:val="ListParagraph"/>
        <w:numPr>
          <w:ilvl w:val="0"/>
          <w:numId w:val="2"/>
        </w:numPr>
        <w:spacing w:after="60"/>
      </w:pPr>
      <w:r>
        <w:t xml:space="preserve">Court holiday calendar integration — deadline calculators (Section 12.1) account for actual court holidays, not just calendar days</w:t>
      </w:r>
    </w:p>
    <w:p>
      <w:pPr>
        <w:pStyle w:val="ListParagraph"/>
        <w:numPr>
          <w:ilvl w:val="0"/>
          <w:numId w:val="2"/>
        </w:numPr>
        <w:spacing w:after="60"/>
      </w:pPr>
      <w:r>
        <w:t xml:space="preserve">Click-to-call integration with a legal helpline, surfaced directly on a low-confidence or urgent query</w:t>
      </w:r>
    </w:p>
    <w:p>
      <w:pPr>
        <w:pStyle w:val="Heading2"/>
        <w:spacing w:after="150" w:before="300"/>
      </w:pPr>
      <w:r>
        <w:t xml:space="preserve">15.4 Firm Branding &amp; Growth</w:t>
      </w:r>
    </w:p>
    <w:p>
      <w:pPr>
        <w:pStyle w:val="ListParagraph"/>
        <w:numPr>
          <w:ilvl w:val="0"/>
          <w:numId w:val="2"/>
        </w:numPr>
        <w:spacing w:after="60"/>
      </w:pPr>
      <w:r>
        <w:t xml:space="preserve">Custom watermarking and branding on exported PDFs and drafts for firm accounts</w:t>
      </w:r>
    </w:p>
    <w:p>
      <w:pPr>
        <w:pStyle w:val="ListParagraph"/>
        <w:numPr>
          <w:ilvl w:val="0"/>
          <w:numId w:val="2"/>
        </w:numPr>
        <w:spacing w:after="60"/>
      </w:pPr>
      <w:r>
        <w:t xml:space="preserve">Referral program for organic user growth</w:t>
      </w:r>
    </w:p>
    <w:p>
      <w:pPr>
        <w:pStyle w:val="ListParagraph"/>
        <w:numPr>
          <w:ilvl w:val="0"/>
          <w:numId w:val="2"/>
        </w:numPr>
        <w:spacing w:after="60"/>
      </w:pPr>
      <w:r>
        <w:t xml:space="preserve">In-app changelog/release notes, so users see the product actively improving over time</w:t>
      </w:r>
    </w:p>
    <w:p>
      <w:pPr>
        <w:pStyle w:val="Heading2"/>
        <w:spacing w:after="150" w:before="300"/>
      </w:pPr>
      <w:r>
        <w:t xml:space="preserve">15.5 Community Moderation</w:t>
      </w:r>
    </w:p>
    <w:p>
      <w:pPr>
        <w:pStyle w:val="ListParagraph"/>
        <w:numPr>
          <w:ilvl w:val="0"/>
          <w:numId w:val="2"/>
        </w:numPr>
        <w:spacing w:after="60"/>
      </w:pPr>
      <w:r>
        <w:t xml:space="preserve">Admin moderation dashboard for the verified-lawyer Q&amp;A forum introduced in Section 12.6 — flagging, review queues, and credential re-verification</w:t>
      </w:r>
    </w:p>
    <w:p>
      <w:pPr>
        <w:spacing w:before="400"/>
      </w:pPr>
      <w:r>
        <w:rPr>
          <w:i/>
          <w:iCs/>
          <w:color w:val="888888"/>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2026-08-08T16:51:49.560Z</dcterms:created>
  <dcterms:modified xsi:type="dcterms:W3CDTF">2026-08-08T16:51:49.560Z</dcterms:modified>
</cp:coreProperties>
</file>

<file path=docProps/custom.xml><?xml version="1.0" encoding="utf-8"?>
<Properties xmlns="http://schemas.openxmlformats.org/officeDocument/2006/custom-properties" xmlns:vt="http://schemas.openxmlformats.org/officeDocument/2006/docPropsVTypes"/>
</file>