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823" w:rsidRPr="001D5823" w:rsidRDefault="001D5823" w:rsidP="001D5823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1D5823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法学专科毕业论文题目</w:t>
      </w:r>
    </w:p>
    <w:p w:rsidR="001D5823" w:rsidRDefault="001D5823" w:rsidP="001D5823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论文题目是全文给读者和编辑和第一印象，文题的好坏对论文能否利用具有举足轻重的作用。一个好的护理论文题目应尽可能在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一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完整的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的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句子中囊括三个基本要素，即研究对象、处理方法和达到的指标，使读者和编辑对论文研究的内容一目了然。下面是小编整理近两年来的最新法学专科毕业论文题目，希望能够帮助到大家。</w:t>
      </w:r>
    </w:p>
    <w:p w:rsidR="001D5823" w:rsidRDefault="001D5823" w:rsidP="001D5823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Style w:val="a4"/>
          <w:rFonts w:ascii="Tahoma" w:hAnsi="Tahoma" w:cs="Tahoma"/>
          <w:color w:val="000000"/>
          <w:sz w:val="11"/>
          <w:szCs w:val="11"/>
        </w:rPr>
        <w:t xml:space="preserve">　　法学专科毕业论文题目</w:t>
      </w:r>
      <w:proofErr w:type="gramStart"/>
      <w:r>
        <w:rPr>
          <w:rStyle w:val="a4"/>
          <w:rFonts w:ascii="Tahoma" w:hAnsi="Tahoma" w:cs="Tahoma"/>
          <w:color w:val="000000"/>
          <w:sz w:val="11"/>
          <w:szCs w:val="11"/>
        </w:rPr>
        <w:t>一</w:t>
      </w:r>
      <w:proofErr w:type="gramEnd"/>
      <w:r>
        <w:rPr>
          <w:rStyle w:val="a4"/>
          <w:rFonts w:ascii="Tahoma" w:hAnsi="Tahoma" w:cs="Tahoma"/>
          <w:color w:val="000000"/>
          <w:sz w:val="11"/>
          <w:szCs w:val="11"/>
        </w:rPr>
        <w:t>：</w:t>
      </w:r>
    </w:p>
    <w:p w:rsidR="001D5823" w:rsidRDefault="001D5823" w:rsidP="001D5823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民法分则侵权责任编修订的主要问题及对策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中国民法典法人分类和非法人组织的立法构建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网络刑法知识转型与立法回应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论公司正义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认罪认罚从宽制度研究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中国参与国际气候治理的法律立场和策略：以气候正义为视角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刑事立法的法教义学反思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基于《刑法修正案（九）》的分析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“</w:t>
      </w:r>
      <w:r>
        <w:rPr>
          <w:rFonts w:ascii="Tahoma" w:hAnsi="Tahoma" w:cs="Tahoma"/>
          <w:color w:val="000000"/>
          <w:sz w:val="11"/>
          <w:szCs w:val="11"/>
        </w:rPr>
        <w:t>以审判为中心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的改革及其限度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审判中心主义的实质内涵与实现途径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“</w:t>
      </w:r>
      <w:r>
        <w:rPr>
          <w:rFonts w:ascii="Tahoma" w:hAnsi="Tahoma" w:cs="Tahoma"/>
          <w:color w:val="000000"/>
          <w:sz w:val="11"/>
          <w:szCs w:val="11"/>
        </w:rPr>
        <w:t>专车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类共享经济的规制路径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中国宪法上国家所有的规范含义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法官责任制度的三种模式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以审判为中心的刑事诉讼制度改革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以审判为中心的诉讼制度改革之若干思考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论土地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承包权与土地承包经营权的分离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从隐私到个人信息：利益再衡量的理论与制度安排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网络诽谤的争议问题探究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互联网金融风险规制路径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论以审判为中心的诉讼制度改革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民事案件受理制度的反思与重构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论中国法治评估的转型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社会治理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过度刑法化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的法哲学批判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论行政审批的分类改革与替代性制度建设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成年监护制度的现代转向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论环境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侵权原因行为的立法拓展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事实因果与刑法中的结果归责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论我国刑法不采取共犯从属性说及利弊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重复诉讼规制研究：兼论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一事不再理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审判中心与相关诉讼制度改革初探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专家辅助人制度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研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法教义学的基本立场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什么是法教义学：一个法哲学追问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论刑事庭审实质化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我国网络信息的政府治理机制研究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行贿犯罪执法困局及其对策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贪污受贿犯罪定罪量刑标准问题研究</w:t>
      </w:r>
    </w:p>
    <w:p w:rsidR="001D5823" w:rsidRDefault="001D5823" w:rsidP="001D5823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Style w:val="a4"/>
          <w:rFonts w:ascii="Tahoma" w:hAnsi="Tahoma" w:cs="Tahoma"/>
          <w:color w:val="000000"/>
          <w:sz w:val="11"/>
          <w:szCs w:val="11"/>
        </w:rPr>
        <w:t xml:space="preserve">　　法学专科毕业论文题目二：</w:t>
      </w:r>
    </w:p>
    <w:p w:rsidR="001D5823" w:rsidRDefault="001D5823" w:rsidP="001D5823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论我国司法体制的现代化改革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指导性案例法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源地位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再反思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行为无价值论与客观归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责理论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中共中央关于全面推进依法治国若干重大问题的决定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加快法治建设促进国家治理体系和治理能力现代化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两种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宪法解释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的概念分野与合宪性解释的可能性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“</w:t>
      </w:r>
      <w:r>
        <w:rPr>
          <w:rFonts w:ascii="Tahoma" w:hAnsi="Tahoma" w:cs="Tahoma"/>
          <w:color w:val="000000"/>
          <w:sz w:val="11"/>
          <w:szCs w:val="11"/>
        </w:rPr>
        <w:t>亲亲相隐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与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大义灭亲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的博弈：亲属豁免权的中国面相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检察环节刑事错案的成因及防治对策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论虚假诉讼：兼评我国第三人撤销诉讼实践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占有概念的二重性：事实与规范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负面清单管理模式与私法自治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商法机制中政府与市场的功能定位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政府与市场关系的法律调整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刑讯逼供的国家治理：</w:t>
      </w:r>
      <w:r>
        <w:rPr>
          <w:rFonts w:ascii="Tahoma" w:hAnsi="Tahoma" w:cs="Tahoma"/>
          <w:color w:val="000000"/>
          <w:sz w:val="11"/>
          <w:szCs w:val="11"/>
        </w:rPr>
        <w:t>1979-2013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再论人民法院审判权运行机制的构建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依法治国与推进国家治理现代化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土地发展权与土地增值收益的分配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资本制度变革下的资本法律责任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公司法修改的理性解读</w:t>
      </w:r>
    </w:p>
    <w:p w:rsidR="001D5823" w:rsidRPr="001D5823" w:rsidRDefault="001D5823" w:rsidP="001D58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55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公司法资本制度改革的逻辑与路径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基于商业实践视角的观察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56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法治与国家治理现代化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57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申诉机制的救济功能与信访制度改革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58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公共危机管理问责制中的归责原则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59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中国的影子银行风险及规制工具选择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60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目的正当性与比例原则的重构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61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民事诉讼诚实信用原则的司法适用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62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论行政立法参与权的权能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63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论生态文明建设的综合决策法律机制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64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论生态文明建设法律保障体系的构建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65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论生态文明建设与环境司法改革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66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论我国宪法劳动权的理论建构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67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也论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后让与担保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”--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与杨立新教授商榷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68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我国网络知识产权犯罪制裁体系检视与未来建构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69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审判管理理论体系的法理构架与体制机制创新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70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行政诉讼法修订基本问题之思考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71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刑事诉讼法实施中的若干问题研究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72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刑事证明标准中主客观要素的关系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73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共同犯罪的认定方法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74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第三人撤销之诉的</w:t>
      </w:r>
      <w:proofErr w:type="gramStart"/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原告适格</w:t>
      </w:r>
      <w:proofErr w:type="gramEnd"/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75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论法治中国的科学含义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76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宅基地使用权性质及农民居住权利之保障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77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司法机关依法独立行使职权研究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78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为职权主义辩护</w:t>
      </w:r>
    </w:p>
    <w:p w:rsidR="001D5823" w:rsidRPr="001D5823" w:rsidRDefault="001D5823" w:rsidP="001D5823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1D5823">
        <w:rPr>
          <w:rFonts w:ascii="Tahoma" w:eastAsia="宋体" w:hAnsi="Tahoma" w:cs="Tahoma"/>
          <w:b/>
          <w:bCs/>
          <w:color w:val="000000"/>
          <w:kern w:val="0"/>
          <w:sz w:val="11"/>
        </w:rPr>
        <w:t xml:space="preserve">　　法学专科毕业论文题目三：</w:t>
      </w:r>
    </w:p>
    <w:p w:rsidR="001D5823" w:rsidRPr="001D5823" w:rsidRDefault="001D5823" w:rsidP="001D5823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79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解困行政审批改革的新路径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80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非法证据排除程序再讨论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81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论诸法学流派对法律方法的理论支援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82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风险社会与变动中的刑法理论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83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刑法教义学的立场和方法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84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《刑事诉讼法》的核心观念及认同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85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论法律视域下社会公权力的内涵、构成及价值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86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论刑事司法中律师庭外言论的规制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87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消费者群体性损害赔偿诉讼的类型化分析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88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中国民事诉讼不宜实行非法证据排除规则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89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侦查监督制度的中国模式及其改革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90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深化改革背景下对司法行政化的遏制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91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法治社会建设论纲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92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法律人思维的二元论兼与苏力商榷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93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论继承法的修正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94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刑法应当理性应对网络谣言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对网络造谣司法解释的实证评估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95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法教义学的应用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96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宪法教义学初阶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97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环境侵权中的因果关系及其证明问题评析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98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信访法治化改革与完善研究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99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软法研究的多维思考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100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论</w:t>
      </w:r>
      <w:proofErr w:type="gramStart"/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疑</w:t>
      </w:r>
      <w:proofErr w:type="gramEnd"/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罪从无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101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民事诉讼诚信原则的可适用性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102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创新驱动发展与知识产权战略实施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103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禁止权利滥用原则在知识产权领域中的适用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104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关于深化司法改革若干问题的思考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105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新中国法学发展规律考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106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1D5823">
        <w:rPr>
          <w:rFonts w:ascii="Tahoma" w:eastAsia="宋体" w:hAnsi="Tahoma" w:cs="Tahoma"/>
          <w:color w:val="000000"/>
          <w:kern w:val="0"/>
          <w:sz w:val="11"/>
          <w:szCs w:val="11"/>
        </w:rPr>
        <w:t>建立统一的公法学</w:t>
      </w:r>
    </w:p>
    <w:p w:rsidR="00D801D6" w:rsidRPr="001D5823" w:rsidRDefault="00D801D6"/>
    <w:sectPr w:rsidR="00D801D6" w:rsidRPr="001D5823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D5823"/>
    <w:rsid w:val="001D5823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58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582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D58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D582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376</Words>
  <Characters>2144</Characters>
  <Application>Microsoft Office Word</Application>
  <DocSecurity>0</DocSecurity>
  <Lines>17</Lines>
  <Paragraphs>5</Paragraphs>
  <ScaleCrop>false</ScaleCrop>
  <Company>微软中国</Company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2019-01-05T06:09:00Z</dcterms:created>
  <dcterms:modified xsi:type="dcterms:W3CDTF">2019-01-05T06:10:00Z</dcterms:modified>
</cp:coreProperties>
</file>