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AD" w:rsidRPr="003849AD" w:rsidRDefault="003849AD" w:rsidP="003849A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849AD">
        <w:rPr>
          <w:rFonts w:ascii="Tahoma" w:eastAsia="宋体" w:hAnsi="Tahoma" w:cs="Tahoma"/>
          <w:b/>
          <w:bCs/>
          <w:color w:val="02A2D6"/>
          <w:kern w:val="36"/>
          <w:sz w:val="22"/>
        </w:rPr>
        <w:t>最新</w:t>
      </w:r>
      <w:r w:rsidRPr="003849AD">
        <w:rPr>
          <w:rFonts w:ascii="Tahoma" w:eastAsia="宋体" w:hAnsi="Tahoma" w:cs="Tahoma"/>
          <w:b/>
          <w:bCs/>
          <w:color w:val="02A2D6"/>
          <w:kern w:val="36"/>
          <w:sz w:val="22"/>
        </w:rPr>
        <w:t>52</w:t>
      </w:r>
      <w:r w:rsidRPr="003849AD">
        <w:rPr>
          <w:rFonts w:ascii="Tahoma" w:eastAsia="宋体" w:hAnsi="Tahoma" w:cs="Tahoma"/>
          <w:b/>
          <w:bCs/>
          <w:color w:val="02A2D6"/>
          <w:kern w:val="36"/>
          <w:sz w:val="22"/>
        </w:rPr>
        <w:t>条法理学论文题目参考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、作为一种法律干预模式的家长主义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、法律推理中的法律理由和正当理由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、平等概念的法理思考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、全球化背景下的国家与公民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法律人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之治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:“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法治政府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的主体性诠释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、当代中国法学理论学科的知识变迁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、在政治与伦理之间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本体维度的国际法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刑事控审分离</w:t>
      </w:r>
      <w:proofErr w:type="gramEnd"/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原则的法理探析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、关于法学方法论的几个基本问题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、梁启超与中国近代法理学的主题和特征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、迈向法理学的中国经济法学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、中国军事法学的过去现在与未来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、论一国两制法学及其形成和发展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、法学思潮与行政行为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、国际经济法理论的多元视角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、法律信仰概念及其意义探析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、对体育法律关系分类的研究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中国法哲学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及其法治思维的形成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、法律解释的效力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一个难题的追问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、《中华人民共和国体育法》的法理分析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、宏观调控权法律控制必要性之法理探析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、中小投资者权益保护的理论探析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一人公司刑法地位探悉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、美国女性主义法学的法律观及其局限性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、法律概念的主权之维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奥斯丁与法律实证主义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、当前国内关于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法律全球化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问题研究述评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、关于行政合理性原则的法理思考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、关于我国实施安乐死的法理思考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、超越形式逻辑眼界的法律逻辑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、法哲学的形而上学本质及诸种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法哲学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观批判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、学术规范的法律视角分析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、探寻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中国法哲学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的意义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、法理学是什么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兼论法学的学术研究方法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、经济分析方法在法学研究中的运用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、失地农民权利保护的法理学分析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、关于法学方法论在中国的几点思考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、部门法理学属性辨析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、经济法对法理学的借鉴、贡献与突破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、对</w:t>
      </w:r>
      <w:proofErr w:type="gramStart"/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清末杨</w:t>
      </w:r>
      <w:proofErr w:type="gramEnd"/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月楼一案的法理学分析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、种族批判法学的后现代性分析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、宪法的现实世界与观念世界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宪法学基础性研究中的一类典型错误剖析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、对当代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中国法哲学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研究现象的反思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以严存生教授的研究为例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、论法律家的素质与法律制度的有效性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、马克思主义法哲学视阈中的法理学思维方法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、建筑物区分所有权行使之理论依据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、科学发展观的法治基础与法治视野中的科学发展观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、法理学本科课堂教学模式与方法改革新探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、关于婚姻法的法理思考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、论纯粹法理论及其对我国法学研究之指引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、管理学方法在行为法学中的应用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、克隆人问题的法理分析</w:t>
      </w:r>
    </w:p>
    <w:p w:rsidR="003849AD" w:rsidRPr="003849AD" w:rsidRDefault="003849AD" w:rsidP="003849A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3849AD">
        <w:rPr>
          <w:rFonts w:ascii="Tahoma" w:eastAsia="宋体" w:hAnsi="Tahoma" w:cs="Tahoma"/>
          <w:color w:val="000000"/>
          <w:kern w:val="0"/>
          <w:sz w:val="15"/>
          <w:szCs w:val="15"/>
        </w:rPr>
        <w:t>、再议我国新闻自由与司法公正之关系</w:t>
      </w:r>
    </w:p>
    <w:p w:rsidR="007F1FCD" w:rsidRPr="003849AD" w:rsidRDefault="007F1FCD"/>
    <w:sectPr w:rsidR="007F1FCD" w:rsidRPr="003849A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9AD"/>
    <w:rsid w:val="003849AD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9A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>微软中国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2018-11-24T04:56:00Z</dcterms:created>
  <dcterms:modified xsi:type="dcterms:W3CDTF">2018-11-24T04:57:00Z</dcterms:modified>
</cp:coreProperties>
</file>