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PnL Rosabella</w:t>
      </w:r>
    </w:p>
    <w:p>
      <w:pPr>
        <w:jc w:val="center"/>
      </w:pPr>
      <w:r>
        <w:rPr>
          <w:i/>
          <w:color w:val="4A5568"/>
          <w:sz w:val="32"/>
        </w:rPr>
        <w:t>Design Decisions &amp; Trade-offs</w:t>
      </w:r>
    </w:p>
    <w:p/>
    <w:p>
      <w:pPr>
        <w:jc w:val="center"/>
      </w:pPr>
      <w:r>
        <w:rPr>
          <w:i/>
        </w:rPr>
        <w:t>A companion document to the in-app README. The README explains WHAT the system does; this doc explains WHY we made the choices we made — which exports we picked, what we left out, and the trade-offs you should know about before trusting the numbers.</w:t>
      </w:r>
    </w:p>
    <w:p>
      <w:r>
        <w:br w:type="page"/>
      </w:r>
    </w:p>
    <w:p>
      <w:pPr>
        <w:pStyle w:val="Heading1"/>
      </w:pPr>
      <w:r>
        <w:rPr>
          <w:color w:val="1A202C"/>
        </w:rPr>
        <w:t>1. Why we built this the way we did</w:t>
      </w:r>
    </w:p>
    <w:p>
      <w:pPr>
        <w:pStyle w:val="Heading2"/>
      </w:pPr>
      <w:r>
        <w:rPr>
          <w:color w:val="2D3748"/>
        </w:rPr>
        <w:t>1.1 Why not Google Sheets</w:t>
      </w:r>
    </w:p>
    <w:p>
      <w:r>
        <w:rPr>
          <w:b w:val="0"/>
          <w:i w:val="0"/>
        </w:rPr>
        <w:t>The first version of this P&amp;L lived in Google Sheets. It worked, but three problems killed it:</w:t>
      </w:r>
    </w:p>
    <w:p>
      <w:pPr>
        <w:pStyle w:val="ListBullet"/>
      </w:pPr>
      <w:r>
        <w:t>Date/locale ambiguity: TikTok's exports mix MM/DD/YYYY (Ads, Orders) and DD/MM/YYYY (Shop Analytics). Google Sheets auto-parses dates against your account locale and silently mis-buckets data. A row dated "03/04/2026" could be March 4 or April 3 depending on who opened the sheet.</w:t>
      </w:r>
    </w:p>
    <w:p>
      <w:pPr>
        <w:pStyle w:val="ListBullet"/>
      </w:pPr>
      <w:r>
        <w:t>Formula drift: 200+ formulas across multiple tabs. Any cell touched by an Apps Script ran the risk of breaking a dependent calculation, and the dependency graph was invisible.</w:t>
      </w:r>
    </w:p>
    <w:p>
      <w:pPr>
        <w:pStyle w:val="ListBullet"/>
      </w:pPr>
      <w:r>
        <w:t>No real dedup: re-importing the same file caused duplicate rows. The workaround (manual delete-then-paste) was error-prone — one slip and you double-counted a month.</w:t>
      </w:r>
    </w:p>
    <w:p>
      <w:r>
        <w:rPr>
          <w:b w:val="0"/>
          <w:i w:val="0"/>
        </w:rPr>
        <w:t>The web app fixes all three: dates are parsed once on import with explicit format detection, calculations live in one Python file (aggregator.py), and every importer dedups against a primary key.</w:t>
      </w:r>
    </w:p>
    <w:p>
      <w:pPr>
        <w:pStyle w:val="Heading2"/>
      </w:pPr>
      <w:r>
        <w:rPr>
          <w:color w:val="2D3748"/>
        </w:rPr>
        <w:t>1.2 Why Django + Postgres on Render</w:t>
      </w:r>
    </w:p>
    <w:tbl>
      <w:tblPr>
        <w:tblStyle w:val="LightGrid-Accent1"/>
        <w:tblW w:type="auto" w:w="0"/>
        <w:tblLook w:firstColumn="1" w:firstRow="1" w:lastColumn="0" w:lastRow="0" w:noHBand="0" w:noVBand="1" w:val="04A0"/>
      </w:tblPr>
      <w:tblGrid>
        <w:gridCol w:w="3216"/>
        <w:gridCol w:w="3216"/>
        <w:gridCol w:w="3216"/>
      </w:tblGrid>
      <w:tr>
        <w:tc>
          <w:tcPr>
            <w:tcW w:type="dxa" w:w="2016"/>
          </w:tcPr>
          <w:p>
            <w:r/>
            <w:r>
              <w:rPr>
                <w:b/>
                <w:sz w:val="20"/>
              </w:rPr>
              <w:t>Concern</w:t>
            </w:r>
          </w:p>
        </w:tc>
        <w:tc>
          <w:tcPr>
            <w:tcW w:type="dxa" w:w="3024"/>
          </w:tcPr>
          <w:p>
            <w:r/>
            <w:r>
              <w:rPr>
                <w:b/>
                <w:sz w:val="20"/>
              </w:rPr>
              <w:t>Choice</w:t>
            </w:r>
          </w:p>
        </w:tc>
        <w:tc>
          <w:tcPr>
            <w:tcW w:type="dxa" w:w="4320"/>
          </w:tcPr>
          <w:p>
            <w:r/>
            <w:r>
              <w:rPr>
                <w:b/>
                <w:sz w:val="20"/>
              </w:rPr>
              <w:t>Why</w:t>
            </w:r>
          </w:p>
        </w:tc>
      </w:tr>
      <w:tr>
        <w:tc>
          <w:tcPr>
            <w:tcW w:type="dxa" w:w="2016"/>
          </w:tcPr>
          <w:p>
            <w:r>
              <w:rPr>
                <w:sz w:val="19"/>
              </w:rPr>
              <w:t>Hosting</w:t>
            </w:r>
          </w:p>
        </w:tc>
        <w:tc>
          <w:tcPr>
            <w:tcW w:type="dxa" w:w="3024"/>
          </w:tcPr>
          <w:p>
            <w:r>
              <w:rPr>
                <w:sz w:val="19"/>
              </w:rPr>
              <w:t>Render Web Service Standard ($25/mo)</w:t>
            </w:r>
          </w:p>
        </w:tc>
        <w:tc>
          <w:tcPr>
            <w:tcW w:type="dxa" w:w="4320"/>
          </w:tcPr>
          <w:p>
            <w:r>
              <w:rPr>
                <w:sz w:val="19"/>
              </w:rPr>
              <w:t>2 GB RAM is required — settlement files have 37,000+ rows; smaller tiers OOM during import.</w:t>
            </w:r>
          </w:p>
        </w:tc>
      </w:tr>
      <w:tr>
        <w:tc>
          <w:tcPr>
            <w:tcW w:type="dxa" w:w="2016"/>
          </w:tcPr>
          <w:p>
            <w:r>
              <w:rPr>
                <w:sz w:val="19"/>
              </w:rPr>
              <w:t>Database</w:t>
            </w:r>
          </w:p>
        </w:tc>
        <w:tc>
          <w:tcPr>
            <w:tcW w:type="dxa" w:w="3024"/>
          </w:tcPr>
          <w:p>
            <w:r>
              <w:rPr>
                <w:sz w:val="19"/>
              </w:rPr>
              <w:t>Render Postgres Basic ($7/mo)</w:t>
            </w:r>
          </w:p>
        </w:tc>
        <w:tc>
          <w:tcPr>
            <w:tcW w:type="dxa" w:w="4320"/>
          </w:tcPr>
          <w:p>
            <w:r>
              <w:rPr>
                <w:sz w:val="19"/>
              </w:rPr>
              <w:t>~100 MB of data even after a year; we don't need a bigger plan.</w:t>
            </w:r>
          </w:p>
        </w:tc>
      </w:tr>
      <w:tr>
        <w:tc>
          <w:tcPr>
            <w:tcW w:type="dxa" w:w="2016"/>
          </w:tcPr>
          <w:p>
            <w:r>
              <w:rPr>
                <w:sz w:val="19"/>
              </w:rPr>
              <w:t>Backend</w:t>
            </w:r>
          </w:p>
        </w:tc>
        <w:tc>
          <w:tcPr>
            <w:tcW w:type="dxa" w:w="3024"/>
          </w:tcPr>
          <w:p>
            <w:r>
              <w:rPr>
                <w:sz w:val="19"/>
              </w:rPr>
              <w:t>Django 4.2</w:t>
            </w:r>
          </w:p>
        </w:tc>
        <w:tc>
          <w:tcPr>
            <w:tcW w:type="dxa" w:w="4320"/>
          </w:tcPr>
          <w:p>
            <w:r>
              <w:rPr>
                <w:sz w:val="19"/>
              </w:rPr>
              <w:t>Mature ORM, built-in migrations, batteries-included admin. Single dev can maintain it.</w:t>
            </w:r>
          </w:p>
        </w:tc>
      </w:tr>
      <w:tr>
        <w:tc>
          <w:tcPr>
            <w:tcW w:type="dxa" w:w="2016"/>
          </w:tcPr>
          <w:p>
            <w:r>
              <w:rPr>
                <w:sz w:val="19"/>
              </w:rPr>
              <w:t>File parsing</w:t>
            </w:r>
          </w:p>
        </w:tc>
        <w:tc>
          <w:tcPr>
            <w:tcW w:type="dxa" w:w="3024"/>
          </w:tcPr>
          <w:p>
            <w:r>
              <w:rPr>
                <w:sz w:val="19"/>
              </w:rPr>
              <w:t>pandas for settlement, csv module for orders, openpyxl for small XLSX</w:t>
            </w:r>
          </w:p>
        </w:tc>
        <w:tc>
          <w:tcPr>
            <w:tcW w:type="dxa" w:w="4320"/>
          </w:tcPr>
          <w:p>
            <w:r>
              <w:rPr>
                <w:sz w:val="19"/>
              </w:rPr>
              <w:t>See "Parsing trade-offs" section — there's a real reason for the mix.</w:t>
            </w:r>
          </w:p>
        </w:tc>
      </w:tr>
      <w:tr>
        <w:tc>
          <w:tcPr>
            <w:tcW w:type="dxa" w:w="2016"/>
          </w:tcPr>
          <w:p>
            <w:r>
              <w:rPr>
                <w:sz w:val="19"/>
              </w:rPr>
              <w:t>Auth</w:t>
            </w:r>
          </w:p>
        </w:tc>
        <w:tc>
          <w:tcPr>
            <w:tcW w:type="dxa" w:w="3024"/>
          </w:tcPr>
          <w:p>
            <w:r>
              <w:rPr>
                <w:sz w:val="19"/>
              </w:rPr>
              <w:t>Single shared password</w:t>
            </w:r>
          </w:p>
        </w:tc>
        <w:tc>
          <w:tcPr>
            <w:tcW w:type="dxa" w:w="4320"/>
          </w:tcPr>
          <w:p>
            <w:r>
              <w:rPr>
                <w:sz w:val="19"/>
              </w:rPr>
              <w:t>Team of 3-5 people, no PII to protect. Per-user accounts would be over-engineering.</w:t>
            </w:r>
          </w:p>
        </w:tc>
      </w:tr>
      <w:tr>
        <w:tc>
          <w:tcPr>
            <w:tcW w:type="dxa" w:w="2016"/>
          </w:tcPr>
          <w:p>
            <w:r>
              <w:rPr>
                <w:sz w:val="19"/>
              </w:rPr>
              <w:t>Cost ceiling</w:t>
            </w:r>
          </w:p>
        </w:tc>
        <w:tc>
          <w:tcPr>
            <w:tcW w:type="dxa" w:w="3024"/>
          </w:tcPr>
          <w:p>
            <w:r>
              <w:rPr>
                <w:sz w:val="19"/>
              </w:rPr>
              <w:t>$32/mo total</w:t>
            </w:r>
          </w:p>
        </w:tc>
        <w:tc>
          <w:tcPr>
            <w:tcW w:type="dxa" w:w="4320"/>
          </w:tcPr>
          <w:p>
            <w:r>
              <w:rPr>
                <w:sz w:val="19"/>
              </w:rPr>
              <w:t>Below the threshold where finance has to approve.</w:t>
            </w:r>
          </w:p>
        </w:tc>
      </w:tr>
    </w:tbl>
    <w:p/>
    <w:p>
      <w:pPr>
        <w:pStyle w:val="Heading1"/>
      </w:pPr>
      <w:r>
        <w:rPr>
          <w:color w:val="1A202C"/>
        </w:rPr>
        <w:t>2. Which TikTok exports we chose (and why)</w:t>
      </w:r>
    </w:p>
    <w:p>
      <w:r>
        <w:rPr>
          <w:b w:val="0"/>
          <w:i w:val="0"/>
        </w:rPr>
        <w:t>TikTok Seller Center exposes dozens of exports. We use six. Here's why each was chosen — and what we explicitly rejected.</w:t>
      </w:r>
    </w:p>
    <w:p>
      <w:pPr>
        <w:pStyle w:val="Heading2"/>
      </w:pPr>
      <w:r>
        <w:rPr>
          <w:color w:val="2D3748"/>
        </w:rPr>
        <w:t>2.1 Manage Orders CSV</w:t>
      </w:r>
    </w:p>
    <w:p>
      <w:r>
        <w:rPr>
          <w:b w:val="0"/>
          <w:i w:val="0"/>
        </w:rPr>
        <w:t>Source of: Gross Sales, Seller Discounts, COGS attribution (via SKU × cost lookup).</w:t>
      </w:r>
    </w:p>
    <w:p>
      <w:r>
        <w:rPr>
          <w:b w:val="0"/>
          <w:i w:val="0"/>
        </w:rPr>
        <w:t>Why this one: it is the only export that gives you order-level revenue with both Order ID and SKU ID. You need SKU ID to look up COGS, and you need Order ID for dedup. Other revenue exports (Shop Analytics, Settlement) aggregate at the daily or order level and don't expose SKU breakdown.</w:t>
      </w:r>
    </w:p>
    <w:p>
      <w:r>
        <w:rPr>
          <w:b w:val="0"/>
          <w:i w:val="0"/>
        </w:rPr>
        <w:t>Rejected alternatives:</w:t>
      </w:r>
    </w:p>
    <w:p>
      <w:pPr>
        <w:pStyle w:val="ListBullet"/>
      </w:pPr>
      <w:r>
        <w:t>"Sales Overview" XLSX: aggregated daily totals only, no SKU dimension. Can't compute COGS from it.</w:t>
      </w:r>
    </w:p>
    <w:p>
      <w:pPr>
        <w:pStyle w:val="ListBullet"/>
      </w:pPr>
      <w:r>
        <w:t>"Order Details" API: would be cleaner but requires partner-app approval. Not worth the bureaucracy for what is currently a manual file pull.</w:t>
      </w:r>
    </w:p>
    <w:p>
      <w:pPr>
        <w:pStyle w:val="Heading2"/>
      </w:pPr>
      <w:r>
        <w:rPr>
          <w:color w:val="2D3748"/>
        </w:rPr>
        <w:t>2.2 Settlement XLSX</w:t>
      </w:r>
    </w:p>
    <w:p>
      <w:r>
        <w:rPr>
          <w:b w:val="0"/>
          <w:i w:val="0"/>
        </w:rPr>
        <w:t>Source of: all fees and refunds — referral, affiliate, campaign, shipping, refunds, chargebacks, FBT fulfillment, etc.</w:t>
      </w:r>
    </w:p>
    <w:p>
      <w:r>
        <w:rPr>
          <w:b w:val="0"/>
          <w:i w:val="0"/>
        </w:rPr>
        <w:t>Why this one: this is the only export that itemizes EVERY money flow between TikTok and the seller, including late-arriving fees and refunds. If something hits your TikTok wallet, it's in here.</w:t>
      </w:r>
    </w:p>
    <w:p>
      <w:r>
        <w:rPr>
          <w:b w:val="0"/>
          <w:i w:val="0"/>
        </w:rPr>
        <w:t>Critical design choice — Order Created Date attribution:</w:t>
      </w:r>
    </w:p>
    <w:p>
      <w:r>
        <w:rPr>
          <w:b/>
          <w:color w:val="C53030"/>
        </w:rPr>
        <w:t xml:space="preserve">Trade-off: </w:t>
      </w:r>
      <w:r>
        <w:t>A settlement row may be issued in May for an order placed in April. We store it under the order's CREATED date (April), not the SETTLEMENT date (May). This means when you re-upload May's settlement file, April's P&amp;L gets refined — refunds that happened in May for April orders quietly land in April's "Less: Refunds" line. Pros: month-over-month numbers stabilize as you upload later files. Cons: April never truly "closes" — a chargeback hitting in July for an April order will retroactively update April.</w:t>
      </w:r>
    </w:p>
    <w:p>
      <w:pPr>
        <w:pStyle w:val="Heading2"/>
      </w:pPr>
      <w:r>
        <w:rPr>
          <w:color w:val="2D3748"/>
        </w:rPr>
        <w:t>2.3 Shop Analytics XLSX</w:t>
      </w:r>
    </w:p>
    <w:p>
      <w:r>
        <w:rPr>
          <w:b w:val="0"/>
          <w:i w:val="0"/>
        </w:rPr>
        <w:t>Source of: TikTok's authoritative daily GMV.</w:t>
      </w:r>
    </w:p>
    <w:p>
      <w:r>
        <w:rPr>
          <w:b w:val="0"/>
          <w:i w:val="0"/>
        </w:rPr>
        <w:t>Why this one: we COULD derive GMV ourselves (Gross Sales + Seller Discounts), but TikTok's portal shows its own GMV number. Bookkeepers and investors compare against the portal — if our GMV doesn't match the portal to the dollar, every conversation derails into "why is your number wrong?"</w:t>
      </w:r>
    </w:p>
    <w:p>
      <w:r>
        <w:rPr>
          <w:b w:val="0"/>
          <w:i w:val="0"/>
        </w:rPr>
        <w:t>So we import Shop Analytics solely to OVERRIDE our derived GMV. Without it, GMV is still computed (Gross + Promos) and will be very close — but not necessarily portal-exact.</w:t>
      </w:r>
    </w:p>
    <w:p>
      <w:pPr>
        <w:pStyle w:val="Heading2"/>
      </w:pPr>
      <w:r>
        <w:rPr>
          <w:color w:val="2D3748"/>
        </w:rPr>
        <w:t>2.4 Ad Spend XLSX (Campaign Overview)</w:t>
      </w:r>
    </w:p>
    <w:p>
      <w:r>
        <w:rPr>
          <w:b w:val="0"/>
          <w:i w:val="0"/>
        </w:rPr>
        <w:t>Source of: daily ad cost.</w:t>
      </w:r>
    </w:p>
    <w:p>
      <w:r>
        <w:rPr>
          <w:b w:val="0"/>
          <w:i w:val="0"/>
        </w:rPr>
        <w:t>Why this one: the Campaign Overview file is the only export that gives daily granularity. The monthly "Billing summary" rolls up totals and would lose daily attribution.</w:t>
      </w:r>
    </w:p>
    <w:p>
      <w:r>
        <w:rPr>
          <w:b w:val="0"/>
          <w:i w:val="0"/>
        </w:rPr>
        <w:t>What it doesn't cover (yet):</w:t>
      </w:r>
    </w:p>
    <w:p>
      <w:pPr>
        <w:pStyle w:val="ListBullet"/>
      </w:pPr>
      <w:r>
        <w:t>TBSM Savings: was previously auto-calculated as 6% of ad spend. Removed — the actual TBSM rate is variable and not in any current export. Manual entry will be wired in once we figure out the source.</w:t>
      </w:r>
    </w:p>
    <w:p>
      <w:pPr>
        <w:pStyle w:val="ListBullet"/>
      </w:pPr>
      <w:r>
        <w:t>TikTok Promo Credits: TikTok shows these in Ads Manager but they're not in the Campaign Overview file. Manual entry on Monthly Inputs for now.</w:t>
      </w:r>
    </w:p>
    <w:p>
      <w:pPr>
        <w:pStyle w:val="Heading2"/>
      </w:pPr>
      <w:r>
        <w:rPr>
          <w:color w:val="2D3748"/>
        </w:rPr>
        <w:t>2.5 FBT Billing XLSX</w:t>
      </w:r>
    </w:p>
    <w:p>
      <w:r>
        <w:rPr>
          <w:b w:val="0"/>
          <w:i w:val="0"/>
        </w:rPr>
        <w:t>Source of: 12 FBT line items — Hub Placement, Storage, Inbound Shipping, Incidents, Booking/Routing Non-Compliance, Outbound No-Show, Delayed Response, Disposal, Return Shipping, Return-to-Seller Handling, Inbound Return Operation.</w:t>
      </w:r>
    </w:p>
    <w:p>
      <w:r>
        <w:rPr>
          <w:b w:val="0"/>
          <w:i w:val="0"/>
        </w:rPr>
        <w:t>Why this one: these fees are billed MONTHLY by the FBT warehouse, not per-order. They don't show up in the Settlement file. The FBT Billing XLSX is the only place where TikTok itemizes them.</w:t>
      </w:r>
    </w:p>
    <w:p>
      <w:r>
        <w:rPr>
          <w:b w:val="0"/>
          <w:i w:val="0"/>
        </w:rPr>
        <w:t>Critical clarification:</w:t>
      </w:r>
    </w:p>
    <w:p>
      <w:r>
        <w:rPr>
          <w:b/>
          <w:color w:val="C53030"/>
        </w:rPr>
        <w:t xml:space="preserve">Location: </w:t>
      </w:r>
      <w:r>
        <w:t>This file is NOT in Seller Center. You must log into the TikTok FBT Portal directly (separate URL) → Costs → Logistics Cost Overview → Export. Seller Center has FBT settings but does NOT expose the billing breakdown.</w:t>
      </w:r>
    </w:p>
    <w:p>
      <w:pPr>
        <w:pStyle w:val="Heading2"/>
      </w:pPr>
      <w:r>
        <w:rPr>
          <w:color w:val="2D3748"/>
        </w:rPr>
        <w:t>2.6 Seller Shipping CSV (3PL postage breakdown)</w:t>
      </w:r>
    </w:p>
    <w:p>
      <w:r>
        <w:rPr>
          <w:b w:val="0"/>
          <w:i w:val="0"/>
        </w:rPr>
        <w:t>Source of: actual postage paid per customer shipment.</w:t>
      </w:r>
    </w:p>
    <w:p>
      <w:r>
        <w:rPr>
          <w:b w:val="0"/>
          <w:i w:val="0"/>
        </w:rPr>
        <w:t>Why this one: TikTok's exports do NOT track what your 3PL charges you to ship the order. That information lives in your 3PL's system. The "TTS SELLER SHIPPING BREAKDOWN" CSV is the 3PL's per-shipment report with channel name, shipped date, reference, tracking, and postage. This is the only way to get real Cost to Ship to Customer in the P&amp;L — Settlement's "Shipping" column is what TikTok CHARGED the customer, not what YOU paid to ship.</w:t>
      </w:r>
    </w:p>
    <w:p>
      <w:pPr>
        <w:pStyle w:val="Heading1"/>
      </w:pPr>
      <w:r>
        <w:rPr>
          <w:color w:val="1A202C"/>
        </w:rPr>
        <w:t>3. The big trade-offs you should know about</w:t>
      </w:r>
    </w:p>
    <w:p>
      <w:pPr>
        <w:pStyle w:val="Heading2"/>
      </w:pPr>
      <w:r>
        <w:rPr>
          <w:color w:val="2D3748"/>
        </w:rPr>
        <w:t>3.1 Cost to Ship to Customer is by ship date, not order date</w:t>
      </w:r>
    </w:p>
    <w:p>
      <w:r>
        <w:rPr>
          <w:b w:val="0"/>
          <w:i w:val="0"/>
        </w:rPr>
        <w:t>The Seller Shipping CSV is keyed by SHIPPED_DATE. We sum postage by ship date and put it on that day in the Daily P&amp;L.</w:t>
      </w:r>
    </w:p>
    <w:p>
      <w:r>
        <w:rPr>
          <w:b/>
          <w:color w:val="C53030"/>
        </w:rPr>
        <w:t xml:space="preserve">Trade-off: </w:t>
      </w:r>
      <w:r>
        <w:t>On April 20 the Daily P&amp;L will show postage your 3PL billed for shipments leaving the warehouse on April 20 — but ~58% of those shipments are for orders placed on April 19, ~30% for orders placed April 20, ~11% for orders placed April 18. So today's revenue is paired with mostly yesterday's shipping costs.</w:t>
      </w:r>
    </w:p>
    <w:p>
      <w:r>
        <w:rPr>
          <w:b w:val="0"/>
          <w:i w:val="0"/>
        </w:rPr>
        <w:t>Why we accepted it:</w:t>
      </w:r>
    </w:p>
    <w:p>
      <w:pPr>
        <w:pStyle w:val="ListBullet"/>
      </w:pPr>
      <w:r>
        <w:t>Order-to-ship lag is short. We measured it across 1,841 matched shipments: median 1 day, 99% within 2 days, 100% within 3 days. The mismatch is small.</w:t>
      </w:r>
    </w:p>
    <w:p>
      <w:pPr>
        <w:pStyle w:val="ListBullet"/>
      </w:pPr>
      <w:r>
        <w:t>Monthly totals are exact — orders shipped within a month net out cleanly.</w:t>
      </w:r>
    </w:p>
    <w:p>
      <w:pPr>
        <w:pStyle w:val="ListBullet"/>
      </w:pPr>
      <w:r>
        <w:t>The alternative (matching every shipment to its order via Order ID lookup) only works for ~50% of shipments — the other 50% are RESHIP, sample, or out-of-window orders. Engineering complexity for marginal accuracy gain.</w:t>
      </w:r>
    </w:p>
    <w:p>
      <w:pPr>
        <w:pStyle w:val="Heading2"/>
      </w:pPr>
      <w:r>
        <w:rPr>
          <w:color w:val="2D3748"/>
        </w:rPr>
        <w:t>3.2 Settlement late-arriving fees backfill prior months</w:t>
      </w:r>
    </w:p>
    <w:p>
      <w:r>
        <w:rPr>
          <w:b w:val="0"/>
          <w:i w:val="0"/>
        </w:rPr>
        <w:t>Settlement rows are bucketed by Order Created Date, not Settlement Date. This is deliberate.</w:t>
      </w:r>
    </w:p>
    <w:p>
      <w:r>
        <w:rPr>
          <w:b/>
          <w:color w:val="C53030"/>
        </w:rPr>
        <w:t xml:space="preserve">Trade-off: </w:t>
      </w:r>
      <w:r>
        <w:t>A May settlement file will fill in fees for April orders. The first time you look at April P&amp;L (mid-May), the numbers will be roughly right. The second time you look (after uploading June's settlement file), April's refund and fee lines may have shifted — late-arriving refunds and chargebacks now appear.</w:t>
      </w:r>
    </w:p>
    <w:p>
      <w:r>
        <w:rPr>
          <w:b w:val="0"/>
          <w:i w:val="0"/>
        </w:rPr>
        <w:t>Why we accepted it:</w:t>
      </w:r>
    </w:p>
    <w:p>
      <w:pPr>
        <w:pStyle w:val="ListBullet"/>
      </w:pPr>
      <w:r>
        <w:t>It matches accounting reality: the cost of an April order IS the cost of an April order, regardless of when TikTok actually billed you.</w:t>
      </w:r>
    </w:p>
    <w:p>
      <w:pPr>
        <w:pStyle w:val="ListBullet"/>
      </w:pPr>
      <w:r>
        <w:t>Without this rule, P&amp;L would lurch around — May would absorb all of April's late fees and look artificially worse.</w:t>
      </w:r>
    </w:p>
    <w:p>
      <w:pPr>
        <w:pStyle w:val="ListBullet"/>
      </w:pPr>
      <w:r>
        <w:t>You can always re-pull a closed month's settlement file later to see the final stable numbers.</w:t>
      </w:r>
    </w:p>
    <w:p>
      <w:pPr>
        <w:pStyle w:val="Heading2"/>
      </w:pPr>
      <w:r>
        <w:rPr>
          <w:color w:val="2D3748"/>
        </w:rPr>
        <w:t>3.3 No daily granularity on overheads</w:t>
      </w:r>
    </w:p>
    <w:p>
      <w:r>
        <w:rPr>
          <w:b w:val="0"/>
          <w:i w:val="0"/>
        </w:rPr>
        <w:t>Team salaries, software, retainers, off-platform commissions — all entered as a single monthly total and flat-spread across days of the month.</w:t>
      </w:r>
    </w:p>
    <w:p>
      <w:r>
        <w:rPr>
          <w:b/>
          <w:color w:val="C53030"/>
        </w:rPr>
        <w:t xml:space="preserve">Trade-off: </w:t>
      </w:r>
      <w:r>
        <w:t>Daily P&amp;L will show team salary as ~$X/day every day in April, even though payroll really hit on the 15th and 30th. Net Profit on individual days will be slightly off; weekly/monthly totals are correct.</w:t>
      </w:r>
    </w:p>
    <w:p>
      <w:r>
        <w:rPr>
          <w:b w:val="0"/>
          <w:i w:val="0"/>
        </w:rPr>
        <w:t>Why we accepted it: nobody runs a daily P&amp;L for cash-management. Overhead seasonality within a month is noise. Building per-day overhead entry would add 30 form fields per month for negligible value.</w:t>
      </w:r>
    </w:p>
    <w:p>
      <w:pPr>
        <w:pStyle w:val="Heading2"/>
      </w:pPr>
      <w:r>
        <w:rPr>
          <w:color w:val="2D3748"/>
        </w:rPr>
        <w:t>3.4 GMV from Shop Analytics is authoritative; our calc is fallback</w:t>
      </w:r>
    </w:p>
    <w:p>
      <w:r>
        <w:rPr>
          <w:b w:val="0"/>
          <w:i w:val="0"/>
        </w:rPr>
        <w:t>If Shop Analytics is uploaded for a month, its GMV value overrides our computed (Gross + Promos). If not, we fall back to the calc.</w:t>
      </w:r>
    </w:p>
    <w:p>
      <w:r>
        <w:rPr>
          <w:b/>
          <w:color w:val="C53030"/>
        </w:rPr>
        <w:t xml:space="preserve">Trade-off: </w:t>
      </w:r>
      <w:r>
        <w:t>If you upload Shop Analytics for April but not May, April GMV matches TikTok's portal exactly, May does not. The two months use different definitions, even though they SHOULD be identical.</w:t>
      </w:r>
    </w:p>
    <w:p>
      <w:r>
        <w:rPr>
          <w:b w:val="0"/>
          <w:i w:val="0"/>
        </w:rPr>
        <w:t>Why we accepted it: TikTok's portal GMV occasionally differs from (Gross + Promos) by trivial amounts (rounding, refund inclusion rules that change). When it does, the portal is "right" because that's what bookkeepers and investors compare against. Our calc is for when we don't have the file.</w:t>
      </w:r>
    </w:p>
    <w:p>
      <w:pPr>
        <w:pStyle w:val="Heading2"/>
      </w:pPr>
      <w:r>
        <w:rPr>
          <w:color w:val="2D3748"/>
        </w:rPr>
        <w:t>3.5 COGS is per-SKU per-order, NOT per-unit-shipped</w:t>
      </w:r>
    </w:p>
    <w:p>
      <w:r>
        <w:rPr>
          <w:b w:val="0"/>
          <w:i w:val="0"/>
        </w:rPr>
        <w:t>Each Order row stores COGS as (quantity × COGSItem.cogs_per_order) at IMPORT TIME. The value is frozen.</w:t>
      </w:r>
    </w:p>
    <w:p>
      <w:r>
        <w:rPr>
          <w:b/>
          <w:color w:val="C53030"/>
        </w:rPr>
        <w:t xml:space="preserve">Trade-off: </w:t>
      </w:r>
      <w:r>
        <w:t>If you edit a SKU's COGS today, every NEW import uses the new value. Historic orders keep their original COGS. To recompute historic P&amp;L with new costs, you must wipe Orders and re-import the source file.</w:t>
      </w:r>
    </w:p>
    <w:p>
      <w:r>
        <w:rPr>
          <w:b w:val="0"/>
          <w:i w:val="0"/>
        </w:rPr>
        <w:t>Why we accepted it: COGS is an accounting question, not a real-time question. The "true" COGS for an order is what you paid the supplier when that order shipped, not what your current cost-per-unit is. Freezing at import preserves historical truth.</w:t>
      </w:r>
    </w:p>
    <w:p>
      <w:pPr>
        <w:pStyle w:val="Heading2"/>
      </w:pPr>
      <w:r>
        <w:rPr>
          <w:color w:val="2D3748"/>
        </w:rPr>
        <w:t>3.6 Per-line-item postage gets deduped to per-shipment</w:t>
      </w:r>
    </w:p>
    <w:p>
      <w:r>
        <w:rPr>
          <w:b w:val="0"/>
          <w:i w:val="0"/>
        </w:rPr>
        <w:t>The Seller Shipping CSV repeats the same postage value across all line items in a multi-SKU shipment (a 5-SKU box appears as 5 rows, all with the same postage). We dedup on shipment_number so postage is counted once per shipment, not per line.</w:t>
      </w:r>
    </w:p>
    <w:p>
      <w:r>
        <w:rPr>
          <w:b/>
          <w:color w:val="C53030"/>
        </w:rPr>
        <w:t xml:space="preserve">Trade-off: </w:t>
      </w:r>
      <w:r>
        <w:t>We lose the ability to attribute postage to a specific SKU within a multi-SKU shipment (can't answer "what does it really cost to ship the Glutathione 3-pack").</w:t>
      </w:r>
    </w:p>
    <w:p>
      <w:r>
        <w:rPr>
          <w:b w:val="0"/>
          <w:i w:val="0"/>
        </w:rPr>
        <w:t>Why we accepted it: per-shipment is what your 3PL actually charged. Per-SKU attribution would require an arbitrary split rule (weight? unit? value?) that introduces estimation error.</w:t>
      </w:r>
    </w:p>
    <w:p>
      <w:pPr>
        <w:pStyle w:val="Heading2"/>
      </w:pPr>
      <w:r>
        <w:rPr>
          <w:color w:val="2D3748"/>
        </w:rPr>
        <w:t>3.7 ~50% of Seller Shipping reference numbers don't match Order IDs</w:t>
      </w:r>
    </w:p>
    <w:p>
      <w:r>
        <w:rPr>
          <w:b w:val="0"/>
          <w:i w:val="0"/>
        </w:rPr>
        <w:t>Of 3,680 shipments in April + May, only 1,841 had reference numbers matching an Order ID in the export. The rest were ~37% numeric IDs not in the current export (older orders, canceled, out-of-window) and ~13% alphanumeric 3PL internal codes (RESHIP, samples).</w:t>
      </w:r>
    </w:p>
    <w:p>
      <w:r>
        <w:rPr>
          <w:b/>
          <w:color w:val="C53030"/>
        </w:rPr>
        <w:t xml:space="preserve">Trade-off: </w:t>
      </w:r>
      <w:r>
        <w:t>We can't reliably link every postage payment back to an order. Per-SKU shipping cost analysis would only be ~50% covered.</w:t>
      </w:r>
    </w:p>
    <w:p>
      <w:r>
        <w:rPr>
          <w:b w:val="0"/>
          <w:i w:val="0"/>
        </w:rPr>
        <w:t>Why we accepted it: we don't need order-level shipping cost for the P&amp;L. The total postage is what hits the bank account, and that's what the P&amp;L cares about. All $16K of monthly postage is correctly summed.</w:t>
      </w:r>
    </w:p>
    <w:p>
      <w:pPr>
        <w:pStyle w:val="Heading2"/>
      </w:pPr>
      <w:r>
        <w:rPr>
          <w:color w:val="2D3748"/>
        </w:rPr>
        <w:t>3.8 TBSM Savings is currently zero</w:t>
      </w:r>
    </w:p>
    <w:p>
      <w:r>
        <w:rPr>
          <w:b w:val="0"/>
          <w:i w:val="0"/>
        </w:rPr>
        <w:t>The "Less: TBSM Savings (6%)" line is in the layout but is hardcoded to $0.</w:t>
      </w:r>
    </w:p>
    <w:p>
      <w:r>
        <w:rPr>
          <w:b w:val="0"/>
          <w:i w:val="0"/>
        </w:rPr>
        <w:t>History: previous versions auto-computed 6% × Ad Spend. Removed because the actual TBSM rate varies by program and isn't directly exported. Until we can source the real number, this line shows $0 (rendered as "—" in the UI).</w:t>
      </w:r>
    </w:p>
    <w:p>
      <w:r>
        <w:rPr>
          <w:b w:val="0"/>
          <w:i w:val="0"/>
        </w:rPr>
        <w:t>Trade-off: ad spend on the P&amp;L is currently ~6% higher than the "true" net cost. Total Marketing and Net Profit are correspondingly conservative.</w:t>
      </w:r>
    </w:p>
    <w:p>
      <w:pPr>
        <w:pStyle w:val="Heading2"/>
      </w:pPr>
      <w:r>
        <w:rPr>
          <w:color w:val="2D3748"/>
        </w:rPr>
        <w:t>3.9 Single-source-of-truth rule for Monthly Inputs</w:t>
      </w:r>
    </w:p>
    <w:p>
      <w:r>
        <w:rPr>
          <w:b w:val="0"/>
          <w:i w:val="0"/>
        </w:rPr>
        <w:t>Monthly Inputs only accepts fields with NO export source. FBT line items and Cost to Ship to Customer are populated exclusively by their respective imports — there is no manual override.</w:t>
      </w:r>
    </w:p>
    <w:p>
      <w:r>
        <w:rPr>
          <w:b/>
          <w:color w:val="C53030"/>
        </w:rPr>
        <w:t xml:space="preserve">Trade-off: </w:t>
      </w:r>
      <w:r>
        <w:t>If you forget to upload an FBT Billing file, the FBT cost lines will be $0 for that month. No fallback estimation.</w:t>
      </w:r>
    </w:p>
    <w:p>
      <w:r>
        <w:rPr>
          <w:b w:val="0"/>
          <w:i w:val="0"/>
        </w:rPr>
        <w:t>Why we accepted it: dual-entry breeds disagreement. A manual override that drifts from the imported truth is worse than a clearly missing value. "$0 because no file" is honest; "$X because someone typed it" is treacherous.</w:t>
      </w:r>
    </w:p>
    <w:p>
      <w:pPr>
        <w:pStyle w:val="Heading1"/>
      </w:pPr>
      <w:r>
        <w:rPr>
          <w:color w:val="1A202C"/>
        </w:rPr>
        <w:t>4. What we explicitly do NOT do</w:t>
      </w:r>
    </w:p>
    <w:p>
      <w:pPr>
        <w:pStyle w:val="ListBullet"/>
      </w:pPr>
      <w:r>
        <w:t>Per-SKU profitability: requires joining Orders.cogs to Settlement fees at the SKU level. The Settlement file is keyed by Order, not Order × SKU, so the join loses fidelity. Not currently in scope.</w:t>
      </w:r>
    </w:p>
    <w:p>
      <w:pPr>
        <w:pStyle w:val="ListBullet"/>
      </w:pPr>
      <w:r>
        <w:t>Forecasting: no ML, no projections, no trend lines. This is a reporting tool, not a planning tool.</w:t>
      </w:r>
    </w:p>
    <w:p>
      <w:pPr>
        <w:pStyle w:val="ListBullet"/>
      </w:pPr>
      <w:r>
        <w:t>Multi-store: assumes one TikTok shop. Multi-store would require a store_id on every model and per-store filtering.</w:t>
      </w:r>
    </w:p>
    <w:p>
      <w:pPr>
        <w:pStyle w:val="ListBullet"/>
      </w:pPr>
      <w:r>
        <w:t>Currency conversion: all values in USD. If you start selling on TikTok UK, you'd need an FX layer.</w:t>
      </w:r>
    </w:p>
    <w:p>
      <w:pPr>
        <w:pStyle w:val="ListBullet"/>
      </w:pPr>
      <w:r>
        <w:t>Accrual matching: we don't cleanly match expenses to the revenue periods they generated (e.g. amortizing creative production over the months it ran). All overheads are cash-basis flat-spread.</w:t>
      </w:r>
    </w:p>
    <w:p>
      <w:pPr>
        <w:pStyle w:val="ListBullet"/>
      </w:pPr>
      <w:r>
        <w:t>Inventory tracking: COGS table is per-SKU cost only — no on-hand quantity, no reorder logic.</w:t>
      </w:r>
    </w:p>
    <w:p>
      <w:pPr>
        <w:pStyle w:val="ListBullet"/>
      </w:pPr>
      <w:r>
        <w:t>Audit trail for FBT Billing import: the manual Monthly Inputs form logs changes; the FBT Billing XLSX import does NOT. If a re-upload changes an FBT field, you'll only know by comparing snapshots.</w:t>
      </w:r>
    </w:p>
    <w:p>
      <w:pPr>
        <w:pStyle w:val="Heading1"/>
      </w:pPr>
      <w:r>
        <w:rPr>
          <w:color w:val="1A202C"/>
        </w:rPr>
        <w:t>5. Parsing trade-offs (for the curious)</w:t>
      </w:r>
    </w:p>
    <w:p>
      <w:pPr>
        <w:pStyle w:val="Heading2"/>
      </w:pPr>
      <w:r>
        <w:rPr>
          <w:color w:val="2D3748"/>
        </w:rPr>
        <w:t>5.1 Why pandas for Settlement but csv module for Manage Orders</w:t>
      </w:r>
    </w:p>
    <w:p>
      <w:r>
        <w:rPr>
          <w:b w:val="0"/>
          <w:i w:val="0"/>
        </w:rPr>
        <w:t>Different files, different problems:</w:t>
      </w:r>
    </w:p>
    <w:tbl>
      <w:tblPr>
        <w:tblStyle w:val="LightGrid-Accent1"/>
        <w:tblW w:type="auto" w:w="0"/>
        <w:tblLook w:firstColumn="1" w:firstRow="1" w:lastColumn="0" w:lastRow="0" w:noHBand="0" w:noVBand="1" w:val="04A0"/>
      </w:tblPr>
      <w:tblGrid>
        <w:gridCol w:w="3216"/>
        <w:gridCol w:w="3216"/>
        <w:gridCol w:w="3216"/>
      </w:tblGrid>
      <w:tr>
        <w:tc>
          <w:tcPr>
            <w:tcW w:type="dxa" w:w="2304"/>
          </w:tcPr>
          <w:p>
            <w:r/>
            <w:r>
              <w:rPr>
                <w:b/>
                <w:sz w:val="20"/>
              </w:rPr>
              <w:t>File</w:t>
            </w:r>
          </w:p>
        </w:tc>
        <w:tc>
          <w:tcPr>
            <w:tcW w:type="dxa" w:w="2016"/>
          </w:tcPr>
          <w:p>
            <w:r/>
            <w:r>
              <w:rPr>
                <w:b/>
                <w:sz w:val="20"/>
              </w:rPr>
              <w:t>Parser</w:t>
            </w:r>
          </w:p>
        </w:tc>
        <w:tc>
          <w:tcPr>
            <w:tcW w:type="dxa" w:w="4896"/>
          </w:tcPr>
          <w:p>
            <w:r/>
            <w:r>
              <w:rPr>
                <w:b/>
                <w:sz w:val="20"/>
              </w:rPr>
              <w:t>Why</w:t>
            </w:r>
          </w:p>
        </w:tc>
      </w:tr>
      <w:tr>
        <w:tc>
          <w:tcPr>
            <w:tcW w:type="dxa" w:w="2304"/>
          </w:tcPr>
          <w:p>
            <w:r>
              <w:rPr>
                <w:sz w:val="19"/>
              </w:rPr>
              <w:t>Manage Orders (CSV)</w:t>
            </w:r>
          </w:p>
        </w:tc>
        <w:tc>
          <w:tcPr>
            <w:tcW w:type="dxa" w:w="2016"/>
          </w:tcPr>
          <w:p>
            <w:r>
              <w:rPr>
                <w:sz w:val="19"/>
              </w:rPr>
              <w:t>csv.reader</w:t>
            </w:r>
          </w:p>
        </w:tc>
        <w:tc>
          <w:tcPr>
            <w:tcW w:type="dxa" w:w="4896"/>
          </w:tcPr>
          <w:p>
            <w:r>
              <w:rPr>
                <w:sz w:val="19"/>
              </w:rPr>
              <w:t>CSV is line-oriented; csv.reader streams without loading the whole file into memory.</w:t>
            </w:r>
          </w:p>
        </w:tc>
      </w:tr>
      <w:tr>
        <w:tc>
          <w:tcPr>
            <w:tcW w:type="dxa" w:w="2304"/>
          </w:tcPr>
          <w:p>
            <w:r>
              <w:rPr>
                <w:sz w:val="19"/>
              </w:rPr>
              <w:t>Settlement (XLSX, 37K+ rows)</w:t>
            </w:r>
          </w:p>
        </w:tc>
        <w:tc>
          <w:tcPr>
            <w:tcW w:type="dxa" w:w="2016"/>
          </w:tcPr>
          <w:p>
            <w:r>
              <w:rPr>
                <w:sz w:val="19"/>
              </w:rPr>
              <w:t>pandas.read_excel</w:t>
            </w:r>
          </w:p>
        </w:tc>
        <w:tc>
          <w:tcPr>
            <w:tcW w:type="dxa" w:w="4896"/>
          </w:tcPr>
          <w:p>
            <w:r>
              <w:rPr>
                <w:sz w:val="19"/>
              </w:rPr>
              <w:t>openpyxl read_only mode has a bug where iter_rows returns only ~5 rows. Full openpyxl uses 500MB+ RAM on this file. pandas does it in ~175MB.</w:t>
            </w:r>
          </w:p>
        </w:tc>
      </w:tr>
      <w:tr>
        <w:tc>
          <w:tcPr>
            <w:tcW w:type="dxa" w:w="2304"/>
          </w:tcPr>
          <w:p>
            <w:r>
              <w:rPr>
                <w:sz w:val="19"/>
              </w:rPr>
              <w:t>Shop Analytics (XLSX, small)</w:t>
            </w:r>
          </w:p>
        </w:tc>
        <w:tc>
          <w:tcPr>
            <w:tcW w:type="dxa" w:w="2016"/>
          </w:tcPr>
          <w:p>
            <w:r>
              <w:rPr>
                <w:sz w:val="19"/>
              </w:rPr>
              <w:t>openpyxl</w:t>
            </w:r>
          </w:p>
        </w:tc>
        <w:tc>
          <w:tcPr>
            <w:tcW w:type="dxa" w:w="4896"/>
          </w:tcPr>
          <w:p>
            <w:r>
              <w:rPr>
                <w:sz w:val="19"/>
              </w:rPr>
              <w:t>File is tiny — no memory concern. openpyxl is simpler.</w:t>
            </w:r>
          </w:p>
        </w:tc>
      </w:tr>
      <w:tr>
        <w:tc>
          <w:tcPr>
            <w:tcW w:type="dxa" w:w="2304"/>
          </w:tcPr>
          <w:p>
            <w:r>
              <w:rPr>
                <w:sz w:val="19"/>
              </w:rPr>
              <w:t>Ad Spend (XLSX, small)</w:t>
            </w:r>
          </w:p>
        </w:tc>
        <w:tc>
          <w:tcPr>
            <w:tcW w:type="dxa" w:w="2016"/>
          </w:tcPr>
          <w:p>
            <w:r>
              <w:rPr>
                <w:sz w:val="19"/>
              </w:rPr>
              <w:t>openpyxl</w:t>
            </w:r>
          </w:p>
        </w:tc>
        <w:tc>
          <w:tcPr>
            <w:tcW w:type="dxa" w:w="4896"/>
          </w:tcPr>
          <w:p>
            <w:r>
              <w:rPr>
                <w:sz w:val="19"/>
              </w:rPr>
              <w:t>Same — small file.</w:t>
            </w:r>
          </w:p>
        </w:tc>
      </w:tr>
      <w:tr>
        <w:tc>
          <w:tcPr>
            <w:tcW w:type="dxa" w:w="2304"/>
          </w:tcPr>
          <w:p>
            <w:r>
              <w:rPr>
                <w:sz w:val="19"/>
              </w:rPr>
              <w:t>FBT Billing (XLSX, tiny)</w:t>
            </w:r>
          </w:p>
        </w:tc>
        <w:tc>
          <w:tcPr>
            <w:tcW w:type="dxa" w:w="2016"/>
          </w:tcPr>
          <w:p>
            <w:r>
              <w:rPr>
                <w:sz w:val="19"/>
              </w:rPr>
              <w:t>openpyxl</w:t>
            </w:r>
          </w:p>
        </w:tc>
        <w:tc>
          <w:tcPr>
            <w:tcW w:type="dxa" w:w="4896"/>
          </w:tcPr>
          <w:p>
            <w:r>
              <w:rPr>
                <w:sz w:val="19"/>
              </w:rPr>
              <w:t>Same.</w:t>
            </w:r>
          </w:p>
        </w:tc>
      </w:tr>
      <w:tr>
        <w:tc>
          <w:tcPr>
            <w:tcW w:type="dxa" w:w="2304"/>
          </w:tcPr>
          <w:p>
            <w:r>
              <w:rPr>
                <w:sz w:val="19"/>
              </w:rPr>
              <w:t>Seller Shipping (CSV)</w:t>
            </w:r>
          </w:p>
        </w:tc>
        <w:tc>
          <w:tcPr>
            <w:tcW w:type="dxa" w:w="2016"/>
          </w:tcPr>
          <w:p>
            <w:r>
              <w:rPr>
                <w:sz w:val="19"/>
              </w:rPr>
              <w:t>csv.reader</w:t>
            </w:r>
          </w:p>
        </w:tc>
        <w:tc>
          <w:tcPr>
            <w:tcW w:type="dxa" w:w="4896"/>
          </w:tcPr>
          <w:p>
            <w:r>
              <w:rPr>
                <w:sz w:val="19"/>
              </w:rPr>
              <w:t>Same as Manage Orders.</w:t>
            </w:r>
          </w:p>
        </w:tc>
      </w:tr>
    </w:tbl>
    <w:p/>
    <w:p>
      <w:pPr>
        <w:pStyle w:val="Heading2"/>
      </w:pPr>
      <w:r>
        <w:rPr>
          <w:color w:val="2D3748"/>
        </w:rPr>
        <w:t>5.2 Date format auto-detection</w:t>
      </w:r>
    </w:p>
    <w:p>
      <w:r>
        <w:rPr>
          <w:b w:val="0"/>
          <w:i w:val="0"/>
        </w:rPr>
        <w:t>TikTok's exports use inconsistent date formats: Manage Orders uses MM/DD/YYYY with AM/PM, Shop Analytics uses DD/MM/YYYY, Ad Spend uses MM/DD/YYYY, Settlement varies.</w:t>
      </w:r>
    </w:p>
    <w:p>
      <w:r>
        <w:rPr>
          <w:b w:val="0"/>
          <w:i w:val="0"/>
        </w:rPr>
        <w:t>The _to_date helper in importers.py:</w:t>
      </w:r>
    </w:p>
    <w:p>
      <w:pPr>
        <w:pStyle w:val="ListBullet"/>
      </w:pPr>
      <w:r>
        <w:t>Always parses YYYY-first formats unambiguously.</w:t>
      </w:r>
    </w:p>
    <w:p>
      <w:pPr>
        <w:pStyle w:val="ListBullet"/>
      </w:pPr>
      <w:r>
        <w:t>For slash-separated dates, checks if any "day" value is &gt; 12 — if so, format must be DD/MM.</w:t>
      </w:r>
    </w:p>
    <w:p>
      <w:pPr>
        <w:pStyle w:val="ListBullet"/>
      </w:pPr>
      <w:r>
        <w:t>For ambiguous dates (both parts ≤ 12), uses a per-importer hint. Shop Analytics and Ad Spend pre-scan the entire column to detect format from any non-ambiguous row.</w:t>
      </w:r>
    </w:p>
    <w:p>
      <w:r>
        <w:rPr>
          <w:b w:val="0"/>
          <w:i w:val="0"/>
        </w:rPr>
        <w:t>Trade-off: in the worst case (a single ambiguous day with no disambiguating row in the file), we default to MM/DD. This has never been wrong in production data but is a theoretical failure mode.</w:t>
      </w:r>
    </w:p>
    <w:p>
      <w:pPr>
        <w:pStyle w:val="Heading1"/>
      </w:pPr>
      <w:r>
        <w:rPr>
          <w:color w:val="1A202C"/>
        </w:rPr>
        <w:t>6. How often to update the P&amp;L (and when each month "closes")</w:t>
      </w:r>
    </w:p>
    <w:p>
      <w:r>
        <w:rPr>
          <w:b w:val="0"/>
          <w:i w:val="0"/>
        </w:rPr>
        <w:t>Different files settle at different speeds. To get the most accurate number for a given month, you want to pull each file at the right time. Updating too early = missing late refunds, FBT billing, ad spend. Updating too often = wasted effort. Here is the recommended cadence.</w:t>
      </w:r>
    </w:p>
    <w:p>
      <w:pPr>
        <w:pStyle w:val="Heading2"/>
      </w:pPr>
      <w:r>
        <w:rPr>
          <w:color w:val="2D3748"/>
        </w:rPr>
        <w:t>6.1 During the live month (week 1 to week 4 of the month itself)</w:t>
      </w:r>
    </w:p>
    <w:p>
      <w:r>
        <w:rPr>
          <w:b w:val="0"/>
          <w:i w:val="0"/>
        </w:rPr>
        <w:t>Goal: see fresh in-month performance. Numbers will move daily.</w:t>
      </w:r>
    </w:p>
    <w:tbl>
      <w:tblPr>
        <w:tblStyle w:val="LightGrid-Accent1"/>
        <w:tblW w:type="auto" w:w="0"/>
        <w:tblLook w:firstColumn="1" w:firstRow="1" w:lastColumn="0" w:lastRow="0" w:noHBand="0" w:noVBand="1" w:val="04A0"/>
      </w:tblPr>
      <w:tblGrid>
        <w:gridCol w:w="3216"/>
        <w:gridCol w:w="3216"/>
        <w:gridCol w:w="3216"/>
      </w:tblGrid>
      <w:tr>
        <w:tc>
          <w:tcPr>
            <w:tcW w:type="dxa" w:w="2448"/>
          </w:tcPr>
          <w:p>
            <w:r/>
            <w:r>
              <w:rPr>
                <w:b/>
                <w:sz w:val="20"/>
              </w:rPr>
              <w:t>File</w:t>
            </w:r>
          </w:p>
        </w:tc>
        <w:tc>
          <w:tcPr>
            <w:tcW w:type="dxa" w:w="2160"/>
          </w:tcPr>
          <w:p>
            <w:r/>
            <w:r>
              <w:rPr>
                <w:b/>
                <w:sz w:val="20"/>
              </w:rPr>
              <w:t>Cadence</w:t>
            </w:r>
          </w:p>
        </w:tc>
        <w:tc>
          <w:tcPr>
            <w:tcW w:type="dxa" w:w="4608"/>
          </w:tcPr>
          <w:p>
            <w:r/>
            <w:r>
              <w:rPr>
                <w:b/>
                <w:sz w:val="20"/>
              </w:rPr>
              <w:t>Why</w:t>
            </w:r>
          </w:p>
        </w:tc>
      </w:tr>
      <w:tr>
        <w:tc>
          <w:tcPr>
            <w:tcW w:type="dxa" w:w="2448"/>
          </w:tcPr>
          <w:p>
            <w:r>
              <w:rPr>
                <w:sz w:val="19"/>
              </w:rPr>
              <w:t>Manage Orders</w:t>
            </w:r>
          </w:p>
        </w:tc>
        <w:tc>
          <w:tcPr>
            <w:tcW w:type="dxa" w:w="2160"/>
          </w:tcPr>
          <w:p>
            <w:r>
              <w:rPr>
                <w:sz w:val="19"/>
              </w:rPr>
              <w:t>Daily or weekly</w:t>
            </w:r>
          </w:p>
        </w:tc>
        <w:tc>
          <w:tcPr>
            <w:tcW w:type="dxa" w:w="4608"/>
          </w:tcPr>
          <w:p>
            <w:r>
              <w:rPr>
                <w:sz w:val="19"/>
              </w:rPr>
              <w:t>New orders flow in constantly. Daily import = today's revenue line is current.</w:t>
            </w:r>
          </w:p>
        </w:tc>
      </w:tr>
      <w:tr>
        <w:tc>
          <w:tcPr>
            <w:tcW w:type="dxa" w:w="2448"/>
          </w:tcPr>
          <w:p>
            <w:r>
              <w:rPr>
                <w:sz w:val="19"/>
              </w:rPr>
              <w:t>Ad Spend (Campaign Overview)</w:t>
            </w:r>
          </w:p>
        </w:tc>
        <w:tc>
          <w:tcPr>
            <w:tcW w:type="dxa" w:w="2160"/>
          </w:tcPr>
          <w:p>
            <w:r>
              <w:rPr>
                <w:sz w:val="19"/>
              </w:rPr>
              <w:t>Weekly</w:t>
            </w:r>
          </w:p>
        </w:tc>
        <w:tc>
          <w:tcPr>
            <w:tcW w:type="dxa" w:w="4608"/>
          </w:tcPr>
          <w:p>
            <w:r>
              <w:rPr>
                <w:sz w:val="19"/>
              </w:rPr>
              <w:t>Spend is reported next-day in Ads Manager. Weekly pull keeps Marketing section honest.</w:t>
            </w:r>
          </w:p>
        </w:tc>
      </w:tr>
      <w:tr>
        <w:tc>
          <w:tcPr>
            <w:tcW w:type="dxa" w:w="2448"/>
          </w:tcPr>
          <w:p>
            <w:r>
              <w:rPr>
                <w:sz w:val="19"/>
              </w:rPr>
              <w:t>Shop Analytics</w:t>
            </w:r>
          </w:p>
        </w:tc>
        <w:tc>
          <w:tcPr>
            <w:tcW w:type="dxa" w:w="2160"/>
          </w:tcPr>
          <w:p>
            <w:r>
              <w:rPr>
                <w:sz w:val="19"/>
              </w:rPr>
              <w:t>Optional weekly</w:t>
            </w:r>
          </w:p>
        </w:tc>
        <w:tc>
          <w:tcPr>
            <w:tcW w:type="dxa" w:w="4608"/>
          </w:tcPr>
          <w:p>
            <w:r>
              <w:rPr>
                <w:sz w:val="19"/>
              </w:rPr>
              <w:t>TikTok updates daily GMV with a 1-day lag. Skip if you trust the derived GMV (Gross + Promos).</w:t>
            </w:r>
          </w:p>
        </w:tc>
      </w:tr>
      <w:tr>
        <w:tc>
          <w:tcPr>
            <w:tcW w:type="dxa" w:w="2448"/>
          </w:tcPr>
          <w:p>
            <w:r>
              <w:rPr>
                <w:sz w:val="19"/>
              </w:rPr>
              <w:t>Settlement</w:t>
            </w:r>
          </w:p>
        </w:tc>
        <w:tc>
          <w:tcPr>
            <w:tcW w:type="dxa" w:w="2160"/>
          </w:tcPr>
          <w:p>
            <w:r>
              <w:rPr>
                <w:sz w:val="19"/>
              </w:rPr>
              <w:t>Weekly</w:t>
            </w:r>
          </w:p>
        </w:tc>
        <w:tc>
          <w:tcPr>
            <w:tcW w:type="dxa" w:w="4608"/>
          </w:tcPr>
          <w:p>
            <w:r>
              <w:rPr>
                <w:sz w:val="19"/>
              </w:rPr>
              <w:t>Catches refunds and platform fees as they settle. Will keep refining as more rows arrive.</w:t>
            </w:r>
          </w:p>
        </w:tc>
      </w:tr>
      <w:tr>
        <w:tc>
          <w:tcPr>
            <w:tcW w:type="dxa" w:w="2448"/>
          </w:tcPr>
          <w:p>
            <w:r>
              <w:rPr>
                <w:sz w:val="19"/>
              </w:rPr>
              <w:t>Seller Shipping CSV</w:t>
            </w:r>
          </w:p>
        </w:tc>
        <w:tc>
          <w:tcPr>
            <w:tcW w:type="dxa" w:w="2160"/>
          </w:tcPr>
          <w:p>
            <w:r>
              <w:rPr>
                <w:sz w:val="19"/>
              </w:rPr>
              <w:t>Weekly</w:t>
            </w:r>
          </w:p>
        </w:tc>
        <w:tc>
          <w:tcPr>
            <w:tcW w:type="dxa" w:w="4608"/>
          </w:tcPr>
          <w:p>
            <w:r>
              <w:rPr>
                <w:sz w:val="19"/>
              </w:rPr>
              <w:t>Whenever your 3PL sends the postage report. Updates Cost to Ship to Customer for the days covered.</w:t>
            </w:r>
          </w:p>
        </w:tc>
      </w:tr>
      <w:tr>
        <w:tc>
          <w:tcPr>
            <w:tcW w:type="dxa" w:w="2448"/>
          </w:tcPr>
          <w:p>
            <w:r>
              <w:rPr>
                <w:sz w:val="19"/>
              </w:rPr>
              <w:t>FBT Billing XLSX</w:t>
            </w:r>
          </w:p>
        </w:tc>
        <w:tc>
          <w:tcPr>
            <w:tcW w:type="dxa" w:w="2160"/>
          </w:tcPr>
          <w:p>
            <w:r>
              <w:rPr>
                <w:sz w:val="19"/>
              </w:rPr>
              <w:t>Not applicable yet</w:t>
            </w:r>
          </w:p>
        </w:tc>
        <w:tc>
          <w:tcPr>
            <w:tcW w:type="dxa" w:w="4608"/>
          </w:tcPr>
          <w:p>
            <w:r>
              <w:rPr>
                <w:sz w:val="19"/>
              </w:rPr>
              <w:t>FBT releases this AFTER month-end, usually 1-2 weeks later. Nothing to pull mid-month.</w:t>
            </w:r>
          </w:p>
        </w:tc>
      </w:tr>
      <w:tr>
        <w:tc>
          <w:tcPr>
            <w:tcW w:type="dxa" w:w="2448"/>
          </w:tcPr>
          <w:p>
            <w:r>
              <w:rPr>
                <w:sz w:val="19"/>
              </w:rPr>
              <w:t>Monthly Inputs (manual)</w:t>
            </w:r>
          </w:p>
        </w:tc>
        <w:tc>
          <w:tcPr>
            <w:tcW w:type="dxa" w:w="2160"/>
          </w:tcPr>
          <w:p>
            <w:r>
              <w:rPr>
                <w:sz w:val="19"/>
              </w:rPr>
              <w:t>When invoices land</w:t>
            </w:r>
          </w:p>
        </w:tc>
        <w:tc>
          <w:tcPr>
            <w:tcW w:type="dxa" w:w="4608"/>
          </w:tcPr>
          <w:p>
            <w:r>
              <w:rPr>
                <w:sz w:val="19"/>
              </w:rPr>
              <w:t>Team salaries: after payroll. Software: from monthly cc statement. Other G&amp;A: as bookkeeping catches up.</w:t>
            </w:r>
          </w:p>
        </w:tc>
      </w:tr>
    </w:tbl>
    <w:p/>
    <w:p>
      <w:pPr>
        <w:pStyle w:val="Heading2"/>
      </w:pPr>
      <w:r>
        <w:rPr>
          <w:color w:val="2D3748"/>
        </w:rPr>
        <w:t>6.2 Right after month-end (days 1-7 of the next month)</w:t>
      </w:r>
    </w:p>
    <w:p>
      <w:r>
        <w:rPr>
          <w:b w:val="0"/>
          <w:i w:val="0"/>
        </w:rPr>
        <w:t>Goal: lock down the "first read" of the month that just ended.</w:t>
      </w:r>
    </w:p>
    <w:p>
      <w:pPr>
        <w:pStyle w:val="ListBullet"/>
      </w:pPr>
      <w:r>
        <w:t>Manage Orders: pull a fresh export covering the entire just-ended month. This is the authoritative gross sales.</w:t>
      </w:r>
    </w:p>
    <w:p>
      <w:pPr>
        <w:pStyle w:val="ListBullet"/>
      </w:pPr>
      <w:r>
        <w:t>Shop Analytics: pull and import — this locks the portal-exact GMV value.</w:t>
      </w:r>
    </w:p>
    <w:p>
      <w:pPr>
        <w:pStyle w:val="ListBullet"/>
      </w:pPr>
      <w:r>
        <w:t>Ad Spend: pull and import the just-ended month's daily totals.</w:t>
      </w:r>
    </w:p>
    <w:p>
      <w:pPr>
        <w:pStyle w:val="ListBullet"/>
      </w:pPr>
      <w:r>
        <w:t>Settlement: pull and import — this gives a near-complete picture of refunds and platform fees, though late refunds may still arrive.</w:t>
      </w:r>
    </w:p>
    <w:p>
      <w:pPr>
        <w:pStyle w:val="ListBullet"/>
      </w:pPr>
      <w:r>
        <w:t>Seller Shipping CSV: request from 3PL for the full month if not already covered.</w:t>
      </w:r>
    </w:p>
    <w:p>
      <w:pPr>
        <w:pStyle w:val="ListBullet"/>
      </w:pPr>
      <w:r>
        <w:t>Monthly Inputs: enter Team Spend, Software &amp; Tools, Monthly Retainers, Outsourced Agency, Other G&amp;A, Off-Platform 1%, TT Promo Credits, Cost Ship to FBT.</w:t>
      </w:r>
    </w:p>
    <w:p>
      <w:pPr>
        <w:pStyle w:val="Heading2"/>
      </w:pPr>
      <w:r>
        <w:rPr>
          <w:color w:val="2D3748"/>
        </w:rPr>
        <w:t>6.3 Two to three weeks after month-end</w:t>
      </w:r>
    </w:p>
    <w:p>
      <w:r>
        <w:rPr>
          <w:b w:val="0"/>
          <w:i w:val="0"/>
        </w:rPr>
        <w:t>Goal: pull the FBT Billing file once it's available, and catch the second wave of refunds.</w:t>
      </w:r>
    </w:p>
    <w:p>
      <w:pPr>
        <w:pStyle w:val="ListBullet"/>
      </w:pPr>
      <w:r>
        <w:t>FBT Billing XLSX: now available in the FBT Portal. Import it — this populates the 12 FBT fee lines for the month.</w:t>
      </w:r>
    </w:p>
    <w:p>
      <w:pPr>
        <w:pStyle w:val="ListBullet"/>
      </w:pPr>
      <w:r>
        <w:t>Settlement: re-pull the file for the just-ended month. Late chargebacks, returns, and adjustments will now appear. The import is dedup-safe, so re-uploading is encouraged.</w:t>
      </w:r>
    </w:p>
    <w:p>
      <w:pPr>
        <w:pStyle w:val="Heading2"/>
      </w:pPr>
      <w:r>
        <w:rPr>
          <w:color w:val="2D3748"/>
        </w:rPr>
        <w:t>6.4 Four weeks (or more) after month-end — "month-close"</w:t>
      </w:r>
    </w:p>
    <w:p>
      <w:r>
        <w:rPr>
          <w:b w:val="0"/>
          <w:i w:val="0"/>
        </w:rPr>
        <w:t>Goal: declare the month closed for reporting purposes.</w:t>
      </w:r>
    </w:p>
    <w:p>
      <w:pPr>
        <w:pStyle w:val="ListBullet"/>
      </w:pPr>
      <w:r>
        <w:t>Pull Settlement one final time. Any chargeback or refund hitting after this date is rare; if it matters, you can manually adjust later.</w:t>
      </w:r>
    </w:p>
    <w:p>
      <w:pPr>
        <w:pStyle w:val="ListBullet"/>
      </w:pPr>
      <w:r>
        <w:t>Re-verify the totals against what was reported at the end of week 1. If they've moved significantly, examine which line items shifted.</w:t>
      </w:r>
    </w:p>
    <w:p>
      <w:pPr>
        <w:pStyle w:val="ListBullet"/>
      </w:pPr>
      <w:r>
        <w:t>After this point, the month's numbers are considered "frozen" for reporting and bookkeeping purposes. You can still re-import later — late settlements WILL update the numbers — but the variance should be small.</w:t>
      </w:r>
    </w:p>
    <w:p>
      <w:pPr>
        <w:pStyle w:val="Heading2"/>
      </w:pPr>
      <w:r>
        <w:rPr>
          <w:color w:val="2D3748"/>
        </w:rPr>
        <w:t>6.5 Realistic accuracy curve for a given month</w:t>
      </w:r>
    </w:p>
    <w:tbl>
      <w:tblPr>
        <w:tblStyle w:val="LightGrid-Accent1"/>
        <w:tblW w:type="auto" w:w="0"/>
        <w:tblLook w:firstColumn="1" w:firstRow="1" w:lastColumn="0" w:lastRow="0" w:noHBand="0" w:noVBand="1" w:val="04A0"/>
      </w:tblPr>
      <w:tblGrid>
        <w:gridCol w:w="3216"/>
        <w:gridCol w:w="3216"/>
        <w:gridCol w:w="3216"/>
      </w:tblGrid>
      <w:tr>
        <w:tc>
          <w:tcPr>
            <w:tcW w:type="dxa" w:w="2160"/>
          </w:tcPr>
          <w:p>
            <w:r/>
            <w:r>
              <w:rPr>
                <w:b/>
                <w:sz w:val="20"/>
              </w:rPr>
              <w:t>Time since month-end</w:t>
            </w:r>
          </w:p>
        </w:tc>
        <w:tc>
          <w:tcPr>
            <w:tcW w:type="dxa" w:w="1872"/>
          </w:tcPr>
          <w:p>
            <w:r/>
            <w:r>
              <w:rPr>
                <w:b/>
                <w:sz w:val="20"/>
              </w:rPr>
              <w:t>Accuracy of P&amp;L</w:t>
            </w:r>
          </w:p>
        </w:tc>
        <w:tc>
          <w:tcPr>
            <w:tcW w:type="dxa" w:w="5184"/>
          </w:tcPr>
          <w:p>
            <w:r/>
            <w:r>
              <w:rPr>
                <w:b/>
                <w:sz w:val="20"/>
              </w:rPr>
              <w:t>What's still moving</w:t>
            </w:r>
          </w:p>
        </w:tc>
      </w:tr>
      <w:tr>
        <w:tc>
          <w:tcPr>
            <w:tcW w:type="dxa" w:w="2160"/>
          </w:tcPr>
          <w:p>
            <w:r>
              <w:rPr>
                <w:sz w:val="19"/>
              </w:rPr>
              <w:t>Day 1</w:t>
            </w:r>
          </w:p>
        </w:tc>
        <w:tc>
          <w:tcPr>
            <w:tcW w:type="dxa" w:w="1872"/>
          </w:tcPr>
          <w:p>
            <w:r>
              <w:rPr>
                <w:sz w:val="19"/>
              </w:rPr>
              <w:t>~85%</w:t>
            </w:r>
          </w:p>
        </w:tc>
        <w:tc>
          <w:tcPr>
            <w:tcW w:type="dxa" w:w="5184"/>
          </w:tcPr>
          <w:p>
            <w:r>
              <w:rPr>
                <w:sz w:val="19"/>
              </w:rPr>
              <w:t>Late refunds, all of FBT Billing, possibly some settlement rows still arriving.</w:t>
            </w:r>
          </w:p>
        </w:tc>
      </w:tr>
      <w:tr>
        <w:tc>
          <w:tcPr>
            <w:tcW w:type="dxa" w:w="2160"/>
          </w:tcPr>
          <w:p>
            <w:r>
              <w:rPr>
                <w:sz w:val="19"/>
              </w:rPr>
              <w:t>Week 1</w:t>
            </w:r>
          </w:p>
        </w:tc>
        <w:tc>
          <w:tcPr>
            <w:tcW w:type="dxa" w:w="1872"/>
          </w:tcPr>
          <w:p>
            <w:r>
              <w:rPr>
                <w:sz w:val="19"/>
              </w:rPr>
              <w:t>~92%</w:t>
            </w:r>
          </w:p>
        </w:tc>
        <w:tc>
          <w:tcPr>
            <w:tcW w:type="dxa" w:w="5184"/>
          </w:tcPr>
          <w:p>
            <w:r>
              <w:rPr>
                <w:sz w:val="19"/>
              </w:rPr>
              <w:t>Most refunds in; FBT Billing not yet available; some chargebacks pending.</w:t>
            </w:r>
          </w:p>
        </w:tc>
      </w:tr>
      <w:tr>
        <w:tc>
          <w:tcPr>
            <w:tcW w:type="dxa" w:w="2160"/>
          </w:tcPr>
          <w:p>
            <w:r>
              <w:rPr>
                <w:sz w:val="19"/>
              </w:rPr>
              <w:t>Week 2-3</w:t>
            </w:r>
          </w:p>
        </w:tc>
        <w:tc>
          <w:tcPr>
            <w:tcW w:type="dxa" w:w="1872"/>
          </w:tcPr>
          <w:p>
            <w:r>
              <w:rPr>
                <w:sz w:val="19"/>
              </w:rPr>
              <w:t>~97%</w:t>
            </w:r>
          </w:p>
        </w:tc>
        <w:tc>
          <w:tcPr>
            <w:tcW w:type="dxa" w:w="5184"/>
          </w:tcPr>
          <w:p>
            <w:r>
              <w:rPr>
                <w:sz w:val="19"/>
              </w:rPr>
              <w:t>FBT Billing now imported; late chargebacks still possible.</w:t>
            </w:r>
          </w:p>
        </w:tc>
      </w:tr>
      <w:tr>
        <w:tc>
          <w:tcPr>
            <w:tcW w:type="dxa" w:w="2160"/>
          </w:tcPr>
          <w:p>
            <w:r>
              <w:rPr>
                <w:sz w:val="19"/>
              </w:rPr>
              <w:t>Week 4+</w:t>
            </w:r>
          </w:p>
        </w:tc>
        <w:tc>
          <w:tcPr>
            <w:tcW w:type="dxa" w:w="1872"/>
          </w:tcPr>
          <w:p>
            <w:r>
              <w:rPr>
                <w:sz w:val="19"/>
              </w:rPr>
              <w:t>~99%</w:t>
            </w:r>
          </w:p>
        </w:tc>
        <w:tc>
          <w:tcPr>
            <w:tcW w:type="dxa" w:w="5184"/>
          </w:tcPr>
          <w:p>
            <w:r>
              <w:rPr>
                <w:sz w:val="19"/>
              </w:rPr>
              <w:t>Rare late chargebacks only. Treat the month as closed.</w:t>
            </w:r>
          </w:p>
        </w:tc>
      </w:tr>
      <w:tr>
        <w:tc>
          <w:tcPr>
            <w:tcW w:type="dxa" w:w="2160"/>
          </w:tcPr>
          <w:p>
            <w:r>
              <w:rPr>
                <w:sz w:val="19"/>
              </w:rPr>
              <w:t>3+ months later</w:t>
            </w:r>
          </w:p>
        </w:tc>
        <w:tc>
          <w:tcPr>
            <w:tcW w:type="dxa" w:w="1872"/>
          </w:tcPr>
          <w:p>
            <w:r>
              <w:rPr>
                <w:sz w:val="19"/>
              </w:rPr>
              <w:t>99.5%+</w:t>
            </w:r>
          </w:p>
        </w:tc>
        <w:tc>
          <w:tcPr>
            <w:tcW w:type="dxa" w:w="5184"/>
          </w:tcPr>
          <w:p>
            <w:r>
              <w:rPr>
                <w:sz w:val="19"/>
              </w:rPr>
              <w:t>Negligible drift. Re-importing settlement gives final-final numbers.</w:t>
            </w:r>
          </w:p>
        </w:tc>
      </w:tr>
    </w:tbl>
    <w:p/>
    <w:p>
      <w:pPr>
        <w:pStyle w:val="Heading2"/>
      </w:pPr>
      <w:r>
        <w:rPr>
          <w:color w:val="2D3748"/>
        </w:rPr>
        <w:t>6.6 The minimum-effort cadence (if you only do this once)</w:t>
      </w:r>
    </w:p>
    <w:p>
      <w:r>
        <w:rPr>
          <w:b w:val="0"/>
          <w:i w:val="0"/>
        </w:rPr>
        <w:t>If you absolutely cannot update weekly, the minimum to get reliable numbers:</w:t>
      </w:r>
    </w:p>
    <w:p>
      <w:pPr>
        <w:pStyle w:val="ListNumber"/>
      </w:pPr>
      <w:r>
        <w:t>At the start of the new month: pull and import all 6 files for the just-ended month.</w:t>
      </w:r>
    </w:p>
    <w:p>
      <w:pPr>
        <w:pStyle w:val="ListNumber"/>
      </w:pPr>
      <w:r>
        <w:t>Two weeks later: re-pull and import Settlement AND FBT Billing. Done.</w:t>
      </w:r>
    </w:p>
    <w:p>
      <w:r>
        <w:rPr>
          <w:b w:val="0"/>
          <w:i w:val="0"/>
        </w:rPr>
        <w:t>Two touches per month, ~99% accurate. Below this cadence and FBT Billing will be missing entirely.</w:t>
      </w:r>
    </w:p>
    <w:p>
      <w:pPr>
        <w:pStyle w:val="Heading2"/>
      </w:pPr>
      <w:r>
        <w:rPr>
          <w:color w:val="2D3748"/>
        </w:rPr>
        <w:t>6.7 Practical tip — set yourself a recurring reminder</w:t>
      </w:r>
    </w:p>
    <w:p>
      <w:r>
        <w:rPr>
          <w:b w:val="0"/>
          <w:i w:val="0"/>
        </w:rPr>
        <w:t>The reason most P&amp;L systems drift from reality is that "I'll update it next week" becomes "I'll update it next month" becomes "wait, which file did I last import?". Recommendation: a recurring calendar event on (a) the 1st of every month for the initial pull, and (b) the 21st of every month for the FBT Billing + final settlement pull. Two events, both 15 minutes. Done.</w:t>
      </w:r>
    </w:p>
    <w:p>
      <w:pPr>
        <w:pStyle w:val="Heading1"/>
      </w:pPr>
      <w:r>
        <w:rPr>
          <w:color w:val="1A202C"/>
        </w:rPr>
        <w:t>7. When the numbers look wrong</w:t>
      </w:r>
    </w:p>
    <w:p>
      <w:r>
        <w:rPr>
          <w:b w:val="0"/>
          <w:i w:val="0"/>
        </w:rPr>
        <w:t>Before assuming a bug, walk this checklist:</w:t>
      </w:r>
    </w:p>
    <w:p>
      <w:pPr>
        <w:pStyle w:val="ListNumber"/>
      </w:pPr>
      <w:r>
        <w:t>Did you upload all 6 file types for the month in question? Missing any = the corresponding lines will be $0 or off.</w:t>
      </w:r>
    </w:p>
    <w:p>
      <w:pPr>
        <w:pStyle w:val="ListNumber"/>
      </w:pPr>
      <w:r>
        <w:t>Did you upload Shop Analytics? If not, GMV is computed and may differ from portal by small amounts.</w:t>
      </w:r>
    </w:p>
    <w:p>
      <w:pPr>
        <w:pStyle w:val="ListNumber"/>
      </w:pPr>
      <w:r>
        <w:t>Did you upload Settlement? Fees, refunds, affiliate commissions, chargebacks all come from this. Without it, only Gross Sales / Discounts / COGS will populate.</w:t>
      </w:r>
    </w:p>
    <w:p>
      <w:pPr>
        <w:pStyle w:val="ListNumber"/>
      </w:pPr>
      <w:r>
        <w:t>Did you upload the LATEST settlement file? Late-arriving refunds backfill prior months. Last month's file may have outdated refund numbers.</w:t>
      </w:r>
    </w:p>
    <w:p>
      <w:pPr>
        <w:pStyle w:val="ListNumber"/>
      </w:pPr>
      <w:r>
        <w:t>Are all SKUs in the COGS table? Check History → notes for "Unmapped SKUs: ..." after Manage Orders import.</w:t>
      </w:r>
    </w:p>
    <w:p>
      <w:pPr>
        <w:pStyle w:val="ListNumber"/>
      </w:pPr>
      <w:r>
        <w:t>Did you re-import after editing COGS? Historic Orders keep their import-time COGS. Wipe Orders → re-import to apply new costs.</w:t>
      </w:r>
    </w:p>
    <w:p>
      <w:pPr>
        <w:pStyle w:val="ListNumber"/>
      </w:pPr>
      <w:r>
        <w:t>Compare to TikTok portal: GMV should match Shop Analytics exactly (if uploaded). Ad Spend should match Ads Manager. Settlement totals should match the file row sums.</w:t>
      </w:r>
    </w:p>
    <w:p>
      <w:pPr>
        <w:pStyle w:val="Heading1"/>
      </w:pPr>
      <w:r>
        <w:rPr>
          <w:color w:val="1A202C"/>
        </w:rPr>
        <w:t>8. Appendix — known open questions</w:t>
      </w:r>
    </w:p>
    <w:p>
      <w:pPr>
        <w:pStyle w:val="ListBullet"/>
      </w:pPr>
      <w:r>
        <w:t>TBSM Savings: where to source the true value. Currently $0.</w:t>
      </w:r>
    </w:p>
    <w:p>
      <w:pPr>
        <w:pStyle w:val="ListBullet"/>
      </w:pPr>
      <w:r>
        <w:t>TikTok Promo Credits: would be great to auto-import from Ads Manager. Currently manual on Monthly Inputs.</w:t>
      </w:r>
    </w:p>
    <w:p>
      <w:pPr>
        <w:pStyle w:val="ListBullet"/>
      </w:pPr>
      <w:r>
        <w:t>Cost to Ship to FBT: currently a manual monthly total. Could potentially be derived from inbound booking refs if 3PL exposes them in a structured way.</w:t>
      </w:r>
    </w:p>
    <w:p>
      <w:pPr>
        <w:pStyle w:val="ListBullet"/>
      </w:pPr>
      <w:r>
        <w:t>Affiliate Commission columns: we sum four separate columns. Should verify with a known settlement file that they are mutually exclusive (no double-count).</w:t>
      </w:r>
    </w:p>
    <w:p>
      <w:pPr>
        <w:pStyle w:val="ListBullet"/>
      </w:pPr>
      <w:r>
        <w:t>FBT warehouse service fee (GMV payment): this Settlement row type is parsed but currently has no display row in the P&amp;L. Likely should be added as a new line item under Platform Fees.</w:t>
      </w:r>
    </w:p>
    <w:p>
      <w:pPr>
        <w:pStyle w:val="Heading1"/>
      </w:pPr>
      <w:r>
        <w:rPr>
          <w:color w:val="1A202C"/>
        </w:rPr>
        <w:t>— End of document —</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