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431" w:rsidRDefault="005F2431" w:rsidP="005F2431">
      <w:pPr>
        <w:pStyle w:val="Default"/>
        <w:jc w:val="center"/>
      </w:pPr>
      <w:r>
        <w:t>Desarrollo del parcial</w:t>
      </w:r>
    </w:p>
    <w:p w:rsidR="005F2431" w:rsidRDefault="005F2431" w:rsidP="005F2431">
      <w:pPr>
        <w:pStyle w:val="Default"/>
      </w:pPr>
      <w:r>
        <w:t xml:space="preserve"> </w:t>
      </w:r>
    </w:p>
    <w:p w:rsidR="005F2431" w:rsidRDefault="005F2431" w:rsidP="005F2431">
      <w:pPr>
        <w:pStyle w:val="Default"/>
        <w:rPr>
          <w:b/>
          <w:sz w:val="20"/>
          <w:szCs w:val="20"/>
        </w:rPr>
      </w:pPr>
      <w:r w:rsidRPr="001C2880">
        <w:rPr>
          <w:b/>
          <w:sz w:val="20"/>
          <w:szCs w:val="20"/>
        </w:rPr>
        <w:t xml:space="preserve">1. ¿Aplique el Teorema de </w:t>
      </w:r>
      <w:proofErr w:type="spellStart"/>
      <w:r w:rsidRPr="001C2880">
        <w:rPr>
          <w:b/>
          <w:sz w:val="20"/>
          <w:szCs w:val="20"/>
        </w:rPr>
        <w:t>Chebyshev</w:t>
      </w:r>
      <w:proofErr w:type="spellEnd"/>
      <w:r w:rsidRPr="001C2880">
        <w:rPr>
          <w:b/>
          <w:sz w:val="20"/>
          <w:szCs w:val="20"/>
        </w:rPr>
        <w:t xml:space="preserve"> a la variable </w:t>
      </w:r>
      <w:proofErr w:type="spellStart"/>
      <w:r w:rsidRPr="001C2880">
        <w:rPr>
          <w:b/>
          <w:sz w:val="20"/>
          <w:szCs w:val="20"/>
        </w:rPr>
        <w:t>Deficit_cuanti</w:t>
      </w:r>
      <w:proofErr w:type="spellEnd"/>
      <w:r w:rsidRPr="001C2880">
        <w:rPr>
          <w:b/>
          <w:sz w:val="20"/>
          <w:szCs w:val="20"/>
        </w:rPr>
        <w:t xml:space="preserve">? Verifique si se cumple lo que dice la teoría (1.5 puntos) </w:t>
      </w:r>
    </w:p>
    <w:p w:rsidR="00AE5993" w:rsidRDefault="00AE5993" w:rsidP="005F2431">
      <w:pPr>
        <w:pStyle w:val="Default"/>
        <w:rPr>
          <w:b/>
          <w:sz w:val="20"/>
          <w:szCs w:val="20"/>
        </w:rPr>
      </w:pPr>
    </w:p>
    <w:p w:rsidR="00AE5993" w:rsidRDefault="00FA5F1B" w:rsidP="005F2431">
      <w:pPr>
        <w:pStyle w:val="Default"/>
        <w:rPr>
          <w:sz w:val="20"/>
          <w:szCs w:val="20"/>
        </w:rPr>
      </w:pPr>
      <w:r>
        <w:rPr>
          <w:sz w:val="20"/>
          <w:szCs w:val="20"/>
        </w:rPr>
        <w:t xml:space="preserve">No se cumple el teorema de </w:t>
      </w:r>
      <w:proofErr w:type="spellStart"/>
      <w:r>
        <w:rPr>
          <w:sz w:val="20"/>
          <w:szCs w:val="20"/>
        </w:rPr>
        <w:t>Chebyshev</w:t>
      </w:r>
      <w:proofErr w:type="spellEnd"/>
      <w:r>
        <w:rPr>
          <w:sz w:val="20"/>
          <w:szCs w:val="20"/>
        </w:rPr>
        <w:t xml:space="preserve"> para los 1101 datos (n) de la variable </w:t>
      </w:r>
      <w:proofErr w:type="spellStart"/>
      <w:r>
        <w:rPr>
          <w:sz w:val="20"/>
          <w:szCs w:val="20"/>
        </w:rPr>
        <w:t>Deficit_cuanti</w:t>
      </w:r>
      <w:proofErr w:type="spellEnd"/>
      <w:r>
        <w:rPr>
          <w:sz w:val="20"/>
          <w:szCs w:val="20"/>
        </w:rPr>
        <w:t>. Según el teorema los valores contenidos entre la media y dos desviaciones estándar por encima y por debajo de este promedio debe ser del 75% y para valores contenidos entre la media mas y menos 3 desviaciones estándar debe ser del 89%</w:t>
      </w:r>
      <w:r w:rsidR="00A24612">
        <w:rPr>
          <w:sz w:val="20"/>
          <w:szCs w:val="20"/>
        </w:rPr>
        <w:t>. Aplicando el teorema en R con la variable en cuestión el porcentaje para 2 desviaciones es de 6.86% lo que indica muy pocos datos en este rango y</w:t>
      </w:r>
      <w:r w:rsidR="00A24612">
        <w:rPr>
          <w:sz w:val="20"/>
          <w:szCs w:val="20"/>
        </w:rPr>
        <w:t xml:space="preserve"> el porcentaje para </w:t>
      </w:r>
      <w:r w:rsidR="00A24612">
        <w:rPr>
          <w:sz w:val="20"/>
          <w:szCs w:val="20"/>
        </w:rPr>
        <w:t>3</w:t>
      </w:r>
      <w:r w:rsidR="00A24612">
        <w:rPr>
          <w:sz w:val="20"/>
          <w:szCs w:val="20"/>
        </w:rPr>
        <w:t xml:space="preserve"> desviaciones</w:t>
      </w:r>
      <w:r w:rsidR="00A24612">
        <w:rPr>
          <w:sz w:val="20"/>
          <w:szCs w:val="20"/>
        </w:rPr>
        <w:t xml:space="preserve"> es de 10.3% lo que indica que se incluyeron mas datos en este rango, no se cumple el teorema porque los datos deben estar muy dispersos entre </w:t>
      </w:r>
      <w:proofErr w:type="spellStart"/>
      <w:r w:rsidR="00A24612">
        <w:rPr>
          <w:sz w:val="20"/>
          <w:szCs w:val="20"/>
        </w:rPr>
        <w:t>si</w:t>
      </w:r>
      <w:proofErr w:type="spellEnd"/>
      <w:r w:rsidR="00A24612">
        <w:rPr>
          <w:sz w:val="20"/>
          <w:szCs w:val="20"/>
        </w:rPr>
        <w:t>. Lo que se puede observar con un histograma a continuación:</w:t>
      </w:r>
    </w:p>
    <w:p w:rsidR="00A24612" w:rsidRDefault="00A24612" w:rsidP="00A24612">
      <w:pPr>
        <w:pStyle w:val="Default"/>
        <w:jc w:val="center"/>
        <w:rPr>
          <w:sz w:val="20"/>
          <w:szCs w:val="20"/>
        </w:rPr>
      </w:pPr>
      <w:r w:rsidRPr="00A24612">
        <w:rPr>
          <w:sz w:val="20"/>
          <w:szCs w:val="20"/>
        </w:rPr>
        <w:drawing>
          <wp:inline distT="0" distB="0" distL="0" distR="0" wp14:anchorId="1565EACD" wp14:editId="65049B7A">
            <wp:extent cx="3955283" cy="36480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7305" cy="3677610"/>
                    </a:xfrm>
                    <a:prstGeom prst="rect">
                      <a:avLst/>
                    </a:prstGeom>
                  </pic:spPr>
                </pic:pic>
              </a:graphicData>
            </a:graphic>
          </wp:inline>
        </w:drawing>
      </w:r>
    </w:p>
    <w:p w:rsidR="00A24612" w:rsidRPr="00FA5F1B" w:rsidRDefault="00A24612" w:rsidP="005F2431">
      <w:pPr>
        <w:pStyle w:val="Default"/>
        <w:rPr>
          <w:sz w:val="20"/>
          <w:szCs w:val="20"/>
        </w:rPr>
      </w:pPr>
    </w:p>
    <w:p w:rsidR="005F2431" w:rsidRDefault="005F2431" w:rsidP="005F2431">
      <w:pPr>
        <w:pStyle w:val="Default"/>
      </w:pPr>
    </w:p>
    <w:p w:rsidR="0095169B" w:rsidRDefault="0095169B" w:rsidP="005F2431">
      <w:pPr>
        <w:pStyle w:val="Default"/>
      </w:pPr>
    </w:p>
    <w:p w:rsidR="0095169B" w:rsidRDefault="0095169B" w:rsidP="005F2431">
      <w:pPr>
        <w:pStyle w:val="Default"/>
      </w:pPr>
    </w:p>
    <w:p w:rsidR="005F2431" w:rsidRPr="001C2880" w:rsidRDefault="005F2431" w:rsidP="005F2431">
      <w:pPr>
        <w:pStyle w:val="Default"/>
        <w:rPr>
          <w:b/>
          <w:sz w:val="20"/>
          <w:szCs w:val="20"/>
        </w:rPr>
      </w:pPr>
      <w:r w:rsidRPr="001C2880">
        <w:rPr>
          <w:b/>
          <w:sz w:val="20"/>
          <w:szCs w:val="20"/>
        </w:rPr>
        <w:t xml:space="preserve">2. ¿Se puede decir que las Zonas Futuras tienen peores indicadores en: </w:t>
      </w:r>
      <w:proofErr w:type="spellStart"/>
      <w:proofErr w:type="gramStart"/>
      <w:r w:rsidRPr="001C2880">
        <w:rPr>
          <w:b/>
          <w:sz w:val="20"/>
          <w:szCs w:val="20"/>
        </w:rPr>
        <w:t>AseguraSaludIPM</w:t>
      </w:r>
      <w:proofErr w:type="spellEnd"/>
      <w:r w:rsidRPr="001C2880">
        <w:rPr>
          <w:b/>
          <w:sz w:val="20"/>
          <w:szCs w:val="20"/>
        </w:rPr>
        <w:t xml:space="preserve"> ,</w:t>
      </w:r>
      <w:proofErr w:type="gramEnd"/>
      <w:r w:rsidRPr="001C2880">
        <w:rPr>
          <w:b/>
          <w:sz w:val="20"/>
          <w:szCs w:val="20"/>
        </w:rPr>
        <w:t xml:space="preserve"> </w:t>
      </w:r>
      <w:proofErr w:type="spellStart"/>
      <w:r w:rsidRPr="001C2880">
        <w:rPr>
          <w:b/>
          <w:sz w:val="20"/>
          <w:szCs w:val="20"/>
        </w:rPr>
        <w:t>CobAlcantarillado</w:t>
      </w:r>
      <w:proofErr w:type="spellEnd"/>
      <w:r w:rsidRPr="001C2880">
        <w:rPr>
          <w:b/>
          <w:sz w:val="20"/>
          <w:szCs w:val="20"/>
        </w:rPr>
        <w:t xml:space="preserve"> y </w:t>
      </w:r>
      <w:proofErr w:type="spellStart"/>
      <w:r w:rsidRPr="001C2880">
        <w:rPr>
          <w:b/>
          <w:sz w:val="20"/>
          <w:szCs w:val="20"/>
        </w:rPr>
        <w:t>CobEnergia</w:t>
      </w:r>
      <w:proofErr w:type="spellEnd"/>
      <w:r w:rsidRPr="001C2880">
        <w:rPr>
          <w:b/>
          <w:sz w:val="20"/>
          <w:szCs w:val="20"/>
        </w:rPr>
        <w:t xml:space="preserve"> en comparación con otras zonas? (pista: </w:t>
      </w:r>
      <w:proofErr w:type="spellStart"/>
      <w:r w:rsidRPr="001C2880">
        <w:rPr>
          <w:b/>
          <w:sz w:val="20"/>
          <w:szCs w:val="20"/>
        </w:rPr>
        <w:t>corsstable</w:t>
      </w:r>
      <w:proofErr w:type="spellEnd"/>
      <w:r w:rsidRPr="001C2880">
        <w:rPr>
          <w:b/>
          <w:sz w:val="20"/>
          <w:szCs w:val="20"/>
        </w:rPr>
        <w:t xml:space="preserve">, cruces variables numéricas vs categórica) (1.5 puntos) </w:t>
      </w:r>
    </w:p>
    <w:p w:rsidR="005F2431" w:rsidRDefault="005F2431" w:rsidP="005F2431">
      <w:pPr>
        <w:pStyle w:val="Default"/>
        <w:rPr>
          <w:sz w:val="20"/>
          <w:szCs w:val="20"/>
        </w:rPr>
      </w:pPr>
    </w:p>
    <w:p w:rsidR="005F2431" w:rsidRDefault="005F2431" w:rsidP="005F2431">
      <w:pPr>
        <w:pStyle w:val="Default"/>
        <w:rPr>
          <w:sz w:val="20"/>
          <w:szCs w:val="20"/>
        </w:rPr>
      </w:pPr>
      <w:r w:rsidRPr="005F2431">
        <w:rPr>
          <w:sz w:val="20"/>
          <w:szCs w:val="20"/>
        </w:rPr>
        <w:lastRenderedPageBreak/>
        <w:drawing>
          <wp:inline distT="0" distB="0" distL="0" distR="0" wp14:anchorId="1FAD00A8" wp14:editId="1941AD6C">
            <wp:extent cx="6421619" cy="3228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0194" cy="3233287"/>
                    </a:xfrm>
                    <a:prstGeom prst="rect">
                      <a:avLst/>
                    </a:prstGeom>
                  </pic:spPr>
                </pic:pic>
              </a:graphicData>
            </a:graphic>
          </wp:inline>
        </w:drawing>
      </w:r>
    </w:p>
    <w:p w:rsidR="005F2431" w:rsidRDefault="005F2431" w:rsidP="005F2431">
      <w:pPr>
        <w:pStyle w:val="Default"/>
        <w:rPr>
          <w:sz w:val="20"/>
          <w:szCs w:val="20"/>
        </w:rPr>
      </w:pPr>
    </w:p>
    <w:p w:rsidR="005F2431" w:rsidRDefault="005F2431" w:rsidP="005F2431">
      <w:pPr>
        <w:pStyle w:val="Default"/>
        <w:rPr>
          <w:sz w:val="20"/>
          <w:szCs w:val="20"/>
        </w:rPr>
      </w:pPr>
      <w:r>
        <w:rPr>
          <w:sz w:val="20"/>
          <w:szCs w:val="20"/>
        </w:rPr>
        <w:t xml:space="preserve">Tomando como referencia el promedio de cada </w:t>
      </w:r>
      <w:r w:rsidR="008276A8">
        <w:rPr>
          <w:sz w:val="20"/>
          <w:szCs w:val="20"/>
        </w:rPr>
        <w:t xml:space="preserve">variable para cada zona, se puede observar que los indicadores de zonas futuras: son mayores para </w:t>
      </w:r>
      <w:proofErr w:type="spellStart"/>
      <w:r w:rsidR="008276A8">
        <w:rPr>
          <w:sz w:val="20"/>
          <w:szCs w:val="20"/>
        </w:rPr>
        <w:t>AseguraSaludIPM</w:t>
      </w:r>
      <w:proofErr w:type="spellEnd"/>
      <w:r w:rsidR="008276A8">
        <w:rPr>
          <w:sz w:val="20"/>
          <w:szCs w:val="20"/>
        </w:rPr>
        <w:t xml:space="preserve"> (18.5 en comparación a 16.1 y 13.2 de las otras zonas) lo cual</w:t>
      </w:r>
      <w:r w:rsidR="001C2880">
        <w:rPr>
          <w:sz w:val="20"/>
          <w:szCs w:val="20"/>
        </w:rPr>
        <w:t xml:space="preserve"> es negativo e</w:t>
      </w:r>
      <w:r w:rsidR="008276A8">
        <w:rPr>
          <w:sz w:val="20"/>
          <w:szCs w:val="20"/>
        </w:rPr>
        <w:t xml:space="preserve"> indica un menor aseguramiento en salud, son menores para </w:t>
      </w:r>
      <w:proofErr w:type="spellStart"/>
      <w:r w:rsidR="008276A8">
        <w:rPr>
          <w:sz w:val="20"/>
          <w:szCs w:val="20"/>
        </w:rPr>
        <w:t>CobAlcantarillado</w:t>
      </w:r>
      <w:proofErr w:type="spellEnd"/>
      <w:r w:rsidR="008276A8">
        <w:rPr>
          <w:sz w:val="20"/>
          <w:szCs w:val="20"/>
        </w:rPr>
        <w:t xml:space="preserve"> (34.3</w:t>
      </w:r>
      <w:r w:rsidR="008276A8" w:rsidRPr="008276A8">
        <w:rPr>
          <w:sz w:val="20"/>
          <w:szCs w:val="20"/>
        </w:rPr>
        <w:t xml:space="preserve"> </w:t>
      </w:r>
      <w:r w:rsidR="008276A8">
        <w:rPr>
          <w:sz w:val="20"/>
          <w:szCs w:val="20"/>
        </w:rPr>
        <w:t xml:space="preserve">en comparación a </w:t>
      </w:r>
      <w:r w:rsidR="008276A8">
        <w:rPr>
          <w:sz w:val="20"/>
          <w:szCs w:val="20"/>
        </w:rPr>
        <w:t>39.9</w:t>
      </w:r>
      <w:r w:rsidR="008276A8">
        <w:rPr>
          <w:sz w:val="20"/>
          <w:szCs w:val="20"/>
        </w:rPr>
        <w:t xml:space="preserve"> y </w:t>
      </w:r>
      <w:r w:rsidR="008276A8">
        <w:rPr>
          <w:sz w:val="20"/>
          <w:szCs w:val="20"/>
        </w:rPr>
        <w:t>47.7</w:t>
      </w:r>
      <w:r w:rsidR="008276A8">
        <w:rPr>
          <w:sz w:val="20"/>
          <w:szCs w:val="20"/>
        </w:rPr>
        <w:t xml:space="preserve"> de las otras zonas</w:t>
      </w:r>
      <w:r w:rsidR="008276A8">
        <w:rPr>
          <w:sz w:val="20"/>
          <w:szCs w:val="20"/>
        </w:rPr>
        <w:t xml:space="preserve">) lo que indica una peor cobertura de alcantarillado, son también menores para </w:t>
      </w:r>
      <w:proofErr w:type="spellStart"/>
      <w:r w:rsidR="008276A8">
        <w:rPr>
          <w:sz w:val="20"/>
          <w:szCs w:val="20"/>
        </w:rPr>
        <w:t>CobEnergia</w:t>
      </w:r>
      <w:proofErr w:type="spellEnd"/>
      <w:r w:rsidR="008276A8">
        <w:rPr>
          <w:sz w:val="20"/>
          <w:szCs w:val="20"/>
        </w:rPr>
        <w:t xml:space="preserve"> </w:t>
      </w:r>
      <w:r w:rsidR="008276A8">
        <w:rPr>
          <w:sz w:val="20"/>
          <w:szCs w:val="20"/>
        </w:rPr>
        <w:t>(</w:t>
      </w:r>
      <w:r w:rsidR="008276A8">
        <w:rPr>
          <w:sz w:val="20"/>
          <w:szCs w:val="20"/>
        </w:rPr>
        <w:t>78</w:t>
      </w:r>
      <w:r w:rsidR="008276A8">
        <w:rPr>
          <w:sz w:val="20"/>
          <w:szCs w:val="20"/>
        </w:rPr>
        <w:t>.3</w:t>
      </w:r>
      <w:r w:rsidR="008276A8" w:rsidRPr="008276A8">
        <w:rPr>
          <w:sz w:val="20"/>
          <w:szCs w:val="20"/>
        </w:rPr>
        <w:t xml:space="preserve"> </w:t>
      </w:r>
      <w:r w:rsidR="008276A8">
        <w:rPr>
          <w:sz w:val="20"/>
          <w:szCs w:val="20"/>
        </w:rPr>
        <w:t xml:space="preserve">en comparación a </w:t>
      </w:r>
      <w:r w:rsidR="008276A8">
        <w:rPr>
          <w:sz w:val="20"/>
          <w:szCs w:val="20"/>
        </w:rPr>
        <w:t>82.5</w:t>
      </w:r>
      <w:r w:rsidR="008276A8">
        <w:rPr>
          <w:sz w:val="20"/>
          <w:szCs w:val="20"/>
        </w:rPr>
        <w:t xml:space="preserve"> y </w:t>
      </w:r>
      <w:r w:rsidR="008276A8">
        <w:rPr>
          <w:sz w:val="20"/>
          <w:szCs w:val="20"/>
        </w:rPr>
        <w:t>94</w:t>
      </w:r>
      <w:r w:rsidR="008276A8">
        <w:rPr>
          <w:sz w:val="20"/>
          <w:szCs w:val="20"/>
        </w:rPr>
        <w:t>.7 de las otras zonas)</w:t>
      </w:r>
      <w:r w:rsidR="008276A8">
        <w:rPr>
          <w:sz w:val="20"/>
          <w:szCs w:val="20"/>
        </w:rPr>
        <w:t xml:space="preserve"> lo cual indica peor cobertura energética en esta zona. </w:t>
      </w:r>
      <w:r w:rsidR="001C2880">
        <w:rPr>
          <w:sz w:val="20"/>
          <w:szCs w:val="20"/>
        </w:rPr>
        <w:t xml:space="preserve">En </w:t>
      </w:r>
      <w:proofErr w:type="gramStart"/>
      <w:r w:rsidR="001C2880">
        <w:rPr>
          <w:sz w:val="20"/>
          <w:szCs w:val="20"/>
        </w:rPr>
        <w:t>conclusión</w:t>
      </w:r>
      <w:proofErr w:type="gramEnd"/>
      <w:r w:rsidR="001C2880">
        <w:rPr>
          <w:sz w:val="20"/>
          <w:szCs w:val="20"/>
        </w:rPr>
        <w:t xml:space="preserve"> la afirmación es verdadera.</w:t>
      </w:r>
    </w:p>
    <w:p w:rsidR="0095169B" w:rsidRDefault="0095169B" w:rsidP="005F2431">
      <w:pPr>
        <w:pStyle w:val="Default"/>
        <w:rPr>
          <w:sz w:val="20"/>
          <w:szCs w:val="20"/>
        </w:rPr>
      </w:pPr>
      <w:r>
        <w:rPr>
          <w:sz w:val="20"/>
          <w:szCs w:val="20"/>
        </w:rPr>
        <w:t>Nota: también se pueden comparar respecto a la mediana y máximos/</w:t>
      </w:r>
      <w:proofErr w:type="spellStart"/>
      <w:r>
        <w:rPr>
          <w:sz w:val="20"/>
          <w:szCs w:val="20"/>
        </w:rPr>
        <w:t>minimos</w:t>
      </w:r>
      <w:proofErr w:type="spellEnd"/>
      <w:r>
        <w:rPr>
          <w:sz w:val="20"/>
          <w:szCs w:val="20"/>
        </w:rPr>
        <w:t>.</w:t>
      </w:r>
    </w:p>
    <w:p w:rsidR="005F2431" w:rsidRDefault="005F2431" w:rsidP="005F2431">
      <w:pPr>
        <w:pStyle w:val="Default"/>
        <w:rPr>
          <w:sz w:val="20"/>
          <w:szCs w:val="20"/>
        </w:rPr>
      </w:pPr>
    </w:p>
    <w:p w:rsidR="005F2431" w:rsidRPr="001C2880" w:rsidRDefault="005F2431" w:rsidP="005F2431">
      <w:pPr>
        <w:pStyle w:val="Default"/>
        <w:rPr>
          <w:b/>
          <w:sz w:val="20"/>
          <w:szCs w:val="20"/>
        </w:rPr>
      </w:pPr>
      <w:r w:rsidRPr="001C2880">
        <w:rPr>
          <w:b/>
          <w:sz w:val="20"/>
          <w:szCs w:val="20"/>
        </w:rPr>
        <w:t xml:space="preserve">3. El gobierno nacional afirma que existe una relación entre el Porcentaje de hogares con déficit cuantitativo de vivienda y Porcentaje de hogares con déficit cualitativo de vivienda. Use un coeficiente que permita medir la relación lineal entre estas dos variables, acompáñelo con una gráfica que permita visualizar esta posible relación. (1.5 puntos) </w:t>
      </w:r>
    </w:p>
    <w:p w:rsidR="005F2431" w:rsidRDefault="001C2880" w:rsidP="005F2431">
      <w:pPr>
        <w:pStyle w:val="Default"/>
        <w:rPr>
          <w:sz w:val="20"/>
          <w:szCs w:val="20"/>
        </w:rPr>
      </w:pPr>
      <w:r w:rsidRPr="001C2880">
        <w:rPr>
          <w:sz w:val="20"/>
          <w:szCs w:val="20"/>
        </w:rPr>
        <w:lastRenderedPageBreak/>
        <w:drawing>
          <wp:inline distT="0" distB="0" distL="0" distR="0" wp14:anchorId="19A70B32" wp14:editId="5BB7EFCF">
            <wp:extent cx="5020376" cy="451548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4515480"/>
                    </a:xfrm>
                    <a:prstGeom prst="rect">
                      <a:avLst/>
                    </a:prstGeom>
                  </pic:spPr>
                </pic:pic>
              </a:graphicData>
            </a:graphic>
          </wp:inline>
        </w:drawing>
      </w:r>
    </w:p>
    <w:p w:rsidR="00990F85" w:rsidRDefault="00990F85" w:rsidP="005F2431">
      <w:pPr>
        <w:pStyle w:val="Default"/>
        <w:rPr>
          <w:sz w:val="20"/>
          <w:szCs w:val="20"/>
        </w:rPr>
      </w:pPr>
      <w:r w:rsidRPr="00990F85">
        <w:rPr>
          <w:sz w:val="20"/>
          <w:szCs w:val="20"/>
        </w:rPr>
        <w:lastRenderedPageBreak/>
        <w:drawing>
          <wp:inline distT="0" distB="0" distL="0" distR="0" wp14:anchorId="196214D4" wp14:editId="59C04BFD">
            <wp:extent cx="5020376" cy="4572638"/>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4572638"/>
                    </a:xfrm>
                    <a:prstGeom prst="rect">
                      <a:avLst/>
                    </a:prstGeom>
                  </pic:spPr>
                </pic:pic>
              </a:graphicData>
            </a:graphic>
          </wp:inline>
        </w:drawing>
      </w:r>
    </w:p>
    <w:p w:rsidR="005F2431" w:rsidRDefault="001C2880" w:rsidP="005F2431">
      <w:pPr>
        <w:pStyle w:val="Default"/>
        <w:rPr>
          <w:sz w:val="20"/>
          <w:szCs w:val="20"/>
        </w:rPr>
      </w:pPr>
      <w:r>
        <w:rPr>
          <w:sz w:val="20"/>
          <w:szCs w:val="20"/>
        </w:rPr>
        <w:t xml:space="preserve">Utilizando el </w:t>
      </w:r>
      <w:r w:rsidRPr="00332DB4">
        <w:rPr>
          <w:sz w:val="20"/>
          <w:szCs w:val="20"/>
          <w:u w:val="single"/>
        </w:rPr>
        <w:t>coeficiente de correlación</w:t>
      </w:r>
      <w:r>
        <w:rPr>
          <w:sz w:val="20"/>
          <w:szCs w:val="20"/>
        </w:rPr>
        <w:t xml:space="preserve"> se obtiene una relación inversa entre el déficit cualitativo de vivienda y el déficit cuantitativo de vivienda, esta relación de linealidad se puede apreciar en la anterior gráfica. También se puede comprobar matemáticamente y en este caso se usó la función </w:t>
      </w:r>
      <w:proofErr w:type="spellStart"/>
      <w:proofErr w:type="gramStart"/>
      <w:r>
        <w:rPr>
          <w:sz w:val="20"/>
          <w:szCs w:val="20"/>
        </w:rPr>
        <w:t>cor</w:t>
      </w:r>
      <w:proofErr w:type="spellEnd"/>
      <w:r>
        <w:rPr>
          <w:sz w:val="20"/>
          <w:szCs w:val="20"/>
        </w:rPr>
        <w:t>(</w:t>
      </w:r>
      <w:proofErr w:type="gramEnd"/>
      <w:r>
        <w:rPr>
          <w:sz w:val="20"/>
          <w:szCs w:val="20"/>
        </w:rPr>
        <w:t xml:space="preserve">) de R arrojando un resultado de </w:t>
      </w:r>
      <w:r w:rsidRPr="001C2880">
        <w:rPr>
          <w:sz w:val="20"/>
          <w:szCs w:val="20"/>
        </w:rPr>
        <w:t>-0.2926532</w:t>
      </w:r>
      <w:r>
        <w:rPr>
          <w:sz w:val="20"/>
          <w:szCs w:val="20"/>
        </w:rPr>
        <w:t xml:space="preserve"> </w:t>
      </w:r>
      <w:r w:rsidR="006F794D">
        <w:rPr>
          <w:sz w:val="20"/>
          <w:szCs w:val="20"/>
        </w:rPr>
        <w:t>lo que también indica una relación inversa ya que este resultado es negativo pero no inversamente proporcional ya que para esto el coeficiente debe ser -1.</w:t>
      </w:r>
    </w:p>
    <w:p w:rsidR="001C2880" w:rsidRDefault="00990F85" w:rsidP="005F2431">
      <w:pPr>
        <w:pStyle w:val="Default"/>
        <w:rPr>
          <w:sz w:val="20"/>
          <w:szCs w:val="20"/>
        </w:rPr>
      </w:pPr>
      <w:r>
        <w:rPr>
          <w:sz w:val="20"/>
          <w:szCs w:val="20"/>
        </w:rPr>
        <w:t>Nota: Hay dos graficas porque se cambio el orden de las variables pero ambas indican lo mismo</w:t>
      </w:r>
      <w:bookmarkStart w:id="0" w:name="_GoBack"/>
      <w:bookmarkEnd w:id="0"/>
    </w:p>
    <w:p w:rsidR="001C2880" w:rsidRDefault="001C2880" w:rsidP="005F2431">
      <w:pPr>
        <w:pStyle w:val="Default"/>
        <w:rPr>
          <w:sz w:val="20"/>
          <w:szCs w:val="20"/>
        </w:rPr>
      </w:pPr>
    </w:p>
    <w:p w:rsidR="006F794D" w:rsidRPr="006F794D" w:rsidRDefault="005F2431" w:rsidP="006F794D">
      <w:pPr>
        <w:pStyle w:val="Default"/>
        <w:rPr>
          <w:b/>
        </w:rPr>
      </w:pPr>
      <w:r w:rsidRPr="001C2880">
        <w:rPr>
          <w:b/>
          <w:sz w:val="20"/>
          <w:szCs w:val="20"/>
        </w:rPr>
        <w:t>4. Cree una tabla donde clasifique cada variable de base de datos proporcionada.</w:t>
      </w:r>
      <w:r w:rsidR="006F794D">
        <w:rPr>
          <w:b/>
          <w:sz w:val="20"/>
          <w:szCs w:val="20"/>
        </w:rPr>
        <w:t xml:space="preserve"> </w:t>
      </w:r>
      <w:r w:rsidR="006F794D" w:rsidRPr="006F794D">
        <w:rPr>
          <w:b/>
          <w:sz w:val="20"/>
          <w:szCs w:val="20"/>
        </w:rPr>
        <w:t xml:space="preserve">Especifique, ejemplo: variable numérica, discreta o variable categórica, nominal, politómica, etc. </w:t>
      </w:r>
    </w:p>
    <w:p w:rsidR="005F2431" w:rsidRPr="001C2880" w:rsidRDefault="005F2431" w:rsidP="005F2431">
      <w:pPr>
        <w:pStyle w:val="Default"/>
        <w:rPr>
          <w:b/>
          <w:sz w:val="20"/>
          <w:szCs w:val="20"/>
        </w:rPr>
      </w:pPr>
    </w:p>
    <w:tbl>
      <w:tblPr>
        <w:tblStyle w:val="Tablaconcuadrcula"/>
        <w:tblW w:w="0" w:type="auto"/>
        <w:tblLook w:val="04A0" w:firstRow="1" w:lastRow="0" w:firstColumn="1" w:lastColumn="0" w:noHBand="0" w:noVBand="1"/>
      </w:tblPr>
      <w:tblGrid>
        <w:gridCol w:w="4414"/>
        <w:gridCol w:w="4414"/>
      </w:tblGrid>
      <w:tr w:rsidR="006F794D" w:rsidTr="005121AC">
        <w:tc>
          <w:tcPr>
            <w:tcW w:w="4414" w:type="dxa"/>
            <w:vAlign w:val="center"/>
          </w:tcPr>
          <w:p w:rsidR="006F794D" w:rsidRPr="00AE5993" w:rsidRDefault="006F794D" w:rsidP="006F794D">
            <w:pPr>
              <w:jc w:val="center"/>
              <w:rPr>
                <w:rFonts w:ascii="Trebuchet MS" w:hAnsi="Trebuchet MS" w:cs="Calibri"/>
                <w:b/>
                <w:color w:val="000000"/>
                <w:sz w:val="18"/>
                <w:szCs w:val="18"/>
              </w:rPr>
            </w:pPr>
            <w:r w:rsidRPr="00AE5993">
              <w:rPr>
                <w:rFonts w:ascii="Trebuchet MS" w:hAnsi="Trebuchet MS" w:cs="Calibri"/>
                <w:b/>
                <w:color w:val="000000"/>
                <w:sz w:val="18"/>
                <w:szCs w:val="18"/>
              </w:rPr>
              <w:t>VARIABLES</w:t>
            </w:r>
          </w:p>
        </w:tc>
        <w:tc>
          <w:tcPr>
            <w:tcW w:w="4414" w:type="dxa"/>
          </w:tcPr>
          <w:p w:rsidR="006F794D" w:rsidRPr="00AE5993" w:rsidRDefault="006F794D" w:rsidP="006F794D">
            <w:pPr>
              <w:jc w:val="center"/>
              <w:rPr>
                <w:b/>
              </w:rPr>
            </w:pPr>
            <w:r w:rsidRPr="00AE5993">
              <w:rPr>
                <w:b/>
              </w:rPr>
              <w:t>TIPO</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CodMun</w:t>
            </w:r>
            <w:proofErr w:type="spellEnd"/>
          </w:p>
        </w:tc>
        <w:tc>
          <w:tcPr>
            <w:tcW w:w="4414" w:type="dxa"/>
          </w:tcPr>
          <w:p w:rsidR="006F794D" w:rsidRDefault="006F794D" w:rsidP="006F794D">
            <w:proofErr w:type="spellStart"/>
            <w:r>
              <w:t>Numerica</w:t>
            </w:r>
            <w:proofErr w:type="spellEnd"/>
            <w:r>
              <w:t xml:space="preserve"> Discreta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r>
              <w:rPr>
                <w:rFonts w:ascii="Trebuchet MS" w:hAnsi="Trebuchet MS" w:cs="Calibri"/>
                <w:color w:val="000000"/>
                <w:sz w:val="18"/>
                <w:szCs w:val="18"/>
              </w:rPr>
              <w:t>Municipio</w:t>
            </w:r>
          </w:p>
        </w:tc>
        <w:tc>
          <w:tcPr>
            <w:tcW w:w="4414" w:type="dxa"/>
          </w:tcPr>
          <w:p w:rsidR="006F794D" w:rsidRDefault="006F794D" w:rsidP="006F794D">
            <w:proofErr w:type="spellStart"/>
            <w:r>
              <w:t>Categorica</w:t>
            </w:r>
            <w:proofErr w:type="spellEnd"/>
            <w:r>
              <w:t xml:space="preserve"> Nominal politómica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r>
              <w:rPr>
                <w:rFonts w:ascii="Trebuchet MS" w:hAnsi="Trebuchet MS" w:cs="Calibri"/>
                <w:color w:val="000000"/>
                <w:sz w:val="18"/>
                <w:szCs w:val="18"/>
              </w:rPr>
              <w:t>Departamento</w:t>
            </w:r>
          </w:p>
        </w:tc>
        <w:tc>
          <w:tcPr>
            <w:tcW w:w="4414" w:type="dxa"/>
          </w:tcPr>
          <w:p w:rsidR="006F794D" w:rsidRDefault="006F794D" w:rsidP="006F794D">
            <w:proofErr w:type="spellStart"/>
            <w:r>
              <w:t>Categorica</w:t>
            </w:r>
            <w:proofErr w:type="spellEnd"/>
            <w:r>
              <w:t xml:space="preserve"> Nominal</w:t>
            </w:r>
            <w:r>
              <w:t xml:space="preserve"> </w:t>
            </w:r>
            <w:r>
              <w:t>politómica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r>
              <w:rPr>
                <w:rFonts w:ascii="Trebuchet MS" w:hAnsi="Trebuchet MS" w:cs="Calibri"/>
                <w:color w:val="000000"/>
                <w:sz w:val="18"/>
                <w:szCs w:val="18"/>
              </w:rPr>
              <w:t>ZONA</w:t>
            </w:r>
          </w:p>
        </w:tc>
        <w:tc>
          <w:tcPr>
            <w:tcW w:w="4414" w:type="dxa"/>
          </w:tcPr>
          <w:p w:rsidR="006F794D" w:rsidRDefault="006F794D" w:rsidP="006F794D">
            <w:proofErr w:type="spellStart"/>
            <w:r>
              <w:t>Categorica</w:t>
            </w:r>
            <w:proofErr w:type="spellEnd"/>
            <w:r>
              <w:t xml:space="preserve"> Nominal</w:t>
            </w:r>
            <w:r>
              <w:t xml:space="preserve"> </w:t>
            </w:r>
            <w:r>
              <w:t>politómica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MortalidadMenores</w:t>
            </w:r>
            <w:proofErr w:type="spellEnd"/>
          </w:p>
        </w:tc>
        <w:tc>
          <w:tcPr>
            <w:tcW w:w="4414" w:type="dxa"/>
          </w:tcPr>
          <w:p w:rsidR="006F794D" w:rsidRDefault="006F794D" w:rsidP="006F794D">
            <w:proofErr w:type="spellStart"/>
            <w:r>
              <w:t>Numerica</w:t>
            </w:r>
            <w:proofErr w:type="spellEnd"/>
            <w:r>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AseguraSaludIPM</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CobAcueducto</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Deficit_cuanti</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Deficit_cuali</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lastRenderedPageBreak/>
              <w:t>CobEnergia</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CobAlcantarillado</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r w:rsidR="006F794D" w:rsidTr="005121AC">
        <w:tc>
          <w:tcPr>
            <w:tcW w:w="4414" w:type="dxa"/>
            <w:vAlign w:val="center"/>
          </w:tcPr>
          <w:p w:rsidR="006F794D" w:rsidRDefault="006F794D" w:rsidP="006F794D">
            <w:pPr>
              <w:rPr>
                <w:rFonts w:ascii="Trebuchet MS" w:hAnsi="Trebuchet MS" w:cs="Calibri"/>
                <w:color w:val="000000"/>
                <w:sz w:val="18"/>
                <w:szCs w:val="18"/>
              </w:rPr>
            </w:pPr>
            <w:proofErr w:type="spellStart"/>
            <w:r>
              <w:rPr>
                <w:rFonts w:ascii="Trebuchet MS" w:hAnsi="Trebuchet MS" w:cs="Calibri"/>
                <w:color w:val="000000"/>
                <w:sz w:val="18"/>
                <w:szCs w:val="18"/>
              </w:rPr>
              <w:t>IndiceVulneraClima</w:t>
            </w:r>
            <w:proofErr w:type="spellEnd"/>
          </w:p>
        </w:tc>
        <w:tc>
          <w:tcPr>
            <w:tcW w:w="4414" w:type="dxa"/>
          </w:tcPr>
          <w:p w:rsidR="006F794D" w:rsidRDefault="006F794D" w:rsidP="006F794D">
            <w:proofErr w:type="spellStart"/>
            <w:r w:rsidRPr="00F26DF1">
              <w:t>Numerica</w:t>
            </w:r>
            <w:proofErr w:type="spellEnd"/>
            <w:r w:rsidRPr="00F26DF1">
              <w:t xml:space="preserve"> Continua</w:t>
            </w:r>
          </w:p>
        </w:tc>
      </w:tr>
    </w:tbl>
    <w:p w:rsidR="005F2431" w:rsidRDefault="005F2431"/>
    <w:sectPr w:rsidR="005F243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CC8" w:rsidRDefault="002F6CC8" w:rsidP="008069FE">
      <w:pPr>
        <w:spacing w:after="0" w:line="240" w:lineRule="auto"/>
      </w:pPr>
      <w:r>
        <w:separator/>
      </w:r>
    </w:p>
  </w:endnote>
  <w:endnote w:type="continuationSeparator" w:id="0">
    <w:p w:rsidR="002F6CC8" w:rsidRDefault="002F6CC8" w:rsidP="0080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CC8" w:rsidRDefault="002F6CC8" w:rsidP="008069FE">
      <w:pPr>
        <w:spacing w:after="0" w:line="240" w:lineRule="auto"/>
      </w:pPr>
      <w:r>
        <w:separator/>
      </w:r>
    </w:p>
  </w:footnote>
  <w:footnote w:type="continuationSeparator" w:id="0">
    <w:p w:rsidR="002F6CC8" w:rsidRDefault="002F6CC8" w:rsidP="0080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9FE" w:rsidRPr="008069FE" w:rsidRDefault="008069FE">
    <w:pPr>
      <w:pStyle w:val="Encabezado"/>
      <w:rPr>
        <w:lang w:val="es-ES"/>
      </w:rPr>
    </w:pPr>
    <w:proofErr w:type="spellStart"/>
    <w:r>
      <w:rPr>
        <w:lang w:val="es-ES"/>
      </w:rPr>
      <w:t>Harbey</w:t>
    </w:r>
    <w:proofErr w:type="spellEnd"/>
    <w:r>
      <w:rPr>
        <w:lang w:val="es-ES"/>
      </w:rPr>
      <w:t xml:space="preserve"> Emir Cely Mendoza - 2201128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FE"/>
    <w:rsid w:val="001C2880"/>
    <w:rsid w:val="002F6CC8"/>
    <w:rsid w:val="00332DB4"/>
    <w:rsid w:val="005F2431"/>
    <w:rsid w:val="006F794D"/>
    <w:rsid w:val="008069FE"/>
    <w:rsid w:val="008276A8"/>
    <w:rsid w:val="0095169B"/>
    <w:rsid w:val="00990F85"/>
    <w:rsid w:val="00A24612"/>
    <w:rsid w:val="00AE5993"/>
    <w:rsid w:val="00FA5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C1C4"/>
  <w15:chartTrackingRefBased/>
  <w15:docId w15:val="{C4CBC378-EA1B-4082-BD52-F1E17C9B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69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9FE"/>
  </w:style>
  <w:style w:type="paragraph" w:styleId="Piedepgina">
    <w:name w:val="footer"/>
    <w:basedOn w:val="Normal"/>
    <w:link w:val="PiedepginaCar"/>
    <w:uiPriority w:val="99"/>
    <w:unhideWhenUsed/>
    <w:rsid w:val="008069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69FE"/>
  </w:style>
  <w:style w:type="paragraph" w:customStyle="1" w:styleId="Default">
    <w:name w:val="Default"/>
    <w:rsid w:val="005F2431"/>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6F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INDUSTRIAL DE SANTANDER</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CENTIC</dc:creator>
  <cp:keywords/>
  <dc:description/>
  <cp:lastModifiedBy>CENTIC</cp:lastModifiedBy>
  <cp:revision>3</cp:revision>
  <dcterms:created xsi:type="dcterms:W3CDTF">2022-12-15T21:14:00Z</dcterms:created>
  <dcterms:modified xsi:type="dcterms:W3CDTF">2022-12-15T22:52:00Z</dcterms:modified>
</cp:coreProperties>
</file>