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FE1FD" w14:textId="77777777" w:rsidR="00461BE2" w:rsidRDefault="00650C5C">
      <w:pPr>
        <w:snapToGrid w:val="0"/>
        <w:spacing w:beforeLines="100" w:before="312"/>
        <w:jc w:val="center"/>
        <w:rPr>
          <w:sz w:val="36"/>
        </w:rPr>
      </w:pPr>
      <w:r>
        <w:rPr>
          <w:sz w:val="36"/>
        </w:rPr>
        <w:t>中国传媒大学研究生学位论文独创性声明</w:t>
      </w:r>
      <w:r>
        <w:rPr>
          <w:sz w:val="36"/>
        </w:rPr>
        <w:t> </w:t>
      </w:r>
    </w:p>
    <w:p w14:paraId="4C6D980D" w14:textId="77777777" w:rsidR="00461BE2" w:rsidRDefault="00461BE2">
      <w:pPr>
        <w:snapToGrid w:val="0"/>
        <w:jc w:val="center"/>
        <w:rPr>
          <w:sz w:val="36"/>
        </w:rPr>
      </w:pPr>
    </w:p>
    <w:p w14:paraId="236F0F5A" w14:textId="77777777" w:rsidR="00461BE2" w:rsidRDefault="00650C5C">
      <w:pPr>
        <w:snapToGrid w:val="0"/>
        <w:spacing w:line="360" w:lineRule="auto"/>
        <w:ind w:firstLineChars="218" w:firstLine="523"/>
      </w:pPr>
      <w:r>
        <w:t>本学位论文作者声明所呈交的学位论文是本人在导师指导下进行的研究工作及取得的研究成果。除了文中特别加以标注和致谢的地方外，论文中不包含其他人已经发表或撰写过的研究成果，也不包含为获得</w:t>
      </w:r>
      <w:r>
        <w:rPr>
          <w:rFonts w:eastAsia="楷体_GB2312"/>
          <w:b/>
          <w:sz w:val="28"/>
          <w:u w:val="single"/>
        </w:rPr>
        <w:t>中国传媒大学</w:t>
      </w:r>
      <w:r>
        <w:t>或其他教育机构的学位或证书而使用过的材料。</w:t>
      </w:r>
      <w:r>
        <w:rPr>
          <w:rFonts w:hint="eastAsia"/>
        </w:rPr>
        <w:t>其他个人或组织对本研究所做的任何贡献，均已在论文中作了明确的说明并表示谢意。</w:t>
      </w:r>
    </w:p>
    <w:p w14:paraId="76ACC75C" w14:textId="77777777" w:rsidR="00461BE2" w:rsidRDefault="00461BE2">
      <w:pPr>
        <w:snapToGrid w:val="0"/>
        <w:spacing w:line="400" w:lineRule="exact"/>
      </w:pPr>
    </w:p>
    <w:p w14:paraId="5D690231" w14:textId="77777777" w:rsidR="00461BE2" w:rsidRDefault="00650C5C">
      <w:pPr>
        <w:snapToGrid w:val="0"/>
        <w:spacing w:line="400" w:lineRule="exact"/>
      </w:pPr>
      <w:r>
        <w:t>作者签名：导师签名：</w:t>
      </w:r>
    </w:p>
    <w:p w14:paraId="2085EFB0" w14:textId="77777777" w:rsidR="00461BE2" w:rsidRDefault="00650C5C">
      <w:pPr>
        <w:snapToGrid w:val="0"/>
        <w:spacing w:line="400" w:lineRule="exact"/>
      </w:pPr>
      <w:r>
        <w:t> </w:t>
      </w:r>
    </w:p>
    <w:p w14:paraId="4D48FD44" w14:textId="77777777" w:rsidR="00461BE2" w:rsidRDefault="00650C5C">
      <w:pPr>
        <w:snapToGrid w:val="0"/>
        <w:spacing w:line="400" w:lineRule="exact"/>
      </w:pPr>
      <w:r>
        <w:t>签字日期：年月日签字日期：年月日</w:t>
      </w:r>
    </w:p>
    <w:p w14:paraId="0428FABD" w14:textId="77777777" w:rsidR="00461BE2" w:rsidRDefault="00650C5C">
      <w:pPr>
        <w:snapToGrid w:val="0"/>
      </w:pPr>
      <w:r>
        <w:t> </w:t>
      </w:r>
    </w:p>
    <w:p w14:paraId="3327E0C1" w14:textId="77777777" w:rsidR="00461BE2" w:rsidRDefault="00461BE2">
      <w:pPr>
        <w:snapToGrid w:val="0"/>
      </w:pPr>
    </w:p>
    <w:p w14:paraId="1BE61984" w14:textId="77777777" w:rsidR="00461BE2" w:rsidRDefault="00461BE2">
      <w:pPr>
        <w:snapToGrid w:val="0"/>
        <w:jc w:val="center"/>
        <w:rPr>
          <w:sz w:val="36"/>
        </w:rPr>
      </w:pPr>
    </w:p>
    <w:p w14:paraId="656DA8C7" w14:textId="77777777" w:rsidR="00461BE2" w:rsidRDefault="00650C5C">
      <w:pPr>
        <w:snapToGrid w:val="0"/>
        <w:jc w:val="center"/>
        <w:rPr>
          <w:sz w:val="36"/>
        </w:rPr>
      </w:pPr>
      <w:r>
        <w:rPr>
          <w:sz w:val="36"/>
        </w:rPr>
        <w:t>学位论文版权使用授权书</w:t>
      </w:r>
    </w:p>
    <w:p w14:paraId="3AF0D39A" w14:textId="77777777" w:rsidR="00461BE2" w:rsidRDefault="00650C5C">
      <w:pPr>
        <w:snapToGrid w:val="0"/>
        <w:rPr>
          <w:sz w:val="36"/>
          <w:szCs w:val="36"/>
        </w:rPr>
      </w:pPr>
      <w:r>
        <w:t> </w:t>
      </w:r>
    </w:p>
    <w:p w14:paraId="43F297B5" w14:textId="77777777" w:rsidR="00461BE2" w:rsidRDefault="00650C5C">
      <w:pPr>
        <w:snapToGrid w:val="0"/>
        <w:spacing w:line="360" w:lineRule="auto"/>
        <w:ind w:firstLine="540"/>
      </w:pPr>
      <w:r>
        <w:t>本学位论文作者完全了解</w:t>
      </w:r>
      <w:r>
        <w:rPr>
          <w:rFonts w:eastAsia="楷体_GB2312"/>
          <w:b/>
          <w:sz w:val="28"/>
          <w:u w:val="single"/>
        </w:rPr>
        <w:t>中国传媒大学</w:t>
      </w:r>
      <w:r>
        <w:t>有权保留并向国家有关部门或机构送交本论文的复印件和</w:t>
      </w:r>
      <w:r>
        <w:rPr>
          <w:rFonts w:hint="eastAsia"/>
        </w:rPr>
        <w:t>电子版</w:t>
      </w:r>
      <w:r>
        <w:t>，允许论文被查阅和借阅。</w:t>
      </w:r>
      <w:r>
        <w:rPr>
          <w:rFonts w:hint="eastAsia"/>
        </w:rPr>
        <w:t>论文作者</w:t>
      </w:r>
      <w:r>
        <w:t>授权</w:t>
      </w:r>
      <w:r>
        <w:rPr>
          <w:rFonts w:eastAsia="楷体_GB2312"/>
          <w:b/>
          <w:sz w:val="28"/>
          <w:u w:val="single"/>
        </w:rPr>
        <w:t>中国传媒大学</w:t>
      </w:r>
      <w:r>
        <w:t>可以将学位论文的全部或部分内容编入有关数据库进行检索和传播，可以采用影印、缩印</w:t>
      </w:r>
      <w:r>
        <w:rPr>
          <w:rFonts w:hint="eastAsia"/>
        </w:rPr>
        <w:t>、</w:t>
      </w:r>
      <w:r>
        <w:t>扫描</w:t>
      </w:r>
      <w:r>
        <w:rPr>
          <w:rFonts w:hint="eastAsia"/>
        </w:rPr>
        <w:t>或拷贝</w:t>
      </w:r>
      <w:r>
        <w:t>等复制手段保存、汇编学位论文。</w:t>
      </w:r>
    </w:p>
    <w:p w14:paraId="4CB2CFA6" w14:textId="77777777" w:rsidR="00461BE2" w:rsidRDefault="00650C5C">
      <w:pPr>
        <w:snapToGrid w:val="0"/>
        <w:spacing w:line="360" w:lineRule="auto"/>
        <w:ind w:left="480"/>
      </w:pPr>
      <w:r>
        <w:t>（保密的学位论文在解密后适用本授权书）</w:t>
      </w:r>
    </w:p>
    <w:p w14:paraId="02D4E56E" w14:textId="77777777" w:rsidR="00461BE2" w:rsidRDefault="00650C5C">
      <w:pPr>
        <w:snapToGrid w:val="0"/>
        <w:spacing w:line="400" w:lineRule="exact"/>
        <w:ind w:left="480"/>
      </w:pPr>
      <w:r>
        <w:t> </w:t>
      </w:r>
    </w:p>
    <w:p w14:paraId="3C72636F" w14:textId="77777777" w:rsidR="00461BE2" w:rsidRDefault="00650C5C">
      <w:pPr>
        <w:snapToGrid w:val="0"/>
        <w:spacing w:line="400" w:lineRule="exact"/>
      </w:pPr>
      <w:r>
        <w:t>作者签名：导师签名：</w:t>
      </w:r>
    </w:p>
    <w:p w14:paraId="0B5D7531" w14:textId="77777777" w:rsidR="00461BE2" w:rsidRDefault="00650C5C">
      <w:pPr>
        <w:snapToGrid w:val="0"/>
        <w:spacing w:line="400" w:lineRule="exact"/>
      </w:pPr>
      <w:r>
        <w:t> </w:t>
      </w:r>
    </w:p>
    <w:p w14:paraId="1B659772" w14:textId="77777777" w:rsidR="00461BE2" w:rsidRDefault="00650C5C">
      <w:pPr>
        <w:rPr>
          <w:rFonts w:ascii="黑体" w:eastAsia="黑体" w:hAnsi="黑体" w:cs="黑体"/>
          <w:sz w:val="32"/>
          <w:szCs w:val="32"/>
        </w:rPr>
      </w:pPr>
      <w:r>
        <w:t>签字日期：年月日签字日期：年月日</w:t>
      </w:r>
    </w:p>
    <w:p w14:paraId="236F9E33" w14:textId="77777777" w:rsidR="00461BE2" w:rsidRDefault="00650C5C">
      <w:pPr>
        <w:jc w:val="center"/>
        <w:rPr>
          <w:rFonts w:ascii="黑体" w:eastAsia="黑体" w:hAnsi="黑体" w:cs="黑体"/>
          <w:sz w:val="32"/>
          <w:szCs w:val="32"/>
        </w:rPr>
      </w:pPr>
      <w:r>
        <w:rPr>
          <w:rFonts w:ascii="黑体" w:eastAsia="黑体" w:hAnsi="黑体" w:cs="黑体" w:hint="eastAsia"/>
          <w:sz w:val="32"/>
          <w:szCs w:val="32"/>
        </w:rPr>
        <w:lastRenderedPageBreak/>
        <w:t>基于像素分布匹配视觉模型的注视点渲染研究</w:t>
      </w:r>
    </w:p>
    <w:p w14:paraId="0C14BD55" w14:textId="77777777" w:rsidR="00461BE2" w:rsidRDefault="00461BE2"/>
    <w:p w14:paraId="12B01F34" w14:textId="77777777" w:rsidR="00461BE2" w:rsidRDefault="00650C5C">
      <w:pPr>
        <w:jc w:val="center"/>
        <w:rPr>
          <w:rFonts w:ascii="黑体" w:eastAsia="黑体" w:hAnsi="黑体" w:cs="黑体"/>
          <w:sz w:val="30"/>
          <w:szCs w:val="30"/>
        </w:rPr>
      </w:pPr>
      <w:r>
        <w:rPr>
          <w:rFonts w:ascii="黑体" w:eastAsia="黑体" w:hAnsi="黑体" w:cs="黑体" w:hint="eastAsia"/>
          <w:sz w:val="30"/>
          <w:szCs w:val="30"/>
        </w:rPr>
        <w:t>摘要</w:t>
      </w:r>
    </w:p>
    <w:p w14:paraId="09A9BFA6" w14:textId="77777777" w:rsidR="00461BE2" w:rsidRDefault="00461BE2"/>
    <w:p w14:paraId="5029E7CB" w14:textId="77777777" w:rsidR="00461BE2" w:rsidRDefault="00461BE2"/>
    <w:p w14:paraId="72AE4231" w14:textId="77777777" w:rsidR="00461BE2" w:rsidRDefault="00650C5C">
      <w:pPr>
        <w:rPr>
          <w:rFonts w:ascii="黑体" w:eastAsia="黑体" w:hAnsi="黑体" w:cs="黑体"/>
          <w:sz w:val="28"/>
          <w:szCs w:val="28"/>
        </w:rPr>
      </w:pPr>
      <w:r>
        <w:rPr>
          <w:rFonts w:ascii="黑体" w:eastAsia="黑体" w:hAnsi="黑体" w:cs="黑体" w:hint="eastAsia"/>
          <w:sz w:val="28"/>
          <w:szCs w:val="28"/>
        </w:rPr>
        <w:t>关键词：</w:t>
      </w:r>
    </w:p>
    <w:p w14:paraId="222E3DC6" w14:textId="77777777" w:rsidR="00461BE2" w:rsidRDefault="00650C5C">
      <w:pPr>
        <w:jc w:val="center"/>
      </w:pPr>
      <w:r>
        <w:rPr>
          <w:rFonts w:hint="eastAsia"/>
        </w:rPr>
        <w:br w:type="page"/>
      </w:r>
      <w:r>
        <w:rPr>
          <w:rFonts w:ascii="黑体" w:eastAsia="黑体" w:hAnsi="黑体" w:cs="黑体" w:hint="eastAsia"/>
          <w:sz w:val="32"/>
          <w:szCs w:val="32"/>
        </w:rPr>
        <w:lastRenderedPageBreak/>
        <w:t>基于像素分布匹配视觉模型的注视点渲染研究</w:t>
      </w:r>
    </w:p>
    <w:p w14:paraId="6304A507" w14:textId="77777777" w:rsidR="00461BE2" w:rsidRDefault="00461BE2"/>
    <w:p w14:paraId="443BDE0D" w14:textId="77777777" w:rsidR="00461BE2" w:rsidRDefault="00650C5C">
      <w:pPr>
        <w:widowControl/>
        <w:jc w:val="center"/>
        <w:rPr>
          <w:sz w:val="30"/>
          <w:szCs w:val="30"/>
        </w:rPr>
      </w:pPr>
      <w:r>
        <w:rPr>
          <w:rFonts w:ascii="Times New Roman" w:hAnsi="Times New Roman"/>
          <w:b/>
          <w:bCs/>
          <w:color w:val="000000"/>
          <w:kern w:val="0"/>
          <w:sz w:val="30"/>
          <w:szCs w:val="30"/>
          <w:lang w:bidi="ar"/>
        </w:rPr>
        <w:t>ABSTRACT</w:t>
      </w:r>
    </w:p>
    <w:p w14:paraId="47C270C3" w14:textId="77777777" w:rsidR="00461BE2" w:rsidRDefault="00461BE2">
      <w:pPr>
        <w:jc w:val="center"/>
      </w:pPr>
    </w:p>
    <w:p w14:paraId="096CD318" w14:textId="77777777" w:rsidR="00461BE2" w:rsidRDefault="00461BE2"/>
    <w:p w14:paraId="2EEAE290" w14:textId="77777777" w:rsidR="00461BE2" w:rsidRDefault="00650C5C">
      <w:pPr>
        <w:widowControl/>
        <w:jc w:val="left"/>
        <w:rPr>
          <w:sz w:val="28"/>
          <w:szCs w:val="28"/>
        </w:rPr>
      </w:pPr>
      <w:r>
        <w:rPr>
          <w:rFonts w:ascii="Times New Roman" w:hAnsi="Times New Roman"/>
          <w:b/>
          <w:bCs/>
          <w:color w:val="000000"/>
          <w:kern w:val="0"/>
          <w:sz w:val="28"/>
          <w:szCs w:val="28"/>
          <w:lang w:bidi="ar"/>
        </w:rPr>
        <w:t>KEYWORDS</w:t>
      </w:r>
    </w:p>
    <w:p w14:paraId="0402738D" w14:textId="77777777" w:rsidR="00461BE2" w:rsidRDefault="00650C5C">
      <w:pPr>
        <w:jc w:val="center"/>
        <w:rPr>
          <w:rFonts w:ascii="黑体" w:hAnsi="黑体" w:cs="黑体"/>
          <w:sz w:val="32"/>
          <w:szCs w:val="32"/>
        </w:rPr>
      </w:pPr>
      <w:r>
        <w:rPr>
          <w:rFonts w:hint="eastAsia"/>
        </w:rPr>
        <w:br w:type="page"/>
      </w:r>
      <w:r>
        <w:rPr>
          <w:rFonts w:ascii="黑体" w:eastAsia="黑体" w:hAnsi="黑体" w:cs="黑体" w:hint="eastAsia"/>
          <w:sz w:val="32"/>
          <w:szCs w:val="32"/>
        </w:rPr>
        <w:lastRenderedPageBreak/>
        <w:t>目录</w:t>
      </w:r>
    </w:p>
    <w:p w14:paraId="6D179567" w14:textId="77777777" w:rsidR="00461BE2" w:rsidRDefault="00461BE2">
      <w:pPr>
        <w:pStyle w:val="TOC1"/>
        <w:tabs>
          <w:tab w:val="right" w:leader="dot" w:pos="8306"/>
        </w:tabs>
      </w:pPr>
    </w:p>
    <w:p w14:paraId="4F60D5E3" w14:textId="7D88D0CE" w:rsidR="000B0A37" w:rsidRDefault="00650C5C">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TOC \o "1-3" \h \u </w:instrText>
      </w:r>
      <w:r>
        <w:fldChar w:fldCharType="separate"/>
      </w:r>
      <w:hyperlink w:anchor="_Toc149754946" w:history="1">
        <w:r w:rsidR="000B0A37" w:rsidRPr="00A777AF">
          <w:rPr>
            <w:rStyle w:val="a5"/>
            <w:noProof/>
          </w:rPr>
          <w:t xml:space="preserve">1 </w:t>
        </w:r>
        <w:r w:rsidR="000B0A37" w:rsidRPr="00A777AF">
          <w:rPr>
            <w:rStyle w:val="a5"/>
            <w:noProof/>
          </w:rPr>
          <w:t>绪论</w:t>
        </w:r>
        <w:r w:rsidR="000B0A37">
          <w:rPr>
            <w:noProof/>
          </w:rPr>
          <w:tab/>
        </w:r>
        <w:r w:rsidR="000B0A37">
          <w:rPr>
            <w:noProof/>
          </w:rPr>
          <w:fldChar w:fldCharType="begin"/>
        </w:r>
        <w:r w:rsidR="000B0A37">
          <w:rPr>
            <w:noProof/>
          </w:rPr>
          <w:instrText xml:space="preserve"> PAGEREF _Toc149754946 \h </w:instrText>
        </w:r>
        <w:r w:rsidR="000B0A37">
          <w:rPr>
            <w:noProof/>
          </w:rPr>
        </w:r>
        <w:r w:rsidR="000B0A37">
          <w:rPr>
            <w:noProof/>
          </w:rPr>
          <w:fldChar w:fldCharType="separate"/>
        </w:r>
        <w:r w:rsidR="000B0A37">
          <w:rPr>
            <w:noProof/>
          </w:rPr>
          <w:t>7</w:t>
        </w:r>
        <w:r w:rsidR="000B0A37">
          <w:rPr>
            <w:noProof/>
          </w:rPr>
          <w:fldChar w:fldCharType="end"/>
        </w:r>
      </w:hyperlink>
    </w:p>
    <w:p w14:paraId="50FA4200" w14:textId="40D5B63B"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47" w:history="1">
        <w:r w:rsidR="000B0A37" w:rsidRPr="00A777AF">
          <w:rPr>
            <w:rStyle w:val="a5"/>
            <w:noProof/>
          </w:rPr>
          <w:t xml:space="preserve">1.1 </w:t>
        </w:r>
        <w:r w:rsidR="000B0A37" w:rsidRPr="00A777AF">
          <w:rPr>
            <w:rStyle w:val="a5"/>
            <w:noProof/>
          </w:rPr>
          <w:t>研究背景与意义</w:t>
        </w:r>
        <w:r w:rsidR="000B0A37">
          <w:rPr>
            <w:noProof/>
          </w:rPr>
          <w:tab/>
        </w:r>
        <w:r w:rsidR="000B0A37">
          <w:rPr>
            <w:noProof/>
          </w:rPr>
          <w:fldChar w:fldCharType="begin"/>
        </w:r>
        <w:r w:rsidR="000B0A37">
          <w:rPr>
            <w:noProof/>
          </w:rPr>
          <w:instrText xml:space="preserve"> PAGEREF _Toc149754947 \h </w:instrText>
        </w:r>
        <w:r w:rsidR="000B0A37">
          <w:rPr>
            <w:noProof/>
          </w:rPr>
        </w:r>
        <w:r w:rsidR="000B0A37">
          <w:rPr>
            <w:noProof/>
          </w:rPr>
          <w:fldChar w:fldCharType="separate"/>
        </w:r>
        <w:r w:rsidR="000B0A37">
          <w:rPr>
            <w:noProof/>
          </w:rPr>
          <w:t>7</w:t>
        </w:r>
        <w:r w:rsidR="000B0A37">
          <w:rPr>
            <w:noProof/>
          </w:rPr>
          <w:fldChar w:fldCharType="end"/>
        </w:r>
      </w:hyperlink>
    </w:p>
    <w:p w14:paraId="2BC2E05B" w14:textId="737A2E5D"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48" w:history="1">
        <w:r w:rsidR="000B0A37" w:rsidRPr="00A777AF">
          <w:rPr>
            <w:rStyle w:val="a5"/>
            <w:noProof/>
          </w:rPr>
          <w:t xml:space="preserve">1.3 </w:t>
        </w:r>
        <w:r w:rsidR="000B0A37" w:rsidRPr="00A777AF">
          <w:rPr>
            <w:rStyle w:val="a5"/>
            <w:noProof/>
          </w:rPr>
          <w:t>研究内容</w:t>
        </w:r>
        <w:r w:rsidR="000B0A37">
          <w:rPr>
            <w:noProof/>
          </w:rPr>
          <w:tab/>
        </w:r>
        <w:r w:rsidR="000B0A37">
          <w:rPr>
            <w:noProof/>
          </w:rPr>
          <w:fldChar w:fldCharType="begin"/>
        </w:r>
        <w:r w:rsidR="000B0A37">
          <w:rPr>
            <w:noProof/>
          </w:rPr>
          <w:instrText xml:space="preserve"> PAGEREF _Toc149754948 \h </w:instrText>
        </w:r>
        <w:r w:rsidR="000B0A37">
          <w:rPr>
            <w:noProof/>
          </w:rPr>
        </w:r>
        <w:r w:rsidR="000B0A37">
          <w:rPr>
            <w:noProof/>
          </w:rPr>
          <w:fldChar w:fldCharType="separate"/>
        </w:r>
        <w:r w:rsidR="000B0A37">
          <w:rPr>
            <w:noProof/>
          </w:rPr>
          <w:t>8</w:t>
        </w:r>
        <w:r w:rsidR="000B0A37">
          <w:rPr>
            <w:noProof/>
          </w:rPr>
          <w:fldChar w:fldCharType="end"/>
        </w:r>
      </w:hyperlink>
    </w:p>
    <w:p w14:paraId="6E25BB2D" w14:textId="336157DD"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49" w:history="1">
        <w:r w:rsidR="000B0A37" w:rsidRPr="00A777AF">
          <w:rPr>
            <w:rStyle w:val="a5"/>
            <w:noProof/>
          </w:rPr>
          <w:t xml:space="preserve">1.4 </w:t>
        </w:r>
        <w:r w:rsidR="000B0A37" w:rsidRPr="00A777AF">
          <w:rPr>
            <w:rStyle w:val="a5"/>
            <w:noProof/>
          </w:rPr>
          <w:t>论文结构</w:t>
        </w:r>
        <w:r w:rsidR="000B0A37">
          <w:rPr>
            <w:noProof/>
          </w:rPr>
          <w:tab/>
        </w:r>
        <w:r w:rsidR="000B0A37">
          <w:rPr>
            <w:noProof/>
          </w:rPr>
          <w:fldChar w:fldCharType="begin"/>
        </w:r>
        <w:r w:rsidR="000B0A37">
          <w:rPr>
            <w:noProof/>
          </w:rPr>
          <w:instrText xml:space="preserve"> PAGEREF _Toc149754949 \h </w:instrText>
        </w:r>
        <w:r w:rsidR="000B0A37">
          <w:rPr>
            <w:noProof/>
          </w:rPr>
        </w:r>
        <w:r w:rsidR="000B0A37">
          <w:rPr>
            <w:noProof/>
          </w:rPr>
          <w:fldChar w:fldCharType="separate"/>
        </w:r>
        <w:r w:rsidR="000B0A37">
          <w:rPr>
            <w:noProof/>
          </w:rPr>
          <w:t>8</w:t>
        </w:r>
        <w:r w:rsidR="000B0A37">
          <w:rPr>
            <w:noProof/>
          </w:rPr>
          <w:fldChar w:fldCharType="end"/>
        </w:r>
      </w:hyperlink>
    </w:p>
    <w:p w14:paraId="388AAF6D" w14:textId="762F4D03"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50" w:history="1">
        <w:r w:rsidR="000B0A37" w:rsidRPr="00A777AF">
          <w:rPr>
            <w:rStyle w:val="a5"/>
            <w:noProof/>
          </w:rPr>
          <w:t xml:space="preserve">1.5 </w:t>
        </w:r>
        <w:r w:rsidR="000B0A37" w:rsidRPr="00A777AF">
          <w:rPr>
            <w:rStyle w:val="a5"/>
            <w:noProof/>
          </w:rPr>
          <w:t>研究方法</w:t>
        </w:r>
        <w:r w:rsidR="000B0A37">
          <w:rPr>
            <w:noProof/>
          </w:rPr>
          <w:tab/>
        </w:r>
        <w:r w:rsidR="000B0A37">
          <w:rPr>
            <w:noProof/>
          </w:rPr>
          <w:fldChar w:fldCharType="begin"/>
        </w:r>
        <w:r w:rsidR="000B0A37">
          <w:rPr>
            <w:noProof/>
          </w:rPr>
          <w:instrText xml:space="preserve"> PAGEREF _Toc149754950 \h </w:instrText>
        </w:r>
        <w:r w:rsidR="000B0A37">
          <w:rPr>
            <w:noProof/>
          </w:rPr>
        </w:r>
        <w:r w:rsidR="000B0A37">
          <w:rPr>
            <w:noProof/>
          </w:rPr>
          <w:fldChar w:fldCharType="separate"/>
        </w:r>
        <w:r w:rsidR="000B0A37">
          <w:rPr>
            <w:noProof/>
          </w:rPr>
          <w:t>8</w:t>
        </w:r>
        <w:r w:rsidR="000B0A37">
          <w:rPr>
            <w:noProof/>
          </w:rPr>
          <w:fldChar w:fldCharType="end"/>
        </w:r>
      </w:hyperlink>
    </w:p>
    <w:p w14:paraId="3B78A8A9" w14:textId="5AE5C19D" w:rsidR="000B0A3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49754951" w:history="1">
        <w:r w:rsidR="000B0A37" w:rsidRPr="00A777AF">
          <w:rPr>
            <w:rStyle w:val="a5"/>
            <w:noProof/>
          </w:rPr>
          <w:t xml:space="preserve">2 </w:t>
        </w:r>
        <w:r w:rsidR="000B0A37" w:rsidRPr="00A777AF">
          <w:rPr>
            <w:rStyle w:val="a5"/>
            <w:noProof/>
          </w:rPr>
          <w:t>注视点渲染系统的相关工作</w:t>
        </w:r>
        <w:r w:rsidR="000B0A37">
          <w:rPr>
            <w:noProof/>
          </w:rPr>
          <w:tab/>
        </w:r>
        <w:r w:rsidR="000B0A37">
          <w:rPr>
            <w:noProof/>
          </w:rPr>
          <w:fldChar w:fldCharType="begin"/>
        </w:r>
        <w:r w:rsidR="000B0A37">
          <w:rPr>
            <w:noProof/>
          </w:rPr>
          <w:instrText xml:space="preserve"> PAGEREF _Toc149754951 \h </w:instrText>
        </w:r>
        <w:r w:rsidR="000B0A37">
          <w:rPr>
            <w:noProof/>
          </w:rPr>
        </w:r>
        <w:r w:rsidR="000B0A37">
          <w:rPr>
            <w:noProof/>
          </w:rPr>
          <w:fldChar w:fldCharType="separate"/>
        </w:r>
        <w:r w:rsidR="000B0A37">
          <w:rPr>
            <w:noProof/>
          </w:rPr>
          <w:t>9</w:t>
        </w:r>
        <w:r w:rsidR="000B0A37">
          <w:rPr>
            <w:noProof/>
          </w:rPr>
          <w:fldChar w:fldCharType="end"/>
        </w:r>
      </w:hyperlink>
    </w:p>
    <w:p w14:paraId="1EEB40DA" w14:textId="0A0F7049"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52" w:history="1">
        <w:r w:rsidR="000B0A37" w:rsidRPr="00A777AF">
          <w:rPr>
            <w:rStyle w:val="a5"/>
            <w:noProof/>
          </w:rPr>
          <w:t xml:space="preserve">2.1 </w:t>
        </w:r>
        <w:r w:rsidR="000B0A37" w:rsidRPr="00A777AF">
          <w:rPr>
            <w:rStyle w:val="a5"/>
            <w:noProof/>
          </w:rPr>
          <w:t>视觉因素</w:t>
        </w:r>
        <w:r w:rsidR="000B0A37">
          <w:rPr>
            <w:noProof/>
          </w:rPr>
          <w:tab/>
        </w:r>
        <w:r w:rsidR="000B0A37">
          <w:rPr>
            <w:noProof/>
          </w:rPr>
          <w:fldChar w:fldCharType="begin"/>
        </w:r>
        <w:r w:rsidR="000B0A37">
          <w:rPr>
            <w:noProof/>
          </w:rPr>
          <w:instrText xml:space="preserve"> PAGEREF _Toc149754952 \h </w:instrText>
        </w:r>
        <w:r w:rsidR="000B0A37">
          <w:rPr>
            <w:noProof/>
          </w:rPr>
        </w:r>
        <w:r w:rsidR="000B0A37">
          <w:rPr>
            <w:noProof/>
          </w:rPr>
          <w:fldChar w:fldCharType="separate"/>
        </w:r>
        <w:r w:rsidR="000B0A37">
          <w:rPr>
            <w:noProof/>
          </w:rPr>
          <w:t>9</w:t>
        </w:r>
        <w:r w:rsidR="000B0A37">
          <w:rPr>
            <w:noProof/>
          </w:rPr>
          <w:fldChar w:fldCharType="end"/>
        </w:r>
      </w:hyperlink>
    </w:p>
    <w:p w14:paraId="42239C6C" w14:textId="63A70EB3"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53" w:history="1">
        <w:r w:rsidR="000B0A37" w:rsidRPr="00A777AF">
          <w:rPr>
            <w:rStyle w:val="a5"/>
            <w:noProof/>
          </w:rPr>
          <w:t xml:space="preserve">2.1.1 </w:t>
        </w:r>
        <w:r w:rsidR="000B0A37" w:rsidRPr="00A777AF">
          <w:rPr>
            <w:rStyle w:val="a5"/>
            <w:noProof/>
          </w:rPr>
          <w:t>视觉敏锐度</w:t>
        </w:r>
        <w:r w:rsidR="000B0A37">
          <w:rPr>
            <w:noProof/>
          </w:rPr>
          <w:tab/>
        </w:r>
        <w:r w:rsidR="000B0A37">
          <w:rPr>
            <w:noProof/>
          </w:rPr>
          <w:fldChar w:fldCharType="begin"/>
        </w:r>
        <w:r w:rsidR="000B0A37">
          <w:rPr>
            <w:noProof/>
          </w:rPr>
          <w:instrText xml:space="preserve"> PAGEREF _Toc149754953 \h </w:instrText>
        </w:r>
        <w:r w:rsidR="000B0A37">
          <w:rPr>
            <w:noProof/>
          </w:rPr>
        </w:r>
        <w:r w:rsidR="000B0A37">
          <w:rPr>
            <w:noProof/>
          </w:rPr>
          <w:fldChar w:fldCharType="separate"/>
        </w:r>
        <w:r w:rsidR="000B0A37">
          <w:rPr>
            <w:noProof/>
          </w:rPr>
          <w:t>10</w:t>
        </w:r>
        <w:r w:rsidR="000B0A37">
          <w:rPr>
            <w:noProof/>
          </w:rPr>
          <w:fldChar w:fldCharType="end"/>
        </w:r>
      </w:hyperlink>
    </w:p>
    <w:p w14:paraId="6B34C209" w14:textId="1974D032"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54" w:history="1">
        <w:r w:rsidR="000B0A37" w:rsidRPr="00A777AF">
          <w:rPr>
            <w:rStyle w:val="a5"/>
            <w:noProof/>
          </w:rPr>
          <w:t xml:space="preserve">2.1.2 </w:t>
        </w:r>
        <w:r w:rsidR="000B0A37" w:rsidRPr="00A777AF">
          <w:rPr>
            <w:rStyle w:val="a5"/>
            <w:noProof/>
          </w:rPr>
          <w:t>对比度</w:t>
        </w:r>
        <w:r w:rsidR="000B0A37">
          <w:rPr>
            <w:noProof/>
          </w:rPr>
          <w:tab/>
        </w:r>
        <w:r w:rsidR="000B0A37">
          <w:rPr>
            <w:noProof/>
          </w:rPr>
          <w:fldChar w:fldCharType="begin"/>
        </w:r>
        <w:r w:rsidR="000B0A37">
          <w:rPr>
            <w:noProof/>
          </w:rPr>
          <w:instrText xml:space="preserve"> PAGEREF _Toc149754954 \h </w:instrText>
        </w:r>
        <w:r w:rsidR="000B0A37">
          <w:rPr>
            <w:noProof/>
          </w:rPr>
        </w:r>
        <w:r w:rsidR="000B0A37">
          <w:rPr>
            <w:noProof/>
          </w:rPr>
          <w:fldChar w:fldCharType="separate"/>
        </w:r>
        <w:r w:rsidR="000B0A37">
          <w:rPr>
            <w:noProof/>
          </w:rPr>
          <w:t>10</w:t>
        </w:r>
        <w:r w:rsidR="000B0A37">
          <w:rPr>
            <w:noProof/>
          </w:rPr>
          <w:fldChar w:fldCharType="end"/>
        </w:r>
      </w:hyperlink>
    </w:p>
    <w:p w14:paraId="6204B533" w14:textId="3D720697"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55" w:history="1">
        <w:r w:rsidR="000B0A37" w:rsidRPr="00A777AF">
          <w:rPr>
            <w:rStyle w:val="a5"/>
            <w:noProof/>
          </w:rPr>
          <w:t xml:space="preserve">2.1.3 </w:t>
        </w:r>
        <w:r w:rsidR="000B0A37" w:rsidRPr="00A777AF">
          <w:rPr>
            <w:rStyle w:val="a5"/>
            <w:noProof/>
          </w:rPr>
          <w:t>周边运动和闪烁感知</w:t>
        </w:r>
        <w:r w:rsidR="000B0A37">
          <w:rPr>
            <w:noProof/>
          </w:rPr>
          <w:tab/>
        </w:r>
        <w:r w:rsidR="000B0A37">
          <w:rPr>
            <w:noProof/>
          </w:rPr>
          <w:fldChar w:fldCharType="begin"/>
        </w:r>
        <w:r w:rsidR="000B0A37">
          <w:rPr>
            <w:noProof/>
          </w:rPr>
          <w:instrText xml:space="preserve"> PAGEREF _Toc149754955 \h </w:instrText>
        </w:r>
        <w:r w:rsidR="000B0A37">
          <w:rPr>
            <w:noProof/>
          </w:rPr>
        </w:r>
        <w:r w:rsidR="000B0A37">
          <w:rPr>
            <w:noProof/>
          </w:rPr>
          <w:fldChar w:fldCharType="separate"/>
        </w:r>
        <w:r w:rsidR="000B0A37">
          <w:rPr>
            <w:noProof/>
          </w:rPr>
          <w:t>11</w:t>
        </w:r>
        <w:r w:rsidR="000B0A37">
          <w:rPr>
            <w:noProof/>
          </w:rPr>
          <w:fldChar w:fldCharType="end"/>
        </w:r>
      </w:hyperlink>
    </w:p>
    <w:p w14:paraId="69A84EF3" w14:textId="5E08E158"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56" w:history="1">
        <w:r w:rsidR="000B0A37" w:rsidRPr="00A777AF">
          <w:rPr>
            <w:rStyle w:val="a5"/>
            <w:noProof/>
          </w:rPr>
          <w:t xml:space="preserve">2.2 </w:t>
        </w:r>
        <w:r w:rsidR="000B0A37" w:rsidRPr="00A777AF">
          <w:rPr>
            <w:rStyle w:val="a5"/>
            <w:noProof/>
          </w:rPr>
          <w:t>基于偏心率的视觉模型</w:t>
        </w:r>
        <w:r w:rsidR="000B0A37">
          <w:rPr>
            <w:noProof/>
          </w:rPr>
          <w:tab/>
        </w:r>
        <w:r w:rsidR="000B0A37">
          <w:rPr>
            <w:noProof/>
          </w:rPr>
          <w:fldChar w:fldCharType="begin"/>
        </w:r>
        <w:r w:rsidR="000B0A37">
          <w:rPr>
            <w:noProof/>
          </w:rPr>
          <w:instrText xml:space="preserve"> PAGEREF _Toc149754956 \h </w:instrText>
        </w:r>
        <w:r w:rsidR="000B0A37">
          <w:rPr>
            <w:noProof/>
          </w:rPr>
        </w:r>
        <w:r w:rsidR="000B0A37">
          <w:rPr>
            <w:noProof/>
          </w:rPr>
          <w:fldChar w:fldCharType="separate"/>
        </w:r>
        <w:r w:rsidR="000B0A37">
          <w:rPr>
            <w:noProof/>
          </w:rPr>
          <w:t>12</w:t>
        </w:r>
        <w:r w:rsidR="000B0A37">
          <w:rPr>
            <w:noProof/>
          </w:rPr>
          <w:fldChar w:fldCharType="end"/>
        </w:r>
      </w:hyperlink>
    </w:p>
    <w:p w14:paraId="78E9AFEB" w14:textId="2E283CF7"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57" w:history="1">
        <w:r w:rsidR="000B0A37" w:rsidRPr="00A777AF">
          <w:rPr>
            <w:rStyle w:val="a5"/>
            <w:noProof/>
          </w:rPr>
          <w:t xml:space="preserve">2.2.1 </w:t>
        </w:r>
        <w:r w:rsidR="000B0A37" w:rsidRPr="00A777AF">
          <w:rPr>
            <w:rStyle w:val="a5"/>
            <w:noProof/>
          </w:rPr>
          <w:t>双曲线模型</w:t>
        </w:r>
        <w:r w:rsidR="000B0A37">
          <w:rPr>
            <w:noProof/>
          </w:rPr>
          <w:tab/>
        </w:r>
        <w:r w:rsidR="000B0A37">
          <w:rPr>
            <w:noProof/>
          </w:rPr>
          <w:fldChar w:fldCharType="begin"/>
        </w:r>
        <w:r w:rsidR="000B0A37">
          <w:rPr>
            <w:noProof/>
          </w:rPr>
          <w:instrText xml:space="preserve"> PAGEREF _Toc149754957 \h </w:instrText>
        </w:r>
        <w:r w:rsidR="000B0A37">
          <w:rPr>
            <w:noProof/>
          </w:rPr>
        </w:r>
        <w:r w:rsidR="000B0A37">
          <w:rPr>
            <w:noProof/>
          </w:rPr>
          <w:fldChar w:fldCharType="separate"/>
        </w:r>
        <w:r w:rsidR="000B0A37">
          <w:rPr>
            <w:noProof/>
          </w:rPr>
          <w:t>12</w:t>
        </w:r>
        <w:r w:rsidR="000B0A37">
          <w:rPr>
            <w:noProof/>
          </w:rPr>
          <w:fldChar w:fldCharType="end"/>
        </w:r>
      </w:hyperlink>
    </w:p>
    <w:p w14:paraId="380EBCF0" w14:textId="4770142F"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58" w:history="1">
        <w:r w:rsidR="000B0A37" w:rsidRPr="00A777AF">
          <w:rPr>
            <w:rStyle w:val="a5"/>
            <w:noProof/>
          </w:rPr>
          <w:t xml:space="preserve">2.2.2 </w:t>
        </w:r>
        <w:r w:rsidR="000B0A37" w:rsidRPr="00A777AF">
          <w:rPr>
            <w:rStyle w:val="a5"/>
            <w:noProof/>
          </w:rPr>
          <w:t>线性模型</w:t>
        </w:r>
        <w:r w:rsidR="000B0A37">
          <w:rPr>
            <w:noProof/>
          </w:rPr>
          <w:tab/>
        </w:r>
        <w:r w:rsidR="000B0A37">
          <w:rPr>
            <w:noProof/>
          </w:rPr>
          <w:fldChar w:fldCharType="begin"/>
        </w:r>
        <w:r w:rsidR="000B0A37">
          <w:rPr>
            <w:noProof/>
          </w:rPr>
          <w:instrText xml:space="preserve"> PAGEREF _Toc149754958 \h </w:instrText>
        </w:r>
        <w:r w:rsidR="000B0A37">
          <w:rPr>
            <w:noProof/>
          </w:rPr>
        </w:r>
        <w:r w:rsidR="000B0A37">
          <w:rPr>
            <w:noProof/>
          </w:rPr>
          <w:fldChar w:fldCharType="separate"/>
        </w:r>
        <w:r w:rsidR="000B0A37">
          <w:rPr>
            <w:noProof/>
          </w:rPr>
          <w:t>13</w:t>
        </w:r>
        <w:r w:rsidR="000B0A37">
          <w:rPr>
            <w:noProof/>
          </w:rPr>
          <w:fldChar w:fldCharType="end"/>
        </w:r>
      </w:hyperlink>
    </w:p>
    <w:p w14:paraId="287312B0" w14:textId="181EA9FD"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59" w:history="1">
        <w:r w:rsidR="000B0A37" w:rsidRPr="00A777AF">
          <w:rPr>
            <w:rStyle w:val="a5"/>
            <w:noProof/>
          </w:rPr>
          <w:t xml:space="preserve">2.2.3 </w:t>
        </w:r>
        <w:r w:rsidR="000B0A37" w:rsidRPr="00A777AF">
          <w:rPr>
            <w:rStyle w:val="a5"/>
            <w:noProof/>
          </w:rPr>
          <w:t>对数模型</w:t>
        </w:r>
        <w:r w:rsidR="000B0A37">
          <w:rPr>
            <w:noProof/>
          </w:rPr>
          <w:tab/>
        </w:r>
        <w:r w:rsidR="000B0A37">
          <w:rPr>
            <w:noProof/>
          </w:rPr>
          <w:fldChar w:fldCharType="begin"/>
        </w:r>
        <w:r w:rsidR="000B0A37">
          <w:rPr>
            <w:noProof/>
          </w:rPr>
          <w:instrText xml:space="preserve"> PAGEREF _Toc149754959 \h </w:instrText>
        </w:r>
        <w:r w:rsidR="000B0A37">
          <w:rPr>
            <w:noProof/>
          </w:rPr>
        </w:r>
        <w:r w:rsidR="000B0A37">
          <w:rPr>
            <w:noProof/>
          </w:rPr>
          <w:fldChar w:fldCharType="separate"/>
        </w:r>
        <w:r w:rsidR="000B0A37">
          <w:rPr>
            <w:noProof/>
          </w:rPr>
          <w:t>13</w:t>
        </w:r>
        <w:r w:rsidR="000B0A37">
          <w:rPr>
            <w:noProof/>
          </w:rPr>
          <w:fldChar w:fldCharType="end"/>
        </w:r>
      </w:hyperlink>
    </w:p>
    <w:p w14:paraId="61A0B90F" w14:textId="029D1F84"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60" w:history="1">
        <w:r w:rsidR="000B0A37" w:rsidRPr="00A777AF">
          <w:rPr>
            <w:rStyle w:val="a5"/>
            <w:noProof/>
          </w:rPr>
          <w:t xml:space="preserve">2.2.4 </w:t>
        </w:r>
        <w:r w:rsidR="000B0A37" w:rsidRPr="00A777AF">
          <w:rPr>
            <w:rStyle w:val="a5"/>
            <w:noProof/>
          </w:rPr>
          <w:t>其他模型</w:t>
        </w:r>
        <w:r w:rsidR="000B0A37">
          <w:rPr>
            <w:noProof/>
          </w:rPr>
          <w:tab/>
        </w:r>
        <w:r w:rsidR="000B0A37">
          <w:rPr>
            <w:noProof/>
          </w:rPr>
          <w:fldChar w:fldCharType="begin"/>
        </w:r>
        <w:r w:rsidR="000B0A37">
          <w:rPr>
            <w:noProof/>
          </w:rPr>
          <w:instrText xml:space="preserve"> PAGEREF _Toc149754960 \h </w:instrText>
        </w:r>
        <w:r w:rsidR="000B0A37">
          <w:rPr>
            <w:noProof/>
          </w:rPr>
        </w:r>
        <w:r w:rsidR="000B0A37">
          <w:rPr>
            <w:noProof/>
          </w:rPr>
          <w:fldChar w:fldCharType="separate"/>
        </w:r>
        <w:r w:rsidR="000B0A37">
          <w:rPr>
            <w:noProof/>
          </w:rPr>
          <w:t>14</w:t>
        </w:r>
        <w:r w:rsidR="000B0A37">
          <w:rPr>
            <w:noProof/>
          </w:rPr>
          <w:fldChar w:fldCharType="end"/>
        </w:r>
      </w:hyperlink>
    </w:p>
    <w:p w14:paraId="6DE86D75" w14:textId="51F44CBC"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61" w:history="1">
        <w:r w:rsidR="000B0A37" w:rsidRPr="00A777AF">
          <w:rPr>
            <w:rStyle w:val="a5"/>
            <w:noProof/>
          </w:rPr>
          <w:t xml:space="preserve">2.3 </w:t>
        </w:r>
        <w:r w:rsidR="000B0A37" w:rsidRPr="00A777AF">
          <w:rPr>
            <w:rStyle w:val="a5"/>
            <w:noProof/>
          </w:rPr>
          <w:t>注视点渲染空间</w:t>
        </w:r>
        <w:r w:rsidR="000B0A37">
          <w:rPr>
            <w:noProof/>
          </w:rPr>
          <w:tab/>
        </w:r>
        <w:r w:rsidR="000B0A37">
          <w:rPr>
            <w:noProof/>
          </w:rPr>
          <w:fldChar w:fldCharType="begin"/>
        </w:r>
        <w:r w:rsidR="000B0A37">
          <w:rPr>
            <w:noProof/>
          </w:rPr>
          <w:instrText xml:space="preserve"> PAGEREF _Toc149754961 \h </w:instrText>
        </w:r>
        <w:r w:rsidR="000B0A37">
          <w:rPr>
            <w:noProof/>
          </w:rPr>
        </w:r>
        <w:r w:rsidR="000B0A37">
          <w:rPr>
            <w:noProof/>
          </w:rPr>
          <w:fldChar w:fldCharType="separate"/>
        </w:r>
        <w:r w:rsidR="000B0A37">
          <w:rPr>
            <w:noProof/>
          </w:rPr>
          <w:t>15</w:t>
        </w:r>
        <w:r w:rsidR="000B0A37">
          <w:rPr>
            <w:noProof/>
          </w:rPr>
          <w:fldChar w:fldCharType="end"/>
        </w:r>
      </w:hyperlink>
    </w:p>
    <w:p w14:paraId="08BC08C2" w14:textId="5E0BD1DD"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62" w:history="1">
        <w:r w:rsidR="000B0A37" w:rsidRPr="00A777AF">
          <w:rPr>
            <w:rStyle w:val="a5"/>
            <w:noProof/>
          </w:rPr>
          <w:t xml:space="preserve">2.3.1 </w:t>
        </w:r>
        <w:r w:rsidR="000B0A37" w:rsidRPr="00A777AF">
          <w:rPr>
            <w:rStyle w:val="a5"/>
            <w:noProof/>
          </w:rPr>
          <w:t>屏幕空间</w:t>
        </w:r>
        <w:r w:rsidR="000B0A37">
          <w:rPr>
            <w:noProof/>
          </w:rPr>
          <w:tab/>
        </w:r>
        <w:r w:rsidR="000B0A37">
          <w:rPr>
            <w:noProof/>
          </w:rPr>
          <w:fldChar w:fldCharType="begin"/>
        </w:r>
        <w:r w:rsidR="000B0A37">
          <w:rPr>
            <w:noProof/>
          </w:rPr>
          <w:instrText xml:space="preserve"> PAGEREF _Toc149754962 \h </w:instrText>
        </w:r>
        <w:r w:rsidR="000B0A37">
          <w:rPr>
            <w:noProof/>
          </w:rPr>
        </w:r>
        <w:r w:rsidR="000B0A37">
          <w:rPr>
            <w:noProof/>
          </w:rPr>
          <w:fldChar w:fldCharType="separate"/>
        </w:r>
        <w:r w:rsidR="000B0A37">
          <w:rPr>
            <w:noProof/>
          </w:rPr>
          <w:t>16</w:t>
        </w:r>
        <w:r w:rsidR="000B0A37">
          <w:rPr>
            <w:noProof/>
          </w:rPr>
          <w:fldChar w:fldCharType="end"/>
        </w:r>
      </w:hyperlink>
    </w:p>
    <w:p w14:paraId="30A8B9A4" w14:textId="0D8F725B"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63" w:history="1">
        <w:r w:rsidR="000B0A37" w:rsidRPr="00A777AF">
          <w:rPr>
            <w:rStyle w:val="a5"/>
            <w:noProof/>
          </w:rPr>
          <w:t xml:space="preserve">2.3.2 </w:t>
        </w:r>
        <w:r w:rsidR="000B0A37" w:rsidRPr="00A777AF">
          <w:rPr>
            <w:rStyle w:val="a5"/>
            <w:noProof/>
          </w:rPr>
          <w:t>对象空间</w:t>
        </w:r>
        <w:r w:rsidR="000B0A37">
          <w:rPr>
            <w:noProof/>
          </w:rPr>
          <w:tab/>
        </w:r>
        <w:r w:rsidR="000B0A37">
          <w:rPr>
            <w:noProof/>
          </w:rPr>
          <w:fldChar w:fldCharType="begin"/>
        </w:r>
        <w:r w:rsidR="000B0A37">
          <w:rPr>
            <w:noProof/>
          </w:rPr>
          <w:instrText xml:space="preserve"> PAGEREF _Toc149754963 \h </w:instrText>
        </w:r>
        <w:r w:rsidR="000B0A37">
          <w:rPr>
            <w:noProof/>
          </w:rPr>
        </w:r>
        <w:r w:rsidR="000B0A37">
          <w:rPr>
            <w:noProof/>
          </w:rPr>
          <w:fldChar w:fldCharType="separate"/>
        </w:r>
        <w:r w:rsidR="000B0A37">
          <w:rPr>
            <w:noProof/>
          </w:rPr>
          <w:t>16</w:t>
        </w:r>
        <w:r w:rsidR="000B0A37">
          <w:rPr>
            <w:noProof/>
          </w:rPr>
          <w:fldChar w:fldCharType="end"/>
        </w:r>
      </w:hyperlink>
    </w:p>
    <w:p w14:paraId="53E6A723" w14:textId="05820D1F"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64" w:history="1">
        <w:r w:rsidR="000B0A37" w:rsidRPr="00A777AF">
          <w:rPr>
            <w:rStyle w:val="a5"/>
            <w:noProof/>
          </w:rPr>
          <w:t xml:space="preserve">2.4 </w:t>
        </w:r>
        <w:r w:rsidR="000B0A37" w:rsidRPr="00A777AF">
          <w:rPr>
            <w:rStyle w:val="a5"/>
            <w:noProof/>
          </w:rPr>
          <w:t>注视点类型</w:t>
        </w:r>
        <w:r w:rsidR="000B0A37">
          <w:rPr>
            <w:noProof/>
          </w:rPr>
          <w:tab/>
        </w:r>
        <w:r w:rsidR="000B0A37">
          <w:rPr>
            <w:noProof/>
          </w:rPr>
          <w:fldChar w:fldCharType="begin"/>
        </w:r>
        <w:r w:rsidR="000B0A37">
          <w:rPr>
            <w:noProof/>
          </w:rPr>
          <w:instrText xml:space="preserve"> PAGEREF _Toc149754964 \h </w:instrText>
        </w:r>
        <w:r w:rsidR="000B0A37">
          <w:rPr>
            <w:noProof/>
          </w:rPr>
        </w:r>
        <w:r w:rsidR="000B0A37">
          <w:rPr>
            <w:noProof/>
          </w:rPr>
          <w:fldChar w:fldCharType="separate"/>
        </w:r>
        <w:r w:rsidR="000B0A37">
          <w:rPr>
            <w:noProof/>
          </w:rPr>
          <w:t>17</w:t>
        </w:r>
        <w:r w:rsidR="000B0A37">
          <w:rPr>
            <w:noProof/>
          </w:rPr>
          <w:fldChar w:fldCharType="end"/>
        </w:r>
      </w:hyperlink>
    </w:p>
    <w:p w14:paraId="52A6CC65" w14:textId="0C5F0C95"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65" w:history="1">
        <w:r w:rsidR="000B0A37" w:rsidRPr="00A777AF">
          <w:rPr>
            <w:rStyle w:val="a5"/>
            <w:noProof/>
          </w:rPr>
          <w:t xml:space="preserve">2.4.1 </w:t>
        </w:r>
        <w:r w:rsidR="000B0A37" w:rsidRPr="00A777AF">
          <w:rPr>
            <w:rStyle w:val="a5"/>
            <w:noProof/>
          </w:rPr>
          <w:t>静态注视点</w:t>
        </w:r>
        <w:r w:rsidR="000B0A37">
          <w:rPr>
            <w:noProof/>
          </w:rPr>
          <w:tab/>
        </w:r>
        <w:r w:rsidR="000B0A37">
          <w:rPr>
            <w:noProof/>
          </w:rPr>
          <w:fldChar w:fldCharType="begin"/>
        </w:r>
        <w:r w:rsidR="000B0A37">
          <w:rPr>
            <w:noProof/>
          </w:rPr>
          <w:instrText xml:space="preserve"> PAGEREF _Toc149754965 \h </w:instrText>
        </w:r>
        <w:r w:rsidR="000B0A37">
          <w:rPr>
            <w:noProof/>
          </w:rPr>
        </w:r>
        <w:r w:rsidR="000B0A37">
          <w:rPr>
            <w:noProof/>
          </w:rPr>
          <w:fldChar w:fldCharType="separate"/>
        </w:r>
        <w:r w:rsidR="000B0A37">
          <w:rPr>
            <w:noProof/>
          </w:rPr>
          <w:t>17</w:t>
        </w:r>
        <w:r w:rsidR="000B0A37">
          <w:rPr>
            <w:noProof/>
          </w:rPr>
          <w:fldChar w:fldCharType="end"/>
        </w:r>
      </w:hyperlink>
    </w:p>
    <w:p w14:paraId="63FC20FF" w14:textId="07840A1B"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66" w:history="1">
        <w:r w:rsidR="000B0A37" w:rsidRPr="00A777AF">
          <w:rPr>
            <w:rStyle w:val="a5"/>
            <w:noProof/>
          </w:rPr>
          <w:t xml:space="preserve">2.4.2 </w:t>
        </w:r>
        <w:r w:rsidR="000B0A37" w:rsidRPr="00A777AF">
          <w:rPr>
            <w:rStyle w:val="a5"/>
            <w:noProof/>
          </w:rPr>
          <w:t>动态注视点</w:t>
        </w:r>
        <w:r w:rsidR="000B0A37">
          <w:rPr>
            <w:noProof/>
          </w:rPr>
          <w:tab/>
        </w:r>
        <w:r w:rsidR="000B0A37">
          <w:rPr>
            <w:noProof/>
          </w:rPr>
          <w:fldChar w:fldCharType="begin"/>
        </w:r>
        <w:r w:rsidR="000B0A37">
          <w:rPr>
            <w:noProof/>
          </w:rPr>
          <w:instrText xml:space="preserve"> PAGEREF _Toc149754966 \h </w:instrText>
        </w:r>
        <w:r w:rsidR="000B0A37">
          <w:rPr>
            <w:noProof/>
          </w:rPr>
        </w:r>
        <w:r w:rsidR="000B0A37">
          <w:rPr>
            <w:noProof/>
          </w:rPr>
          <w:fldChar w:fldCharType="separate"/>
        </w:r>
        <w:r w:rsidR="000B0A37">
          <w:rPr>
            <w:noProof/>
          </w:rPr>
          <w:t>17</w:t>
        </w:r>
        <w:r w:rsidR="000B0A37">
          <w:rPr>
            <w:noProof/>
          </w:rPr>
          <w:fldChar w:fldCharType="end"/>
        </w:r>
      </w:hyperlink>
    </w:p>
    <w:p w14:paraId="5A8ABC77" w14:textId="66659EB6"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67" w:history="1">
        <w:r w:rsidR="000B0A37" w:rsidRPr="00A777AF">
          <w:rPr>
            <w:rStyle w:val="a5"/>
            <w:noProof/>
          </w:rPr>
          <w:t xml:space="preserve">2.5 </w:t>
        </w:r>
        <w:r w:rsidR="000B0A37" w:rsidRPr="00A777AF">
          <w:rPr>
            <w:rStyle w:val="a5"/>
            <w:noProof/>
          </w:rPr>
          <w:t>反走样</w:t>
        </w:r>
        <w:r w:rsidR="000B0A37">
          <w:rPr>
            <w:noProof/>
          </w:rPr>
          <w:tab/>
        </w:r>
        <w:r w:rsidR="000B0A37">
          <w:rPr>
            <w:noProof/>
          </w:rPr>
          <w:fldChar w:fldCharType="begin"/>
        </w:r>
        <w:r w:rsidR="000B0A37">
          <w:rPr>
            <w:noProof/>
          </w:rPr>
          <w:instrText xml:space="preserve"> PAGEREF _Toc149754967 \h </w:instrText>
        </w:r>
        <w:r w:rsidR="000B0A37">
          <w:rPr>
            <w:noProof/>
          </w:rPr>
        </w:r>
        <w:r w:rsidR="000B0A37">
          <w:rPr>
            <w:noProof/>
          </w:rPr>
          <w:fldChar w:fldCharType="separate"/>
        </w:r>
        <w:r w:rsidR="000B0A37">
          <w:rPr>
            <w:noProof/>
          </w:rPr>
          <w:t>18</w:t>
        </w:r>
        <w:r w:rsidR="000B0A37">
          <w:rPr>
            <w:noProof/>
          </w:rPr>
          <w:fldChar w:fldCharType="end"/>
        </w:r>
      </w:hyperlink>
    </w:p>
    <w:p w14:paraId="176CF54E" w14:textId="38AFCADC"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68" w:history="1">
        <w:r w:rsidR="000B0A37" w:rsidRPr="00A777AF">
          <w:rPr>
            <w:rStyle w:val="a5"/>
            <w:noProof/>
          </w:rPr>
          <w:t xml:space="preserve">2.5.1 </w:t>
        </w:r>
        <w:r w:rsidR="000B0A37" w:rsidRPr="00A777AF">
          <w:rPr>
            <w:rStyle w:val="a5"/>
            <w:noProof/>
          </w:rPr>
          <w:t>避免走样</w:t>
        </w:r>
        <w:r w:rsidR="000B0A37">
          <w:rPr>
            <w:noProof/>
          </w:rPr>
          <w:tab/>
        </w:r>
        <w:r w:rsidR="000B0A37">
          <w:rPr>
            <w:noProof/>
          </w:rPr>
          <w:fldChar w:fldCharType="begin"/>
        </w:r>
        <w:r w:rsidR="000B0A37">
          <w:rPr>
            <w:noProof/>
          </w:rPr>
          <w:instrText xml:space="preserve"> PAGEREF _Toc149754968 \h </w:instrText>
        </w:r>
        <w:r w:rsidR="000B0A37">
          <w:rPr>
            <w:noProof/>
          </w:rPr>
        </w:r>
        <w:r w:rsidR="000B0A37">
          <w:rPr>
            <w:noProof/>
          </w:rPr>
          <w:fldChar w:fldCharType="separate"/>
        </w:r>
        <w:r w:rsidR="000B0A37">
          <w:rPr>
            <w:noProof/>
          </w:rPr>
          <w:t>18</w:t>
        </w:r>
        <w:r w:rsidR="000B0A37">
          <w:rPr>
            <w:noProof/>
          </w:rPr>
          <w:fldChar w:fldCharType="end"/>
        </w:r>
      </w:hyperlink>
    </w:p>
    <w:p w14:paraId="4A0B5D2B" w14:textId="5101A0FB"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69" w:history="1">
        <w:r w:rsidR="000B0A37" w:rsidRPr="00A777AF">
          <w:rPr>
            <w:rStyle w:val="a5"/>
            <w:noProof/>
          </w:rPr>
          <w:t xml:space="preserve">2.5.2 </w:t>
        </w:r>
        <w:r w:rsidR="000B0A37" w:rsidRPr="00A777AF">
          <w:rPr>
            <w:rStyle w:val="a5"/>
            <w:noProof/>
          </w:rPr>
          <w:t>消除走样</w:t>
        </w:r>
        <w:r w:rsidR="000B0A37">
          <w:rPr>
            <w:noProof/>
          </w:rPr>
          <w:tab/>
        </w:r>
        <w:r w:rsidR="000B0A37">
          <w:rPr>
            <w:noProof/>
          </w:rPr>
          <w:fldChar w:fldCharType="begin"/>
        </w:r>
        <w:r w:rsidR="000B0A37">
          <w:rPr>
            <w:noProof/>
          </w:rPr>
          <w:instrText xml:space="preserve"> PAGEREF _Toc149754969 \h </w:instrText>
        </w:r>
        <w:r w:rsidR="000B0A37">
          <w:rPr>
            <w:noProof/>
          </w:rPr>
        </w:r>
        <w:r w:rsidR="000B0A37">
          <w:rPr>
            <w:noProof/>
          </w:rPr>
          <w:fldChar w:fldCharType="separate"/>
        </w:r>
        <w:r w:rsidR="000B0A37">
          <w:rPr>
            <w:noProof/>
          </w:rPr>
          <w:t>19</w:t>
        </w:r>
        <w:r w:rsidR="000B0A37">
          <w:rPr>
            <w:noProof/>
          </w:rPr>
          <w:fldChar w:fldCharType="end"/>
        </w:r>
      </w:hyperlink>
    </w:p>
    <w:p w14:paraId="31021E6D" w14:textId="2B37CE8C" w:rsidR="000B0A3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49754970" w:history="1">
        <w:r w:rsidR="000B0A37" w:rsidRPr="00A777AF">
          <w:rPr>
            <w:rStyle w:val="a5"/>
            <w:noProof/>
          </w:rPr>
          <w:t xml:space="preserve">3 </w:t>
        </w:r>
        <w:r w:rsidR="000B0A37" w:rsidRPr="00A777AF">
          <w:rPr>
            <w:rStyle w:val="a5"/>
            <w:noProof/>
          </w:rPr>
          <w:t>方法理论与设计</w:t>
        </w:r>
        <w:r w:rsidR="000B0A37">
          <w:rPr>
            <w:noProof/>
          </w:rPr>
          <w:tab/>
        </w:r>
        <w:r w:rsidR="000B0A37">
          <w:rPr>
            <w:noProof/>
          </w:rPr>
          <w:fldChar w:fldCharType="begin"/>
        </w:r>
        <w:r w:rsidR="000B0A37">
          <w:rPr>
            <w:noProof/>
          </w:rPr>
          <w:instrText xml:space="preserve"> PAGEREF _Toc149754970 \h </w:instrText>
        </w:r>
        <w:r w:rsidR="000B0A37">
          <w:rPr>
            <w:noProof/>
          </w:rPr>
        </w:r>
        <w:r w:rsidR="000B0A37">
          <w:rPr>
            <w:noProof/>
          </w:rPr>
          <w:fldChar w:fldCharType="separate"/>
        </w:r>
        <w:r w:rsidR="000B0A37">
          <w:rPr>
            <w:noProof/>
          </w:rPr>
          <w:t>20</w:t>
        </w:r>
        <w:r w:rsidR="000B0A37">
          <w:rPr>
            <w:noProof/>
          </w:rPr>
          <w:fldChar w:fldCharType="end"/>
        </w:r>
      </w:hyperlink>
    </w:p>
    <w:p w14:paraId="39561357" w14:textId="0BA24D20"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71" w:history="1">
        <w:r w:rsidR="000B0A37" w:rsidRPr="00A777AF">
          <w:rPr>
            <w:rStyle w:val="a5"/>
            <w:noProof/>
          </w:rPr>
          <w:t xml:space="preserve">3.1 </w:t>
        </w:r>
        <w:r w:rsidR="000B0A37" w:rsidRPr="00A777AF">
          <w:rPr>
            <w:rStyle w:val="a5"/>
            <w:noProof/>
          </w:rPr>
          <w:t>基于矩形内部映射的图像变换</w:t>
        </w:r>
        <w:r w:rsidR="000B0A37">
          <w:rPr>
            <w:noProof/>
          </w:rPr>
          <w:tab/>
        </w:r>
        <w:r w:rsidR="000B0A37">
          <w:rPr>
            <w:noProof/>
          </w:rPr>
          <w:fldChar w:fldCharType="begin"/>
        </w:r>
        <w:r w:rsidR="000B0A37">
          <w:rPr>
            <w:noProof/>
          </w:rPr>
          <w:instrText xml:space="preserve"> PAGEREF _Toc149754971 \h </w:instrText>
        </w:r>
        <w:r w:rsidR="000B0A37">
          <w:rPr>
            <w:noProof/>
          </w:rPr>
        </w:r>
        <w:r w:rsidR="000B0A37">
          <w:rPr>
            <w:noProof/>
          </w:rPr>
          <w:fldChar w:fldCharType="separate"/>
        </w:r>
        <w:r w:rsidR="000B0A37">
          <w:rPr>
            <w:noProof/>
          </w:rPr>
          <w:t>20</w:t>
        </w:r>
        <w:r w:rsidR="000B0A37">
          <w:rPr>
            <w:noProof/>
          </w:rPr>
          <w:fldChar w:fldCharType="end"/>
        </w:r>
      </w:hyperlink>
    </w:p>
    <w:p w14:paraId="3630BEFB" w14:textId="50F5EBEA"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72" w:history="1">
        <w:r w:rsidR="000B0A37" w:rsidRPr="00A777AF">
          <w:rPr>
            <w:rStyle w:val="a5"/>
            <w:noProof/>
          </w:rPr>
          <w:t xml:space="preserve">3.1.1 </w:t>
        </w:r>
        <w:r w:rsidR="000B0A37" w:rsidRPr="00A777AF">
          <w:rPr>
            <w:rStyle w:val="a5"/>
            <w:noProof/>
          </w:rPr>
          <w:t>一维空间下的采样点分布</w:t>
        </w:r>
        <w:r w:rsidR="000B0A37">
          <w:rPr>
            <w:noProof/>
          </w:rPr>
          <w:tab/>
        </w:r>
        <w:r w:rsidR="000B0A37">
          <w:rPr>
            <w:noProof/>
          </w:rPr>
          <w:fldChar w:fldCharType="begin"/>
        </w:r>
        <w:r w:rsidR="000B0A37">
          <w:rPr>
            <w:noProof/>
          </w:rPr>
          <w:instrText xml:space="preserve"> PAGEREF _Toc149754972 \h </w:instrText>
        </w:r>
        <w:r w:rsidR="000B0A37">
          <w:rPr>
            <w:noProof/>
          </w:rPr>
        </w:r>
        <w:r w:rsidR="000B0A37">
          <w:rPr>
            <w:noProof/>
          </w:rPr>
          <w:fldChar w:fldCharType="separate"/>
        </w:r>
        <w:r w:rsidR="000B0A37">
          <w:rPr>
            <w:noProof/>
          </w:rPr>
          <w:t>20</w:t>
        </w:r>
        <w:r w:rsidR="000B0A37">
          <w:rPr>
            <w:noProof/>
          </w:rPr>
          <w:fldChar w:fldCharType="end"/>
        </w:r>
      </w:hyperlink>
    </w:p>
    <w:p w14:paraId="071B7CE0" w14:textId="00B01CAA"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73" w:history="1">
        <w:r w:rsidR="000B0A37" w:rsidRPr="00A777AF">
          <w:rPr>
            <w:rStyle w:val="a5"/>
            <w:noProof/>
          </w:rPr>
          <w:t xml:space="preserve">3.1.2 </w:t>
        </w:r>
        <w:r w:rsidR="000B0A37" w:rsidRPr="00A777AF">
          <w:rPr>
            <w:rStyle w:val="a5"/>
            <w:noProof/>
          </w:rPr>
          <w:t>二维空间下的采样点映射</w:t>
        </w:r>
        <w:r w:rsidR="000B0A37">
          <w:rPr>
            <w:noProof/>
          </w:rPr>
          <w:tab/>
        </w:r>
        <w:r w:rsidR="000B0A37">
          <w:rPr>
            <w:noProof/>
          </w:rPr>
          <w:fldChar w:fldCharType="begin"/>
        </w:r>
        <w:r w:rsidR="000B0A37">
          <w:rPr>
            <w:noProof/>
          </w:rPr>
          <w:instrText xml:space="preserve"> PAGEREF _Toc149754973 \h </w:instrText>
        </w:r>
        <w:r w:rsidR="000B0A37">
          <w:rPr>
            <w:noProof/>
          </w:rPr>
        </w:r>
        <w:r w:rsidR="000B0A37">
          <w:rPr>
            <w:noProof/>
          </w:rPr>
          <w:fldChar w:fldCharType="separate"/>
        </w:r>
        <w:r w:rsidR="000B0A37">
          <w:rPr>
            <w:noProof/>
          </w:rPr>
          <w:t>21</w:t>
        </w:r>
        <w:r w:rsidR="000B0A37">
          <w:rPr>
            <w:noProof/>
          </w:rPr>
          <w:fldChar w:fldCharType="end"/>
        </w:r>
      </w:hyperlink>
    </w:p>
    <w:p w14:paraId="4492611C" w14:textId="2068B496"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74" w:history="1">
        <w:r w:rsidR="000B0A37" w:rsidRPr="00A777AF">
          <w:rPr>
            <w:rStyle w:val="a5"/>
            <w:noProof/>
          </w:rPr>
          <w:t xml:space="preserve">3.2 </w:t>
        </w:r>
        <w:r w:rsidR="000B0A37" w:rsidRPr="00A777AF">
          <w:rPr>
            <w:rStyle w:val="a5"/>
            <w:noProof/>
          </w:rPr>
          <w:t>矩形与圆盘的区域映射</w:t>
        </w:r>
        <w:r w:rsidR="000B0A37">
          <w:rPr>
            <w:noProof/>
          </w:rPr>
          <w:tab/>
        </w:r>
        <w:r w:rsidR="000B0A37">
          <w:rPr>
            <w:noProof/>
          </w:rPr>
          <w:fldChar w:fldCharType="begin"/>
        </w:r>
        <w:r w:rsidR="000B0A37">
          <w:rPr>
            <w:noProof/>
          </w:rPr>
          <w:instrText xml:space="preserve"> PAGEREF _Toc149754974 \h </w:instrText>
        </w:r>
        <w:r w:rsidR="000B0A37">
          <w:rPr>
            <w:noProof/>
          </w:rPr>
        </w:r>
        <w:r w:rsidR="000B0A37">
          <w:rPr>
            <w:noProof/>
          </w:rPr>
          <w:fldChar w:fldCharType="separate"/>
        </w:r>
        <w:r w:rsidR="000B0A37">
          <w:rPr>
            <w:noProof/>
          </w:rPr>
          <w:t>23</w:t>
        </w:r>
        <w:r w:rsidR="000B0A37">
          <w:rPr>
            <w:noProof/>
          </w:rPr>
          <w:fldChar w:fldCharType="end"/>
        </w:r>
      </w:hyperlink>
    </w:p>
    <w:p w14:paraId="3EA450CE" w14:textId="44D390E9"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75" w:history="1">
        <w:r w:rsidR="000B0A37" w:rsidRPr="00A777AF">
          <w:rPr>
            <w:rStyle w:val="a5"/>
            <w:noProof/>
          </w:rPr>
          <w:t xml:space="preserve">3.2.1 </w:t>
        </w:r>
        <w:r w:rsidR="000B0A37" w:rsidRPr="00A777AF">
          <w:rPr>
            <w:rStyle w:val="a5"/>
            <w:noProof/>
          </w:rPr>
          <w:t>矩形内部映射存在的问题</w:t>
        </w:r>
        <w:r w:rsidR="000B0A37">
          <w:rPr>
            <w:noProof/>
          </w:rPr>
          <w:tab/>
        </w:r>
        <w:r w:rsidR="000B0A37">
          <w:rPr>
            <w:noProof/>
          </w:rPr>
          <w:fldChar w:fldCharType="begin"/>
        </w:r>
        <w:r w:rsidR="000B0A37">
          <w:rPr>
            <w:noProof/>
          </w:rPr>
          <w:instrText xml:space="preserve"> PAGEREF _Toc149754975 \h </w:instrText>
        </w:r>
        <w:r w:rsidR="000B0A37">
          <w:rPr>
            <w:noProof/>
          </w:rPr>
        </w:r>
        <w:r w:rsidR="000B0A37">
          <w:rPr>
            <w:noProof/>
          </w:rPr>
          <w:fldChar w:fldCharType="separate"/>
        </w:r>
        <w:r w:rsidR="000B0A37">
          <w:rPr>
            <w:noProof/>
          </w:rPr>
          <w:t>23</w:t>
        </w:r>
        <w:r w:rsidR="000B0A37">
          <w:rPr>
            <w:noProof/>
          </w:rPr>
          <w:fldChar w:fldCharType="end"/>
        </w:r>
      </w:hyperlink>
    </w:p>
    <w:p w14:paraId="40BCBC50" w14:textId="14838A30"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76" w:history="1">
        <w:r w:rsidR="000B0A37" w:rsidRPr="00A777AF">
          <w:rPr>
            <w:rStyle w:val="a5"/>
            <w:noProof/>
          </w:rPr>
          <w:t>3.2.2</w:t>
        </w:r>
        <w:r w:rsidR="000B0A37" w:rsidRPr="00A777AF">
          <w:rPr>
            <w:rStyle w:val="a5"/>
            <w:noProof/>
          </w:rPr>
          <w:t>矩形</w:t>
        </w:r>
        <w:r w:rsidR="000B0A37" w:rsidRPr="00A777AF">
          <w:rPr>
            <w:rStyle w:val="a5"/>
            <w:noProof/>
          </w:rPr>
          <w:t>-</w:t>
        </w:r>
        <w:r w:rsidR="000B0A37" w:rsidRPr="00A777AF">
          <w:rPr>
            <w:rStyle w:val="a5"/>
            <w:noProof/>
          </w:rPr>
          <w:t>圆盘映射的作用与所需性质</w:t>
        </w:r>
        <w:r w:rsidR="000B0A37">
          <w:rPr>
            <w:noProof/>
          </w:rPr>
          <w:tab/>
        </w:r>
        <w:r w:rsidR="000B0A37">
          <w:rPr>
            <w:noProof/>
          </w:rPr>
          <w:fldChar w:fldCharType="begin"/>
        </w:r>
        <w:r w:rsidR="000B0A37">
          <w:rPr>
            <w:noProof/>
          </w:rPr>
          <w:instrText xml:space="preserve"> PAGEREF _Toc149754976 \h </w:instrText>
        </w:r>
        <w:r w:rsidR="000B0A37">
          <w:rPr>
            <w:noProof/>
          </w:rPr>
        </w:r>
        <w:r w:rsidR="000B0A37">
          <w:rPr>
            <w:noProof/>
          </w:rPr>
          <w:fldChar w:fldCharType="separate"/>
        </w:r>
        <w:r w:rsidR="000B0A37">
          <w:rPr>
            <w:noProof/>
          </w:rPr>
          <w:t>24</w:t>
        </w:r>
        <w:r w:rsidR="000B0A37">
          <w:rPr>
            <w:noProof/>
          </w:rPr>
          <w:fldChar w:fldCharType="end"/>
        </w:r>
      </w:hyperlink>
    </w:p>
    <w:p w14:paraId="23911BDC" w14:textId="56773350"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77" w:history="1">
        <w:r w:rsidR="000B0A37" w:rsidRPr="00A777AF">
          <w:rPr>
            <w:rStyle w:val="a5"/>
            <w:noProof/>
          </w:rPr>
          <w:t xml:space="preserve">3.2.3 </w:t>
        </w:r>
        <w:r w:rsidR="000B0A37" w:rsidRPr="00A777AF">
          <w:rPr>
            <w:rStyle w:val="a5"/>
            <w:noProof/>
          </w:rPr>
          <w:t>基于费尔南德斯圆角矩形的映射</w:t>
        </w:r>
        <w:r w:rsidR="000B0A37">
          <w:rPr>
            <w:noProof/>
          </w:rPr>
          <w:tab/>
        </w:r>
        <w:r w:rsidR="000B0A37">
          <w:rPr>
            <w:noProof/>
          </w:rPr>
          <w:fldChar w:fldCharType="begin"/>
        </w:r>
        <w:r w:rsidR="000B0A37">
          <w:rPr>
            <w:noProof/>
          </w:rPr>
          <w:instrText xml:space="preserve"> PAGEREF _Toc149754977 \h </w:instrText>
        </w:r>
        <w:r w:rsidR="000B0A37">
          <w:rPr>
            <w:noProof/>
          </w:rPr>
        </w:r>
        <w:r w:rsidR="000B0A37">
          <w:rPr>
            <w:noProof/>
          </w:rPr>
          <w:fldChar w:fldCharType="separate"/>
        </w:r>
        <w:r w:rsidR="000B0A37">
          <w:rPr>
            <w:noProof/>
          </w:rPr>
          <w:t>25</w:t>
        </w:r>
        <w:r w:rsidR="000B0A37">
          <w:rPr>
            <w:noProof/>
          </w:rPr>
          <w:fldChar w:fldCharType="end"/>
        </w:r>
      </w:hyperlink>
    </w:p>
    <w:p w14:paraId="10E695C0" w14:textId="67C196CE"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78" w:history="1">
        <w:r w:rsidR="000B0A37" w:rsidRPr="00A777AF">
          <w:rPr>
            <w:rStyle w:val="a5"/>
            <w:noProof/>
          </w:rPr>
          <w:t xml:space="preserve">3.2.4 </w:t>
        </w:r>
        <w:r w:rsidR="000B0A37" w:rsidRPr="00A777AF">
          <w:rPr>
            <w:rStyle w:val="a5"/>
            <w:noProof/>
          </w:rPr>
          <w:t>计算优化</w:t>
        </w:r>
        <w:r w:rsidR="000B0A37">
          <w:rPr>
            <w:noProof/>
          </w:rPr>
          <w:tab/>
        </w:r>
        <w:r w:rsidR="000B0A37">
          <w:rPr>
            <w:noProof/>
          </w:rPr>
          <w:fldChar w:fldCharType="begin"/>
        </w:r>
        <w:r w:rsidR="000B0A37">
          <w:rPr>
            <w:noProof/>
          </w:rPr>
          <w:instrText xml:space="preserve"> PAGEREF _Toc149754978 \h </w:instrText>
        </w:r>
        <w:r w:rsidR="000B0A37">
          <w:rPr>
            <w:noProof/>
          </w:rPr>
        </w:r>
        <w:r w:rsidR="000B0A37">
          <w:rPr>
            <w:noProof/>
          </w:rPr>
          <w:fldChar w:fldCharType="separate"/>
        </w:r>
        <w:r w:rsidR="000B0A37">
          <w:rPr>
            <w:noProof/>
          </w:rPr>
          <w:t>29</w:t>
        </w:r>
        <w:r w:rsidR="000B0A37">
          <w:rPr>
            <w:noProof/>
          </w:rPr>
          <w:fldChar w:fldCharType="end"/>
        </w:r>
      </w:hyperlink>
    </w:p>
    <w:p w14:paraId="790B9D85" w14:textId="62A79566"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79" w:history="1">
        <w:r w:rsidR="000B0A37" w:rsidRPr="00A777AF">
          <w:rPr>
            <w:rStyle w:val="a5"/>
            <w:noProof/>
          </w:rPr>
          <w:t xml:space="preserve">3.3 </w:t>
        </w:r>
        <w:r w:rsidR="000B0A37" w:rsidRPr="00A777AF">
          <w:rPr>
            <w:rStyle w:val="a5"/>
            <w:noProof/>
          </w:rPr>
          <w:t>帧间反走样</w:t>
        </w:r>
        <w:r w:rsidR="000B0A37">
          <w:rPr>
            <w:noProof/>
          </w:rPr>
          <w:tab/>
        </w:r>
        <w:r w:rsidR="000B0A37">
          <w:rPr>
            <w:noProof/>
          </w:rPr>
          <w:fldChar w:fldCharType="begin"/>
        </w:r>
        <w:r w:rsidR="000B0A37">
          <w:rPr>
            <w:noProof/>
          </w:rPr>
          <w:instrText xml:space="preserve"> PAGEREF _Toc149754979 \h </w:instrText>
        </w:r>
        <w:r w:rsidR="000B0A37">
          <w:rPr>
            <w:noProof/>
          </w:rPr>
        </w:r>
        <w:r w:rsidR="000B0A37">
          <w:rPr>
            <w:noProof/>
          </w:rPr>
          <w:fldChar w:fldCharType="separate"/>
        </w:r>
        <w:r w:rsidR="000B0A37">
          <w:rPr>
            <w:noProof/>
          </w:rPr>
          <w:t>31</w:t>
        </w:r>
        <w:r w:rsidR="000B0A37">
          <w:rPr>
            <w:noProof/>
          </w:rPr>
          <w:fldChar w:fldCharType="end"/>
        </w:r>
      </w:hyperlink>
    </w:p>
    <w:p w14:paraId="4DA6EF0D" w14:textId="1E4FF015"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80" w:history="1">
        <w:r w:rsidR="000B0A37" w:rsidRPr="00A777AF">
          <w:rPr>
            <w:rStyle w:val="a5"/>
            <w:strike/>
            <w:noProof/>
          </w:rPr>
          <w:t xml:space="preserve">3.4 </w:t>
        </w:r>
        <w:r w:rsidR="000B0A37" w:rsidRPr="00A777AF">
          <w:rPr>
            <w:rStyle w:val="a5"/>
            <w:strike/>
            <w:noProof/>
          </w:rPr>
          <w:t>景深</w:t>
        </w:r>
        <w:r w:rsidR="000B0A37">
          <w:rPr>
            <w:noProof/>
          </w:rPr>
          <w:tab/>
        </w:r>
        <w:r w:rsidR="000B0A37">
          <w:rPr>
            <w:noProof/>
          </w:rPr>
          <w:fldChar w:fldCharType="begin"/>
        </w:r>
        <w:r w:rsidR="000B0A37">
          <w:rPr>
            <w:noProof/>
          </w:rPr>
          <w:instrText xml:space="preserve"> PAGEREF _Toc149754980 \h </w:instrText>
        </w:r>
        <w:r w:rsidR="000B0A37">
          <w:rPr>
            <w:noProof/>
          </w:rPr>
        </w:r>
        <w:r w:rsidR="000B0A37">
          <w:rPr>
            <w:noProof/>
          </w:rPr>
          <w:fldChar w:fldCharType="separate"/>
        </w:r>
        <w:r w:rsidR="000B0A37">
          <w:rPr>
            <w:noProof/>
          </w:rPr>
          <w:t>31</w:t>
        </w:r>
        <w:r w:rsidR="000B0A37">
          <w:rPr>
            <w:noProof/>
          </w:rPr>
          <w:fldChar w:fldCharType="end"/>
        </w:r>
      </w:hyperlink>
    </w:p>
    <w:p w14:paraId="182DA9C1" w14:textId="62AB11E9" w:rsidR="000B0A3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49754981" w:history="1">
        <w:r w:rsidR="000B0A37" w:rsidRPr="00A777AF">
          <w:rPr>
            <w:rStyle w:val="a5"/>
            <w:noProof/>
          </w:rPr>
          <w:t xml:space="preserve">4 </w:t>
        </w:r>
        <w:r w:rsidR="000B0A37" w:rsidRPr="00A777AF">
          <w:rPr>
            <w:rStyle w:val="a5"/>
            <w:noProof/>
          </w:rPr>
          <w:t>系统实现</w:t>
        </w:r>
        <w:r w:rsidR="000B0A37">
          <w:rPr>
            <w:noProof/>
          </w:rPr>
          <w:tab/>
        </w:r>
        <w:r w:rsidR="000B0A37">
          <w:rPr>
            <w:noProof/>
          </w:rPr>
          <w:fldChar w:fldCharType="begin"/>
        </w:r>
        <w:r w:rsidR="000B0A37">
          <w:rPr>
            <w:noProof/>
          </w:rPr>
          <w:instrText xml:space="preserve"> PAGEREF _Toc149754981 \h </w:instrText>
        </w:r>
        <w:r w:rsidR="000B0A37">
          <w:rPr>
            <w:noProof/>
          </w:rPr>
        </w:r>
        <w:r w:rsidR="000B0A37">
          <w:rPr>
            <w:noProof/>
          </w:rPr>
          <w:fldChar w:fldCharType="separate"/>
        </w:r>
        <w:r w:rsidR="000B0A37">
          <w:rPr>
            <w:noProof/>
          </w:rPr>
          <w:t>31</w:t>
        </w:r>
        <w:r w:rsidR="000B0A37">
          <w:rPr>
            <w:noProof/>
          </w:rPr>
          <w:fldChar w:fldCharType="end"/>
        </w:r>
      </w:hyperlink>
    </w:p>
    <w:p w14:paraId="2AD61766" w14:textId="1794B44C" w:rsidR="000B0A3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49754982" w:history="1">
        <w:r w:rsidR="000B0A37" w:rsidRPr="00A777AF">
          <w:rPr>
            <w:rStyle w:val="a5"/>
            <w:noProof/>
          </w:rPr>
          <w:t xml:space="preserve">5 </w:t>
        </w:r>
        <w:r w:rsidR="000B0A37" w:rsidRPr="00A777AF">
          <w:rPr>
            <w:rStyle w:val="a5"/>
            <w:noProof/>
          </w:rPr>
          <w:t>实验</w:t>
        </w:r>
        <w:r w:rsidR="000B0A37">
          <w:rPr>
            <w:noProof/>
          </w:rPr>
          <w:tab/>
        </w:r>
        <w:r w:rsidR="000B0A37">
          <w:rPr>
            <w:noProof/>
          </w:rPr>
          <w:fldChar w:fldCharType="begin"/>
        </w:r>
        <w:r w:rsidR="000B0A37">
          <w:rPr>
            <w:noProof/>
          </w:rPr>
          <w:instrText xml:space="preserve"> PAGEREF _Toc149754982 \h </w:instrText>
        </w:r>
        <w:r w:rsidR="000B0A37">
          <w:rPr>
            <w:noProof/>
          </w:rPr>
        </w:r>
        <w:r w:rsidR="000B0A37">
          <w:rPr>
            <w:noProof/>
          </w:rPr>
          <w:fldChar w:fldCharType="separate"/>
        </w:r>
        <w:r w:rsidR="000B0A37">
          <w:rPr>
            <w:noProof/>
          </w:rPr>
          <w:t>31</w:t>
        </w:r>
        <w:r w:rsidR="000B0A37">
          <w:rPr>
            <w:noProof/>
          </w:rPr>
          <w:fldChar w:fldCharType="end"/>
        </w:r>
      </w:hyperlink>
    </w:p>
    <w:p w14:paraId="724C6610" w14:textId="56D9FF59"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83" w:history="1">
        <w:r w:rsidR="000B0A37" w:rsidRPr="00A777AF">
          <w:rPr>
            <w:rStyle w:val="a5"/>
            <w:noProof/>
          </w:rPr>
          <w:t xml:space="preserve">5.1 </w:t>
        </w:r>
        <w:r w:rsidR="000B0A37" w:rsidRPr="00A777AF">
          <w:rPr>
            <w:rStyle w:val="a5"/>
            <w:noProof/>
          </w:rPr>
          <w:t>客观实验</w:t>
        </w:r>
        <w:r w:rsidR="000B0A37">
          <w:rPr>
            <w:noProof/>
          </w:rPr>
          <w:tab/>
        </w:r>
        <w:r w:rsidR="000B0A37">
          <w:rPr>
            <w:noProof/>
          </w:rPr>
          <w:fldChar w:fldCharType="begin"/>
        </w:r>
        <w:r w:rsidR="000B0A37">
          <w:rPr>
            <w:noProof/>
          </w:rPr>
          <w:instrText xml:space="preserve"> PAGEREF _Toc149754983 \h </w:instrText>
        </w:r>
        <w:r w:rsidR="000B0A37">
          <w:rPr>
            <w:noProof/>
          </w:rPr>
        </w:r>
        <w:r w:rsidR="000B0A37">
          <w:rPr>
            <w:noProof/>
          </w:rPr>
          <w:fldChar w:fldCharType="separate"/>
        </w:r>
        <w:r w:rsidR="000B0A37">
          <w:rPr>
            <w:noProof/>
          </w:rPr>
          <w:t>31</w:t>
        </w:r>
        <w:r w:rsidR="000B0A37">
          <w:rPr>
            <w:noProof/>
          </w:rPr>
          <w:fldChar w:fldCharType="end"/>
        </w:r>
      </w:hyperlink>
    </w:p>
    <w:p w14:paraId="77F474FC" w14:textId="7FBE3250" w:rsidR="000B0A37"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49754984" w:history="1">
        <w:r w:rsidR="000B0A37" w:rsidRPr="00A777AF">
          <w:rPr>
            <w:rStyle w:val="a5"/>
            <w:noProof/>
          </w:rPr>
          <w:t xml:space="preserve">5.2 </w:t>
        </w:r>
        <w:r w:rsidR="000B0A37" w:rsidRPr="00A777AF">
          <w:rPr>
            <w:rStyle w:val="a5"/>
            <w:noProof/>
          </w:rPr>
          <w:t>用户实验与分析</w:t>
        </w:r>
        <w:r w:rsidR="000B0A37">
          <w:rPr>
            <w:noProof/>
          </w:rPr>
          <w:tab/>
        </w:r>
        <w:r w:rsidR="000B0A37">
          <w:rPr>
            <w:noProof/>
          </w:rPr>
          <w:fldChar w:fldCharType="begin"/>
        </w:r>
        <w:r w:rsidR="000B0A37">
          <w:rPr>
            <w:noProof/>
          </w:rPr>
          <w:instrText xml:space="preserve"> PAGEREF _Toc149754984 \h </w:instrText>
        </w:r>
        <w:r w:rsidR="000B0A37">
          <w:rPr>
            <w:noProof/>
          </w:rPr>
        </w:r>
        <w:r w:rsidR="000B0A37">
          <w:rPr>
            <w:noProof/>
          </w:rPr>
          <w:fldChar w:fldCharType="separate"/>
        </w:r>
        <w:r w:rsidR="000B0A37">
          <w:rPr>
            <w:noProof/>
          </w:rPr>
          <w:t>32</w:t>
        </w:r>
        <w:r w:rsidR="000B0A37">
          <w:rPr>
            <w:noProof/>
          </w:rPr>
          <w:fldChar w:fldCharType="end"/>
        </w:r>
      </w:hyperlink>
    </w:p>
    <w:p w14:paraId="7838ED71" w14:textId="2AE75B8B"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85" w:history="1">
        <w:r w:rsidR="000B0A37" w:rsidRPr="00A777AF">
          <w:rPr>
            <w:rStyle w:val="a5"/>
            <w:noProof/>
          </w:rPr>
          <w:t xml:space="preserve">5.2.1 </w:t>
        </w:r>
        <w:r w:rsidR="000B0A37" w:rsidRPr="00A777AF">
          <w:rPr>
            <w:rStyle w:val="a5"/>
            <w:noProof/>
          </w:rPr>
          <w:t>实验概述</w:t>
        </w:r>
        <w:r w:rsidR="000B0A37">
          <w:rPr>
            <w:noProof/>
          </w:rPr>
          <w:tab/>
        </w:r>
        <w:r w:rsidR="000B0A37">
          <w:rPr>
            <w:noProof/>
          </w:rPr>
          <w:fldChar w:fldCharType="begin"/>
        </w:r>
        <w:r w:rsidR="000B0A37">
          <w:rPr>
            <w:noProof/>
          </w:rPr>
          <w:instrText xml:space="preserve"> PAGEREF _Toc149754985 \h </w:instrText>
        </w:r>
        <w:r w:rsidR="000B0A37">
          <w:rPr>
            <w:noProof/>
          </w:rPr>
        </w:r>
        <w:r w:rsidR="000B0A37">
          <w:rPr>
            <w:noProof/>
          </w:rPr>
          <w:fldChar w:fldCharType="separate"/>
        </w:r>
        <w:r w:rsidR="000B0A37">
          <w:rPr>
            <w:noProof/>
          </w:rPr>
          <w:t>32</w:t>
        </w:r>
        <w:r w:rsidR="000B0A37">
          <w:rPr>
            <w:noProof/>
          </w:rPr>
          <w:fldChar w:fldCharType="end"/>
        </w:r>
      </w:hyperlink>
    </w:p>
    <w:p w14:paraId="3AF9F8AB" w14:textId="7FBE5662"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86" w:history="1">
        <w:r w:rsidR="000B0A37" w:rsidRPr="00A777AF">
          <w:rPr>
            <w:rStyle w:val="a5"/>
            <w:noProof/>
          </w:rPr>
          <w:t xml:space="preserve">5.2.2 </w:t>
        </w:r>
        <w:r w:rsidR="000B0A37" w:rsidRPr="00A777AF">
          <w:rPr>
            <w:rStyle w:val="a5"/>
            <w:noProof/>
          </w:rPr>
          <w:t>实验流程</w:t>
        </w:r>
        <w:r w:rsidR="000B0A37">
          <w:rPr>
            <w:noProof/>
          </w:rPr>
          <w:tab/>
        </w:r>
        <w:r w:rsidR="000B0A37">
          <w:rPr>
            <w:noProof/>
          </w:rPr>
          <w:fldChar w:fldCharType="begin"/>
        </w:r>
        <w:r w:rsidR="000B0A37">
          <w:rPr>
            <w:noProof/>
          </w:rPr>
          <w:instrText xml:space="preserve"> PAGEREF _Toc149754986 \h </w:instrText>
        </w:r>
        <w:r w:rsidR="000B0A37">
          <w:rPr>
            <w:noProof/>
          </w:rPr>
        </w:r>
        <w:r w:rsidR="000B0A37">
          <w:rPr>
            <w:noProof/>
          </w:rPr>
          <w:fldChar w:fldCharType="separate"/>
        </w:r>
        <w:r w:rsidR="000B0A37">
          <w:rPr>
            <w:noProof/>
          </w:rPr>
          <w:t>32</w:t>
        </w:r>
        <w:r w:rsidR="000B0A37">
          <w:rPr>
            <w:noProof/>
          </w:rPr>
          <w:fldChar w:fldCharType="end"/>
        </w:r>
      </w:hyperlink>
    </w:p>
    <w:p w14:paraId="22C59243" w14:textId="7DB9C38F"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87" w:history="1">
        <w:r w:rsidR="000B0A37" w:rsidRPr="00A777AF">
          <w:rPr>
            <w:rStyle w:val="a5"/>
            <w:noProof/>
          </w:rPr>
          <w:t xml:space="preserve">5.2.3 </w:t>
        </w:r>
        <w:r w:rsidR="000B0A37" w:rsidRPr="00A777AF">
          <w:rPr>
            <w:rStyle w:val="a5"/>
            <w:noProof/>
          </w:rPr>
          <w:t>实验人员</w:t>
        </w:r>
        <w:r w:rsidR="000B0A37">
          <w:rPr>
            <w:noProof/>
          </w:rPr>
          <w:tab/>
        </w:r>
        <w:r w:rsidR="000B0A37">
          <w:rPr>
            <w:noProof/>
          </w:rPr>
          <w:fldChar w:fldCharType="begin"/>
        </w:r>
        <w:r w:rsidR="000B0A37">
          <w:rPr>
            <w:noProof/>
          </w:rPr>
          <w:instrText xml:space="preserve"> PAGEREF _Toc149754987 \h </w:instrText>
        </w:r>
        <w:r w:rsidR="000B0A37">
          <w:rPr>
            <w:noProof/>
          </w:rPr>
        </w:r>
        <w:r w:rsidR="000B0A37">
          <w:rPr>
            <w:noProof/>
          </w:rPr>
          <w:fldChar w:fldCharType="separate"/>
        </w:r>
        <w:r w:rsidR="000B0A37">
          <w:rPr>
            <w:noProof/>
          </w:rPr>
          <w:t>32</w:t>
        </w:r>
        <w:r w:rsidR="000B0A37">
          <w:rPr>
            <w:noProof/>
          </w:rPr>
          <w:fldChar w:fldCharType="end"/>
        </w:r>
      </w:hyperlink>
    </w:p>
    <w:p w14:paraId="1088DB86" w14:textId="751B0813"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88" w:history="1">
        <w:r w:rsidR="000B0A37" w:rsidRPr="00A777AF">
          <w:rPr>
            <w:rStyle w:val="a5"/>
            <w:noProof/>
          </w:rPr>
          <w:t xml:space="preserve">5.2.1 </w:t>
        </w:r>
        <w:r w:rsidR="000B0A37" w:rsidRPr="00A777AF">
          <w:rPr>
            <w:rStyle w:val="a5"/>
            <w:noProof/>
          </w:rPr>
          <w:t>愉悦度</w:t>
        </w:r>
        <w:r w:rsidR="000B0A37">
          <w:rPr>
            <w:noProof/>
          </w:rPr>
          <w:tab/>
        </w:r>
        <w:r w:rsidR="000B0A37">
          <w:rPr>
            <w:noProof/>
          </w:rPr>
          <w:fldChar w:fldCharType="begin"/>
        </w:r>
        <w:r w:rsidR="000B0A37">
          <w:rPr>
            <w:noProof/>
          </w:rPr>
          <w:instrText xml:space="preserve"> PAGEREF _Toc149754988 \h </w:instrText>
        </w:r>
        <w:r w:rsidR="000B0A37">
          <w:rPr>
            <w:noProof/>
          </w:rPr>
        </w:r>
        <w:r w:rsidR="000B0A37">
          <w:rPr>
            <w:noProof/>
          </w:rPr>
          <w:fldChar w:fldCharType="separate"/>
        </w:r>
        <w:r w:rsidR="000B0A37">
          <w:rPr>
            <w:noProof/>
          </w:rPr>
          <w:t>32</w:t>
        </w:r>
        <w:r w:rsidR="000B0A37">
          <w:rPr>
            <w:noProof/>
          </w:rPr>
          <w:fldChar w:fldCharType="end"/>
        </w:r>
      </w:hyperlink>
    </w:p>
    <w:p w14:paraId="6D5A6C95" w14:textId="2B93447F"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89" w:history="1">
        <w:r w:rsidR="000B0A37" w:rsidRPr="00A777AF">
          <w:rPr>
            <w:rStyle w:val="a5"/>
            <w:noProof/>
          </w:rPr>
          <w:t xml:space="preserve">5.2.2 </w:t>
        </w:r>
        <w:r w:rsidR="000B0A37" w:rsidRPr="00A777AF">
          <w:rPr>
            <w:rStyle w:val="a5"/>
            <w:noProof/>
          </w:rPr>
          <w:t>胜任感</w:t>
        </w:r>
        <w:r w:rsidR="000B0A37">
          <w:rPr>
            <w:noProof/>
          </w:rPr>
          <w:tab/>
        </w:r>
        <w:r w:rsidR="000B0A37">
          <w:rPr>
            <w:noProof/>
          </w:rPr>
          <w:fldChar w:fldCharType="begin"/>
        </w:r>
        <w:r w:rsidR="000B0A37">
          <w:rPr>
            <w:noProof/>
          </w:rPr>
          <w:instrText xml:space="preserve"> PAGEREF _Toc149754989 \h </w:instrText>
        </w:r>
        <w:r w:rsidR="000B0A37">
          <w:rPr>
            <w:noProof/>
          </w:rPr>
        </w:r>
        <w:r w:rsidR="000B0A37">
          <w:rPr>
            <w:noProof/>
          </w:rPr>
          <w:fldChar w:fldCharType="separate"/>
        </w:r>
        <w:r w:rsidR="000B0A37">
          <w:rPr>
            <w:noProof/>
          </w:rPr>
          <w:t>32</w:t>
        </w:r>
        <w:r w:rsidR="000B0A37">
          <w:rPr>
            <w:noProof/>
          </w:rPr>
          <w:fldChar w:fldCharType="end"/>
        </w:r>
      </w:hyperlink>
    </w:p>
    <w:p w14:paraId="41048637" w14:textId="305BCFF0"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90" w:history="1">
        <w:r w:rsidR="000B0A37" w:rsidRPr="00A777AF">
          <w:rPr>
            <w:rStyle w:val="a5"/>
            <w:noProof/>
          </w:rPr>
          <w:t xml:space="preserve">5.2.3 </w:t>
        </w:r>
        <w:r w:rsidR="000B0A37" w:rsidRPr="00A777AF">
          <w:rPr>
            <w:rStyle w:val="a5"/>
            <w:noProof/>
          </w:rPr>
          <w:t>努力感、重要性</w:t>
        </w:r>
        <w:r w:rsidR="000B0A37">
          <w:rPr>
            <w:noProof/>
          </w:rPr>
          <w:tab/>
        </w:r>
        <w:r w:rsidR="000B0A37">
          <w:rPr>
            <w:noProof/>
          </w:rPr>
          <w:fldChar w:fldCharType="begin"/>
        </w:r>
        <w:r w:rsidR="000B0A37">
          <w:rPr>
            <w:noProof/>
          </w:rPr>
          <w:instrText xml:space="preserve"> PAGEREF _Toc149754990 \h </w:instrText>
        </w:r>
        <w:r w:rsidR="000B0A37">
          <w:rPr>
            <w:noProof/>
          </w:rPr>
        </w:r>
        <w:r w:rsidR="000B0A37">
          <w:rPr>
            <w:noProof/>
          </w:rPr>
          <w:fldChar w:fldCharType="separate"/>
        </w:r>
        <w:r w:rsidR="000B0A37">
          <w:rPr>
            <w:noProof/>
          </w:rPr>
          <w:t>32</w:t>
        </w:r>
        <w:r w:rsidR="000B0A37">
          <w:rPr>
            <w:noProof/>
          </w:rPr>
          <w:fldChar w:fldCharType="end"/>
        </w:r>
      </w:hyperlink>
    </w:p>
    <w:p w14:paraId="659DD002" w14:textId="5CEB0336" w:rsidR="000B0A37"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49754991" w:history="1">
        <w:r w:rsidR="000B0A37" w:rsidRPr="00A777AF">
          <w:rPr>
            <w:rStyle w:val="a5"/>
            <w:noProof/>
          </w:rPr>
          <w:t>5.2.4</w:t>
        </w:r>
        <w:r w:rsidR="000B0A37" w:rsidRPr="00A777AF">
          <w:rPr>
            <w:rStyle w:val="a5"/>
            <w:noProof/>
          </w:rPr>
          <w:t>压力、紧张</w:t>
        </w:r>
        <w:r w:rsidR="000B0A37">
          <w:rPr>
            <w:noProof/>
          </w:rPr>
          <w:tab/>
        </w:r>
        <w:r w:rsidR="000B0A37">
          <w:rPr>
            <w:noProof/>
          </w:rPr>
          <w:fldChar w:fldCharType="begin"/>
        </w:r>
        <w:r w:rsidR="000B0A37">
          <w:rPr>
            <w:noProof/>
          </w:rPr>
          <w:instrText xml:space="preserve"> PAGEREF _Toc149754991 \h </w:instrText>
        </w:r>
        <w:r w:rsidR="000B0A37">
          <w:rPr>
            <w:noProof/>
          </w:rPr>
        </w:r>
        <w:r w:rsidR="000B0A37">
          <w:rPr>
            <w:noProof/>
          </w:rPr>
          <w:fldChar w:fldCharType="separate"/>
        </w:r>
        <w:r w:rsidR="000B0A37">
          <w:rPr>
            <w:noProof/>
          </w:rPr>
          <w:t>32</w:t>
        </w:r>
        <w:r w:rsidR="000B0A37">
          <w:rPr>
            <w:noProof/>
          </w:rPr>
          <w:fldChar w:fldCharType="end"/>
        </w:r>
      </w:hyperlink>
    </w:p>
    <w:p w14:paraId="7241C95F" w14:textId="30C90601" w:rsidR="000B0A3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49754992" w:history="1">
        <w:r w:rsidR="000B0A37" w:rsidRPr="00A777AF">
          <w:rPr>
            <w:rStyle w:val="a5"/>
            <w:noProof/>
          </w:rPr>
          <w:t xml:space="preserve">6 </w:t>
        </w:r>
        <w:r w:rsidR="000B0A37" w:rsidRPr="00A777AF">
          <w:rPr>
            <w:rStyle w:val="a5"/>
            <w:noProof/>
          </w:rPr>
          <w:t>结论</w:t>
        </w:r>
        <w:r w:rsidR="000B0A37">
          <w:rPr>
            <w:noProof/>
          </w:rPr>
          <w:tab/>
        </w:r>
        <w:r w:rsidR="000B0A37">
          <w:rPr>
            <w:noProof/>
          </w:rPr>
          <w:fldChar w:fldCharType="begin"/>
        </w:r>
        <w:r w:rsidR="000B0A37">
          <w:rPr>
            <w:noProof/>
          </w:rPr>
          <w:instrText xml:space="preserve"> PAGEREF _Toc149754992 \h </w:instrText>
        </w:r>
        <w:r w:rsidR="000B0A37">
          <w:rPr>
            <w:noProof/>
          </w:rPr>
        </w:r>
        <w:r w:rsidR="000B0A37">
          <w:rPr>
            <w:noProof/>
          </w:rPr>
          <w:fldChar w:fldCharType="separate"/>
        </w:r>
        <w:r w:rsidR="000B0A37">
          <w:rPr>
            <w:noProof/>
          </w:rPr>
          <w:t>32</w:t>
        </w:r>
        <w:r w:rsidR="000B0A37">
          <w:rPr>
            <w:noProof/>
          </w:rPr>
          <w:fldChar w:fldCharType="end"/>
        </w:r>
      </w:hyperlink>
    </w:p>
    <w:p w14:paraId="60D729E3" w14:textId="57C33FE5" w:rsidR="000B0A3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49754993" w:history="1">
        <w:r w:rsidR="000B0A37" w:rsidRPr="00A777AF">
          <w:rPr>
            <w:rStyle w:val="a5"/>
            <w:noProof/>
          </w:rPr>
          <w:t>参考文献</w:t>
        </w:r>
        <w:r w:rsidR="000B0A37">
          <w:rPr>
            <w:noProof/>
          </w:rPr>
          <w:tab/>
        </w:r>
        <w:r w:rsidR="000B0A37">
          <w:rPr>
            <w:noProof/>
          </w:rPr>
          <w:fldChar w:fldCharType="begin"/>
        </w:r>
        <w:r w:rsidR="000B0A37">
          <w:rPr>
            <w:noProof/>
          </w:rPr>
          <w:instrText xml:space="preserve"> PAGEREF _Toc149754993 \h </w:instrText>
        </w:r>
        <w:r w:rsidR="000B0A37">
          <w:rPr>
            <w:noProof/>
          </w:rPr>
        </w:r>
        <w:r w:rsidR="000B0A37">
          <w:rPr>
            <w:noProof/>
          </w:rPr>
          <w:fldChar w:fldCharType="separate"/>
        </w:r>
        <w:r w:rsidR="000B0A37">
          <w:rPr>
            <w:noProof/>
          </w:rPr>
          <w:t>33</w:t>
        </w:r>
        <w:r w:rsidR="000B0A37">
          <w:rPr>
            <w:noProof/>
          </w:rPr>
          <w:fldChar w:fldCharType="end"/>
        </w:r>
      </w:hyperlink>
    </w:p>
    <w:p w14:paraId="396EC45B" w14:textId="194DDD24" w:rsidR="000B0A37"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49754994" w:history="1">
        <w:r w:rsidR="000B0A37" w:rsidRPr="00A777AF">
          <w:rPr>
            <w:rStyle w:val="a5"/>
            <w:noProof/>
          </w:rPr>
          <w:t>附录</w:t>
        </w:r>
        <w:r w:rsidR="000B0A37">
          <w:rPr>
            <w:noProof/>
          </w:rPr>
          <w:tab/>
        </w:r>
        <w:r w:rsidR="000B0A37">
          <w:rPr>
            <w:noProof/>
          </w:rPr>
          <w:fldChar w:fldCharType="begin"/>
        </w:r>
        <w:r w:rsidR="000B0A37">
          <w:rPr>
            <w:noProof/>
          </w:rPr>
          <w:instrText xml:space="preserve"> PAGEREF _Toc149754994 \h </w:instrText>
        </w:r>
        <w:r w:rsidR="000B0A37">
          <w:rPr>
            <w:noProof/>
          </w:rPr>
        </w:r>
        <w:r w:rsidR="000B0A37">
          <w:rPr>
            <w:noProof/>
          </w:rPr>
          <w:fldChar w:fldCharType="separate"/>
        </w:r>
        <w:r w:rsidR="000B0A37">
          <w:rPr>
            <w:noProof/>
          </w:rPr>
          <w:t>42</w:t>
        </w:r>
        <w:r w:rsidR="000B0A37">
          <w:rPr>
            <w:noProof/>
          </w:rPr>
          <w:fldChar w:fldCharType="end"/>
        </w:r>
      </w:hyperlink>
    </w:p>
    <w:p w14:paraId="321A180F" w14:textId="696F9732" w:rsidR="00461BE2" w:rsidRDefault="00650C5C">
      <w:r>
        <w:fldChar w:fldCharType="end"/>
      </w:r>
    </w:p>
    <w:p w14:paraId="654C4DB0" w14:textId="370DB5FF" w:rsidR="004F6D11" w:rsidRDefault="00650C5C" w:rsidP="00163726">
      <w:pPr>
        <w:pStyle w:val="1"/>
      </w:pPr>
      <w:r>
        <w:rPr>
          <w:rFonts w:hint="eastAsia"/>
        </w:rPr>
        <w:br w:type="page"/>
      </w:r>
      <w:bookmarkStart w:id="0" w:name="_Toc149754946"/>
      <w:r>
        <w:rPr>
          <w:rFonts w:hint="eastAsia"/>
        </w:rPr>
        <w:lastRenderedPageBreak/>
        <w:t xml:space="preserve">1 </w:t>
      </w:r>
      <w:r>
        <w:rPr>
          <w:rFonts w:hint="eastAsia"/>
        </w:rPr>
        <w:t>绪论</w:t>
      </w:r>
      <w:bookmarkEnd w:id="0"/>
    </w:p>
    <w:p w14:paraId="4325ED18" w14:textId="1815B4B4" w:rsidR="00461BE2" w:rsidRDefault="00650C5C" w:rsidP="00104EC7">
      <w:pPr>
        <w:pStyle w:val="2"/>
      </w:pPr>
      <w:bookmarkStart w:id="1" w:name="_Toc149754947"/>
      <w:r>
        <w:rPr>
          <w:rFonts w:hint="eastAsia"/>
        </w:rPr>
        <w:t xml:space="preserve">1.1 </w:t>
      </w:r>
      <w:r>
        <w:rPr>
          <w:rFonts w:hint="eastAsia"/>
        </w:rPr>
        <w:t>研究背景</w:t>
      </w:r>
      <w:r w:rsidR="003404B7">
        <w:rPr>
          <w:rFonts w:hint="eastAsia"/>
        </w:rPr>
        <w:t>与意义</w:t>
      </w:r>
      <w:bookmarkEnd w:id="1"/>
    </w:p>
    <w:p w14:paraId="7D898D00" w14:textId="77777777" w:rsidR="003029AD" w:rsidRDefault="003029AD" w:rsidP="003029AD">
      <w:r>
        <w:rPr>
          <w:rFonts w:hint="eastAsia"/>
        </w:rPr>
        <w:t>虚拟现实和增强现实（</w:t>
      </w:r>
      <w:r>
        <w:rPr>
          <w:rFonts w:hint="eastAsia"/>
        </w:rPr>
        <w:t xml:space="preserve">VR </w:t>
      </w:r>
      <w:r>
        <w:rPr>
          <w:rFonts w:hint="eastAsia"/>
        </w:rPr>
        <w:t>和</w:t>
      </w:r>
      <w:r>
        <w:rPr>
          <w:rFonts w:hint="eastAsia"/>
        </w:rPr>
        <w:t xml:space="preserve"> AR</w:t>
      </w:r>
      <w:r>
        <w:rPr>
          <w:rFonts w:hint="eastAsia"/>
        </w:rPr>
        <w:t>）将改变以计算机为媒介的通信方式，在科学、工程、医学、艺术、娱乐、商业和其他一些领域都有令人兴奋的应用。尽管目前的</w:t>
      </w:r>
      <w:r>
        <w:rPr>
          <w:rFonts w:hint="eastAsia"/>
        </w:rPr>
        <w:t xml:space="preserve"> VR </w:t>
      </w:r>
      <w:r>
        <w:rPr>
          <w:rFonts w:hint="eastAsia"/>
        </w:rPr>
        <w:t>和</w:t>
      </w:r>
      <w:r>
        <w:rPr>
          <w:rFonts w:hint="eastAsia"/>
        </w:rPr>
        <w:t xml:space="preserve"> AR </w:t>
      </w:r>
      <w:r>
        <w:rPr>
          <w:rFonts w:hint="eastAsia"/>
        </w:rPr>
        <w:t>系统给人留下了深刻印象，但在分辨率、视野和延迟等几个方面，它们还无法与我们在现实世界中体验到的视觉保真度相媲美。实时提供如此高质量的视觉体验需要巨大的计算资源，而最近用于渲染的硬件和软件系统都有所改进。</w:t>
      </w:r>
    </w:p>
    <w:p w14:paraId="20F325F3" w14:textId="77777777" w:rsidR="003029AD" w:rsidRDefault="003029AD" w:rsidP="003029AD"/>
    <w:p w14:paraId="2B0392F3" w14:textId="77777777" w:rsidR="003029AD" w:rsidRDefault="003029AD" w:rsidP="003029AD">
      <w:r>
        <w:rPr>
          <w:rFonts w:hint="eastAsia"/>
        </w:rPr>
        <w:t>人类视觉系统（</w:t>
      </w:r>
      <w:r>
        <w:rPr>
          <w:rFonts w:hint="eastAsia"/>
        </w:rPr>
        <w:t>HVS</w:t>
      </w:r>
      <w:r>
        <w:rPr>
          <w:rFonts w:hint="eastAsia"/>
        </w:rPr>
        <w:t>）只能感知投射到人类视网膜中心</w:t>
      </w:r>
      <w:r>
        <w:rPr>
          <w:rFonts w:hint="eastAsia"/>
        </w:rPr>
        <w:t>--</w:t>
      </w:r>
      <w:r>
        <w:rPr>
          <w:rFonts w:hint="eastAsia"/>
        </w:rPr>
        <w:t>眼窝上的极小部分场景的最细节。视敏度是观察细节的能力，用光栅分辨率（周期</w:t>
      </w:r>
      <w:r>
        <w:rPr>
          <w:rFonts w:hint="eastAsia"/>
        </w:rPr>
        <w:t>/</w:t>
      </w:r>
      <w:r>
        <w:rPr>
          <w:rFonts w:hint="eastAsia"/>
        </w:rPr>
        <w:t>度）来衡量。研究表明，虽然</w:t>
      </w:r>
      <w:r>
        <w:rPr>
          <w:rFonts w:hint="eastAsia"/>
        </w:rPr>
        <w:t xml:space="preserve"> HVS </w:t>
      </w:r>
      <w:r>
        <w:rPr>
          <w:rFonts w:hint="eastAsia"/>
        </w:rPr>
        <w:t>有很宽的视野（</w:t>
      </w:r>
      <w:r>
        <w:rPr>
          <w:rFonts w:hint="eastAsia"/>
        </w:rPr>
        <w:t>FOV</w:t>
      </w:r>
      <w:r>
        <w:rPr>
          <w:rFonts w:hint="eastAsia"/>
        </w:rPr>
        <w:t>），但视敏度最高的区域（也称为注视点区域）仅覆盖视野中央</w:t>
      </w:r>
      <w:r>
        <w:rPr>
          <w:rFonts w:hint="eastAsia"/>
        </w:rPr>
        <w:t xml:space="preserve"> 2.5</w:t>
      </w:r>
      <w:r>
        <w:rPr>
          <w:rFonts w:hint="eastAsia"/>
        </w:rPr>
        <w:t>°</w:t>
      </w:r>
      <w:r>
        <w:rPr>
          <w:rFonts w:hint="eastAsia"/>
        </w:rPr>
        <w:t xml:space="preserve"> [Levin </w:t>
      </w:r>
      <w:r>
        <w:rPr>
          <w:rFonts w:hint="eastAsia"/>
        </w:rPr>
        <w:t>等人，</w:t>
      </w:r>
      <w:r>
        <w:rPr>
          <w:rFonts w:hint="eastAsia"/>
        </w:rPr>
        <w:t xml:space="preserve">2011 </w:t>
      </w:r>
      <w:r>
        <w:rPr>
          <w:rFonts w:hint="eastAsia"/>
        </w:rPr>
        <w:t>年</w:t>
      </w:r>
      <w:r>
        <w:rPr>
          <w:rFonts w:hint="eastAsia"/>
        </w:rPr>
        <w:t>]</w:t>
      </w:r>
      <w:r>
        <w:rPr>
          <w:rFonts w:hint="eastAsia"/>
        </w:rPr>
        <w:t>。眼窝是指在人类视觉系统中，视敏度随角度距离的增加而降低</w:t>
      </w:r>
      <w:r>
        <w:rPr>
          <w:rFonts w:hint="eastAsia"/>
        </w:rPr>
        <w:t xml:space="preserve">[Guenter </w:t>
      </w:r>
      <w:r>
        <w:rPr>
          <w:rFonts w:hint="eastAsia"/>
        </w:rPr>
        <w:t>等人，</w:t>
      </w:r>
      <w:r>
        <w:rPr>
          <w:rFonts w:hint="eastAsia"/>
        </w:rPr>
        <w:t>2012]</w:t>
      </w:r>
      <w:r>
        <w:rPr>
          <w:rFonts w:hint="eastAsia"/>
        </w:rPr>
        <w:t>。注视点渲染利用了人类视觉系统的这一特点，有选择性地渲染图形帧的一小部分细节。注视点渲染使我们能够在现代</w:t>
      </w:r>
      <w:r>
        <w:rPr>
          <w:rFonts w:hint="eastAsia"/>
        </w:rPr>
        <w:t xml:space="preserve"> VR </w:t>
      </w:r>
      <w:r>
        <w:rPr>
          <w:rFonts w:hint="eastAsia"/>
        </w:rPr>
        <w:t>和</w:t>
      </w:r>
      <w:r>
        <w:rPr>
          <w:rFonts w:hint="eastAsia"/>
        </w:rPr>
        <w:t xml:space="preserve"> AR </w:t>
      </w:r>
      <w:r>
        <w:rPr>
          <w:rFonts w:hint="eastAsia"/>
        </w:rPr>
        <w:t>设备上协调高视觉逼真度、交互帧频和低功耗这几个相互冲突的目标。随着注视点渲染成为未来</w:t>
      </w:r>
      <w:r>
        <w:rPr>
          <w:rFonts w:hint="eastAsia"/>
        </w:rPr>
        <w:t xml:space="preserve"> AR/VR </w:t>
      </w:r>
      <w:r>
        <w:rPr>
          <w:rFonts w:hint="eastAsia"/>
        </w:rPr>
        <w:t>设备不可或缺的一部分，了解该领域的现状和观察到的趋势非常重要。</w:t>
      </w:r>
    </w:p>
    <w:p w14:paraId="43294C8B" w14:textId="77777777" w:rsidR="003029AD" w:rsidRDefault="003029AD" w:rsidP="003029AD"/>
    <w:p w14:paraId="226A494A" w14:textId="3A10CA00" w:rsidR="003029AD" w:rsidRDefault="00FC71B7" w:rsidP="003029AD">
      <w:r>
        <w:rPr>
          <w:rFonts w:hint="eastAsia"/>
        </w:rPr>
        <w:t>注视点渲染</w:t>
      </w:r>
      <w:r w:rsidR="003029AD">
        <w:rPr>
          <w:rFonts w:hint="eastAsia"/>
        </w:rPr>
        <w:t>的概念并不新鲜。视线相关显示的早期实现应用于建筑飞行模拟器</w:t>
      </w:r>
      <w:r w:rsidR="003029AD">
        <w:rPr>
          <w:rFonts w:hint="eastAsia"/>
        </w:rPr>
        <w:t xml:space="preserve">[Murphy </w:t>
      </w:r>
      <w:r w:rsidR="003029AD">
        <w:rPr>
          <w:rFonts w:hint="eastAsia"/>
        </w:rPr>
        <w:t>和</w:t>
      </w:r>
      <w:r w:rsidR="003029AD">
        <w:rPr>
          <w:rFonts w:hint="eastAsia"/>
        </w:rPr>
        <w:t xml:space="preserve"> Duchowski 2001]</w:t>
      </w:r>
      <w:r w:rsidR="003029AD">
        <w:rPr>
          <w:rFonts w:hint="eastAsia"/>
        </w:rPr>
        <w:t>。不过，早期的方法主要是针对桌面显示器开发的，其视场大约为</w:t>
      </w:r>
      <w:r w:rsidR="003029AD">
        <w:rPr>
          <w:rFonts w:hint="eastAsia"/>
        </w:rPr>
        <w:t xml:space="preserve"> 43</w:t>
      </w:r>
      <w:r w:rsidR="003029AD">
        <w:rPr>
          <w:rFonts w:hint="eastAsia"/>
        </w:rPr>
        <w:t>°</w:t>
      </w:r>
      <w:r w:rsidR="003029AD">
        <w:rPr>
          <w:rFonts w:hint="eastAsia"/>
        </w:rPr>
        <w:t xml:space="preserve"> </w:t>
      </w:r>
      <w:r w:rsidR="003029AD">
        <w:rPr>
          <w:rFonts w:hint="eastAsia"/>
        </w:rPr>
        <w:t>×</w:t>
      </w:r>
      <w:r w:rsidR="003029AD">
        <w:rPr>
          <w:rFonts w:hint="eastAsia"/>
        </w:rPr>
        <w:t xml:space="preserve"> 33</w:t>
      </w:r>
      <w:r w:rsidR="003029AD">
        <w:rPr>
          <w:rFonts w:hint="eastAsia"/>
        </w:rPr>
        <w:t>°</w:t>
      </w:r>
      <w:r w:rsidR="003029AD">
        <w:rPr>
          <w:rFonts w:hint="eastAsia"/>
        </w:rPr>
        <w:t xml:space="preserve"> [Murphy </w:t>
      </w:r>
      <w:r w:rsidR="003029AD">
        <w:rPr>
          <w:rFonts w:hint="eastAsia"/>
        </w:rPr>
        <w:t>和</w:t>
      </w:r>
      <w:r w:rsidR="003029AD">
        <w:rPr>
          <w:rFonts w:hint="eastAsia"/>
        </w:rPr>
        <w:t xml:space="preserve"> Duchowski 2001]</w:t>
      </w:r>
      <w:r w:rsidR="003029AD">
        <w:rPr>
          <w:rFonts w:hint="eastAsia"/>
        </w:rPr>
        <w:t>。这只是现代宽视场显示器的一小部分。</w:t>
      </w:r>
      <w:r w:rsidR="003029AD">
        <w:rPr>
          <w:rFonts w:hint="eastAsia"/>
        </w:rPr>
        <w:t xml:space="preserve">Patney </w:t>
      </w:r>
      <w:r w:rsidR="003029AD">
        <w:rPr>
          <w:rFonts w:hint="eastAsia"/>
        </w:rPr>
        <w:t>等人</w:t>
      </w:r>
      <w:r w:rsidR="003029AD">
        <w:rPr>
          <w:rFonts w:hint="eastAsia"/>
        </w:rPr>
        <w:t>[2016b]</w:t>
      </w:r>
      <w:r w:rsidR="003029AD">
        <w:rPr>
          <w:rFonts w:hint="eastAsia"/>
        </w:rPr>
        <w:t>比较了从小视角智能手机屏幕到大视角</w:t>
      </w:r>
      <w:r w:rsidR="003029AD">
        <w:rPr>
          <w:rFonts w:hint="eastAsia"/>
        </w:rPr>
        <w:t xml:space="preserve"> VR HMD </w:t>
      </w:r>
      <w:r w:rsidR="003029AD">
        <w:rPr>
          <w:rFonts w:hint="eastAsia"/>
        </w:rPr>
        <w:t>等各种设备外围区域像素的百分比，如图</w:t>
      </w:r>
      <w:r w:rsidR="003029AD">
        <w:rPr>
          <w:rFonts w:hint="eastAsia"/>
        </w:rPr>
        <w:t xml:space="preserve"> 1 </w:t>
      </w:r>
      <w:r w:rsidR="003029AD">
        <w:rPr>
          <w:rFonts w:hint="eastAsia"/>
        </w:rPr>
        <w:t>所示。因此，与传统显示器相比，注视点渲染对于</w:t>
      </w:r>
      <w:r w:rsidR="003029AD">
        <w:rPr>
          <w:rFonts w:hint="eastAsia"/>
        </w:rPr>
        <w:t xml:space="preserve"> VR </w:t>
      </w:r>
      <w:r w:rsidR="003029AD">
        <w:rPr>
          <w:rFonts w:hint="eastAsia"/>
        </w:rPr>
        <w:t>和</w:t>
      </w:r>
      <w:r w:rsidR="003029AD">
        <w:rPr>
          <w:rFonts w:hint="eastAsia"/>
        </w:rPr>
        <w:t xml:space="preserve"> AR </w:t>
      </w:r>
      <w:r w:rsidR="003029AD">
        <w:rPr>
          <w:rFonts w:hint="eastAsia"/>
        </w:rPr>
        <w:t>头显变得更加重要。在</w:t>
      </w:r>
      <w:r w:rsidR="003029AD">
        <w:rPr>
          <w:rFonts w:hint="eastAsia"/>
        </w:rPr>
        <w:t xml:space="preserve"> 100</w:t>
      </w:r>
      <w:r w:rsidR="003029AD">
        <w:rPr>
          <w:rFonts w:hint="eastAsia"/>
        </w:rPr>
        <w:t>°</w:t>
      </w:r>
      <w:r w:rsidR="003029AD">
        <w:rPr>
          <w:rFonts w:hint="eastAsia"/>
        </w:rPr>
        <w:t xml:space="preserve"> </w:t>
      </w:r>
      <w:r w:rsidR="003029AD">
        <w:rPr>
          <w:rFonts w:hint="eastAsia"/>
        </w:rPr>
        <w:t>宽</w:t>
      </w:r>
      <w:r w:rsidR="003029AD">
        <w:rPr>
          <w:rFonts w:hint="eastAsia"/>
        </w:rPr>
        <w:t xml:space="preserve"> FOV HMD </w:t>
      </w:r>
      <w:r w:rsidR="003029AD">
        <w:rPr>
          <w:rFonts w:hint="eastAsia"/>
        </w:rPr>
        <w:t>中，只有</w:t>
      </w:r>
      <w:r w:rsidR="003029AD">
        <w:rPr>
          <w:rFonts w:hint="eastAsia"/>
        </w:rPr>
        <w:t xml:space="preserve"> 4% </w:t>
      </w:r>
      <w:r w:rsidR="003029AD">
        <w:rPr>
          <w:rFonts w:hint="eastAsia"/>
        </w:rPr>
        <w:t>的屏幕像素位于注视点区域，其余的都位于外围区域</w:t>
      </w:r>
      <w:r w:rsidR="003029AD">
        <w:rPr>
          <w:rFonts w:hint="eastAsia"/>
        </w:rPr>
        <w:t xml:space="preserve">[Patney </w:t>
      </w:r>
      <w:r w:rsidR="003029AD">
        <w:rPr>
          <w:rFonts w:hint="eastAsia"/>
        </w:rPr>
        <w:t>等人，</w:t>
      </w:r>
      <w:r w:rsidR="003029AD">
        <w:rPr>
          <w:rFonts w:hint="eastAsia"/>
        </w:rPr>
        <w:t>2016b]</w:t>
      </w:r>
      <w:r w:rsidR="003029AD">
        <w:rPr>
          <w:rFonts w:hint="eastAsia"/>
        </w:rPr>
        <w:t>。当如此大比例的像素位于低视力的外围区域时，高效的渲染系统可以</w:t>
      </w:r>
      <w:r w:rsidR="003029AD">
        <w:rPr>
          <w:rFonts w:hint="eastAsia"/>
        </w:rPr>
        <w:lastRenderedPageBreak/>
        <w:t>通过分配较少的资源来渲染外围区域，从而获得显著的计算增益。</w:t>
      </w:r>
    </w:p>
    <w:p w14:paraId="628A58B9" w14:textId="77777777" w:rsidR="003029AD" w:rsidRDefault="003029AD" w:rsidP="003029AD"/>
    <w:p w14:paraId="707A9DED" w14:textId="77777777" w:rsidR="003029AD" w:rsidRDefault="003029AD" w:rsidP="003029AD">
      <w:r>
        <w:rPr>
          <w:rFonts w:hint="eastAsia"/>
        </w:rPr>
        <w:t>直到最近，实时眼球跟踪技术在</w:t>
      </w:r>
      <w:r>
        <w:rPr>
          <w:rFonts w:hint="eastAsia"/>
        </w:rPr>
        <w:t xml:space="preserve"> VR </w:t>
      </w:r>
      <w:r>
        <w:rPr>
          <w:rFonts w:hint="eastAsia"/>
        </w:rPr>
        <w:t>和</w:t>
      </w:r>
      <w:r>
        <w:rPr>
          <w:rFonts w:hint="eastAsia"/>
        </w:rPr>
        <w:t xml:space="preserve"> AR </w:t>
      </w:r>
      <w:r>
        <w:rPr>
          <w:rFonts w:hint="eastAsia"/>
        </w:rPr>
        <w:t>头显中还不常见。不过，随着眼球追踪器在</w:t>
      </w:r>
      <w:r>
        <w:rPr>
          <w:rFonts w:hint="eastAsia"/>
        </w:rPr>
        <w:t xml:space="preserve"> VR </w:t>
      </w:r>
      <w:r>
        <w:rPr>
          <w:rFonts w:hint="eastAsia"/>
        </w:rPr>
        <w:t>和</w:t>
      </w:r>
      <w:r>
        <w:rPr>
          <w:rFonts w:hint="eastAsia"/>
        </w:rPr>
        <w:t xml:space="preserve"> AR </w:t>
      </w:r>
      <w:r>
        <w:rPr>
          <w:rFonts w:hint="eastAsia"/>
        </w:rPr>
        <w:t>头显中的商品化，注视点渲染技术可以利用注视点信息动态地以较高的质量渲染注视点区域，而以较低的质量渲染其他区域，同时不会降低图像的整体感知质量。随着未来</w:t>
      </w:r>
      <w:r>
        <w:rPr>
          <w:rFonts w:hint="eastAsia"/>
        </w:rPr>
        <w:t xml:space="preserve"> HMD </w:t>
      </w:r>
      <w:r>
        <w:rPr>
          <w:rFonts w:hint="eastAsia"/>
        </w:rPr>
        <w:t>的</w:t>
      </w:r>
      <w:r>
        <w:rPr>
          <w:rFonts w:hint="eastAsia"/>
        </w:rPr>
        <w:t xml:space="preserve"> FOV </w:t>
      </w:r>
      <w:r>
        <w:rPr>
          <w:rFonts w:hint="eastAsia"/>
        </w:rPr>
        <w:t>增加到与人类视觉相匹配，注视点渲染将成为大规模、宽</w:t>
      </w:r>
      <w:r>
        <w:rPr>
          <w:rFonts w:hint="eastAsia"/>
        </w:rPr>
        <w:t xml:space="preserve"> FOV </w:t>
      </w:r>
      <w:r>
        <w:rPr>
          <w:rFonts w:hint="eastAsia"/>
        </w:rPr>
        <w:t>和高分辨率</w:t>
      </w:r>
      <w:r>
        <w:rPr>
          <w:rFonts w:hint="eastAsia"/>
        </w:rPr>
        <w:t xml:space="preserve"> VR </w:t>
      </w:r>
      <w:r>
        <w:rPr>
          <w:rFonts w:hint="eastAsia"/>
        </w:rPr>
        <w:t>和</w:t>
      </w:r>
      <w:r>
        <w:rPr>
          <w:rFonts w:hint="eastAsia"/>
        </w:rPr>
        <w:t xml:space="preserve"> AR </w:t>
      </w:r>
      <w:r>
        <w:rPr>
          <w:rFonts w:hint="eastAsia"/>
        </w:rPr>
        <w:t>显示屏实时渲染</w:t>
      </w:r>
      <w:r>
        <w:rPr>
          <w:rFonts w:hint="eastAsia"/>
        </w:rPr>
        <w:t xml:space="preserve"> 3D </w:t>
      </w:r>
      <w:r>
        <w:rPr>
          <w:rFonts w:hint="eastAsia"/>
        </w:rPr>
        <w:t>图形管道的重要组成部分。</w:t>
      </w:r>
      <w:r>
        <w:rPr>
          <w:rFonts w:hint="eastAsia"/>
        </w:rPr>
        <w:t xml:space="preserve">4D </w:t>
      </w:r>
      <w:r>
        <w:rPr>
          <w:rFonts w:hint="eastAsia"/>
        </w:rPr>
        <w:t>光场是注视点渲染技术的另一个受益领域。</w:t>
      </w:r>
      <w:r>
        <w:rPr>
          <w:rFonts w:hint="eastAsia"/>
        </w:rPr>
        <w:t xml:space="preserve">4D </w:t>
      </w:r>
      <w:r>
        <w:rPr>
          <w:rFonts w:hint="eastAsia"/>
        </w:rPr>
        <w:t>光场从多个摄像机位置表现一个场景，这会产生巨大的渲染成本。</w:t>
      </w:r>
      <w:r>
        <w:rPr>
          <w:rFonts w:hint="eastAsia"/>
        </w:rPr>
        <w:t xml:space="preserve">Sun </w:t>
      </w:r>
      <w:r>
        <w:rPr>
          <w:rFonts w:hint="eastAsia"/>
        </w:rPr>
        <w:t>等人</w:t>
      </w:r>
      <w:r>
        <w:rPr>
          <w:rFonts w:hint="eastAsia"/>
        </w:rPr>
        <w:t>[2017]</w:t>
      </w:r>
      <w:r>
        <w:rPr>
          <w:rFonts w:hint="eastAsia"/>
        </w:rPr>
        <w:t>和</w:t>
      </w:r>
      <w:r>
        <w:rPr>
          <w:rFonts w:hint="eastAsia"/>
        </w:rPr>
        <w:t xml:space="preserve"> Meng </w:t>
      </w:r>
      <w:r>
        <w:rPr>
          <w:rFonts w:hint="eastAsia"/>
        </w:rPr>
        <w:t>等人</w:t>
      </w:r>
      <w:r>
        <w:rPr>
          <w:rFonts w:hint="eastAsia"/>
        </w:rPr>
        <w:t>[2020b]</w:t>
      </w:r>
      <w:r>
        <w:rPr>
          <w:rFonts w:hint="eastAsia"/>
        </w:rPr>
        <w:t>提出了利用注视点渲染技术加速光场渲染过程的方法，从而实现实时光场渲染。</w:t>
      </w:r>
    </w:p>
    <w:p w14:paraId="2B097C71" w14:textId="77777777" w:rsidR="003029AD" w:rsidRDefault="003029AD" w:rsidP="003029AD"/>
    <w:p w14:paraId="2921DAD4" w14:textId="77777777" w:rsidR="00163726" w:rsidRDefault="00163726"/>
    <w:p w14:paraId="5EC0F80F" w14:textId="77777777" w:rsidR="00163726" w:rsidRDefault="00163726"/>
    <w:p w14:paraId="6EC487BA" w14:textId="0E1BED7A" w:rsidR="00461BE2" w:rsidRDefault="00650C5C">
      <w:pPr>
        <w:pStyle w:val="2"/>
      </w:pPr>
      <w:bookmarkStart w:id="2" w:name="_Toc149754948"/>
      <w:r>
        <w:rPr>
          <w:rFonts w:hint="eastAsia"/>
        </w:rPr>
        <w:t>1.</w:t>
      </w:r>
      <w:r w:rsidR="00104EC7">
        <w:t>3</w:t>
      </w:r>
      <w:r>
        <w:rPr>
          <w:rFonts w:hint="eastAsia"/>
        </w:rPr>
        <w:t xml:space="preserve"> </w:t>
      </w:r>
      <w:r>
        <w:rPr>
          <w:rFonts w:hint="eastAsia"/>
        </w:rPr>
        <w:t>研究内容</w:t>
      </w:r>
      <w:bookmarkEnd w:id="2"/>
    </w:p>
    <w:p w14:paraId="0497E9CD" w14:textId="77777777" w:rsidR="00461BE2" w:rsidRDefault="00461BE2"/>
    <w:p w14:paraId="52F1216F" w14:textId="13162D7A" w:rsidR="00461BE2" w:rsidRDefault="00650C5C">
      <w:pPr>
        <w:pStyle w:val="2"/>
      </w:pPr>
      <w:bookmarkStart w:id="3" w:name="_Toc149754949"/>
      <w:r>
        <w:rPr>
          <w:rFonts w:hint="eastAsia"/>
        </w:rPr>
        <w:t>1.</w:t>
      </w:r>
      <w:r w:rsidR="00104EC7">
        <w:t>4</w:t>
      </w:r>
      <w:r>
        <w:rPr>
          <w:rFonts w:hint="eastAsia"/>
        </w:rPr>
        <w:t xml:space="preserve"> </w:t>
      </w:r>
      <w:r>
        <w:rPr>
          <w:rFonts w:hint="eastAsia"/>
        </w:rPr>
        <w:t>论文结构</w:t>
      </w:r>
      <w:bookmarkEnd w:id="3"/>
    </w:p>
    <w:p w14:paraId="079C6F80" w14:textId="774D3C5C" w:rsidR="00461BE2" w:rsidRDefault="00167537">
      <w:r>
        <w:rPr>
          <w:rFonts w:hint="eastAsia"/>
        </w:rPr>
        <w:t>本文共分为六个章节。每个章节的内容如下。</w:t>
      </w:r>
    </w:p>
    <w:p w14:paraId="122B8F8E" w14:textId="77777777" w:rsidR="00167537" w:rsidRDefault="00167537"/>
    <w:p w14:paraId="176E429E" w14:textId="7BAD3AA9" w:rsidR="00461BE2" w:rsidRDefault="00650C5C">
      <w:pPr>
        <w:pStyle w:val="2"/>
      </w:pPr>
      <w:bookmarkStart w:id="4" w:name="_Toc149754950"/>
      <w:r>
        <w:rPr>
          <w:rFonts w:hint="eastAsia"/>
        </w:rPr>
        <w:t>1.</w:t>
      </w:r>
      <w:r w:rsidR="00104EC7">
        <w:t>5</w:t>
      </w:r>
      <w:r>
        <w:rPr>
          <w:rFonts w:hint="eastAsia"/>
        </w:rPr>
        <w:t xml:space="preserve"> </w:t>
      </w:r>
      <w:r>
        <w:rPr>
          <w:rFonts w:hint="eastAsia"/>
        </w:rPr>
        <w:t>研究方法</w:t>
      </w:r>
      <w:bookmarkEnd w:id="4"/>
    </w:p>
    <w:p w14:paraId="7BFE54F4" w14:textId="77777777" w:rsidR="00461BE2" w:rsidRDefault="00461BE2"/>
    <w:p w14:paraId="6377AEBB" w14:textId="77777777" w:rsidR="004E3C9D" w:rsidRDefault="004E3C9D"/>
    <w:p w14:paraId="670DFF43" w14:textId="77777777" w:rsidR="00461BE2" w:rsidRDefault="00650C5C">
      <w:pPr>
        <w:pStyle w:val="1"/>
      </w:pPr>
      <w:bookmarkStart w:id="5" w:name="_Toc149754951"/>
      <w:r>
        <w:rPr>
          <w:rFonts w:hint="eastAsia"/>
        </w:rPr>
        <w:lastRenderedPageBreak/>
        <w:t xml:space="preserve">2 </w:t>
      </w:r>
      <w:r>
        <w:rPr>
          <w:rFonts w:hint="eastAsia"/>
        </w:rPr>
        <w:t>注视点渲染系统的相关工作</w:t>
      </w:r>
      <w:bookmarkEnd w:id="5"/>
    </w:p>
    <w:p w14:paraId="1F069977" w14:textId="77777777" w:rsidR="00461BE2" w:rsidRDefault="00650C5C">
      <w:pPr>
        <w:ind w:firstLine="420"/>
      </w:pPr>
      <w:r>
        <w:rPr>
          <w:rFonts w:hint="eastAsia"/>
        </w:rPr>
        <w:t>视杆细胞和视锥细胞在视网膜上的非均匀分布，以及它们对入射光的不同反应，导致了从眼窝到周边视力的一些变化。例如，对细节的感知随着偏心率的增加而降低，对相同物体的感知时间随着偏心率的增加而增加</w:t>
      </w:r>
      <w:r>
        <w:rPr>
          <w:rFonts w:hint="eastAsia"/>
          <w:vertAlign w:val="superscript"/>
        </w:rPr>
        <w:fldChar w:fldCharType="begin"/>
      </w:r>
      <w:r>
        <w:rPr>
          <w:rFonts w:hint="eastAsia"/>
          <w:vertAlign w:val="superscript"/>
        </w:rPr>
        <w:instrText xml:space="preserve"> REF _Ref18785 \n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。视杆细胞的空间辨别能力有限，而视锥细胞则具有出色的空间定位和颜色辨别能力</w:t>
      </w:r>
      <w:r>
        <w:rPr>
          <w:rFonts w:hint="eastAsia"/>
          <w:vertAlign w:val="superscript"/>
        </w:rPr>
        <w:fldChar w:fldCharType="begin"/>
      </w:r>
      <w:r>
        <w:rPr>
          <w:rFonts w:hint="eastAsia"/>
          <w:vertAlign w:val="superscript"/>
        </w:rPr>
        <w:instrText xml:space="preserve"> REF _Ref20029 \r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。然而，外周区域的运动检测能力比预期的要高，区分物体相对速度的能力和闪烁敏感度在整个视野中保持一致。此外，</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的研究表明，保留外围区域的对比度可以提高滤波图像的感知能力。研究还表明，虽然颜色感知会随着偏心率的增加而减弱，但这种减弱是渐进的，而且在高偏心率下颜色辨别力仍然存在</w:t>
      </w:r>
      <w:r>
        <w:rPr>
          <w:rFonts w:hint="eastAsia"/>
          <w:vertAlign w:val="superscript"/>
        </w:rPr>
        <w:fldChar w:fldCharType="begin"/>
      </w:r>
      <w:r>
        <w:rPr>
          <w:rFonts w:hint="eastAsia"/>
          <w:vertAlign w:val="superscript"/>
        </w:rPr>
        <w:instrText xml:space="preserve"> REF _Ref21325 \r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w:t>
      </w:r>
      <w:r>
        <w:rPr>
          <w:rFonts w:hint="eastAsia"/>
        </w:rPr>
        <w:t>Rosenholtz</w:t>
      </w:r>
      <w:r>
        <w:rPr>
          <w:rFonts w:hint="eastAsia"/>
          <w:vertAlign w:val="superscript"/>
        </w:rPr>
        <w:fldChar w:fldCharType="begin"/>
      </w:r>
      <w:r>
        <w:rPr>
          <w:rFonts w:hint="eastAsia"/>
          <w:vertAlign w:val="superscript"/>
        </w:rPr>
        <w:instrText xml:space="preserve"> REF _Ref21351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认为，外围视觉并不仅仅是低分辨率版的眼窝视觉，而是负责一种类似纹理的表征，它保留了场景的汇总统计信息。外围区域需要保留的不同属性。注视点渲染可以利用这些随偏心率变化的人类视觉特性。</w:t>
      </w:r>
    </w:p>
    <w:p w14:paraId="5B3A21D3" w14:textId="77777777" w:rsidR="00461BE2" w:rsidRDefault="00650C5C">
      <w:pPr>
        <w:ind w:firstLine="420"/>
      </w:pPr>
      <w:r>
        <w:rPr>
          <w:rFonts w:hint="eastAsia"/>
        </w:rPr>
        <w:t>大多数实时渲染都使用光栅化管道。光线追踪技术能提供更逼真的图像，包括精确的反射、折射和阴影、折射和阴影提供更逼真的图像</w:t>
      </w:r>
      <w:r>
        <w:rPr>
          <w:rFonts w:hint="eastAsia"/>
          <w:vertAlign w:val="superscript"/>
        </w:rPr>
        <w:fldChar w:fldCharType="begin"/>
      </w:r>
      <w:r>
        <w:rPr>
          <w:rFonts w:hint="eastAsia"/>
          <w:vertAlign w:val="superscript"/>
        </w:rPr>
        <w:instrText xml:space="preserve"> REF _Ref21384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注视点渲染可同时应用于光栅化和光线追踪管道。实时光栅化的图形流水线通常由着色操作的计算复杂性所主导。着色操作的复杂性。可以通过以下方法降低着色成本简化操作，预先计算部分操作、或减少操作次数。注视点渲染试图通过减少每个像素的平均操作次数。灵敏度，从而减少每个像素的平均操作次数。接下来，我们将根据各种注视点渲染技术的特点，对其进行分类和比较，并讨论它们在实时渲染中的应用。</w:t>
      </w:r>
    </w:p>
    <w:p w14:paraId="60309350" w14:textId="77777777" w:rsidR="00461BE2" w:rsidRDefault="00650C5C">
      <w:pPr>
        <w:ind w:firstLine="420"/>
      </w:pPr>
      <w:r>
        <w:rPr>
          <w:rFonts w:hint="eastAsia"/>
        </w:rPr>
        <w:t>第</w:t>
      </w:r>
      <w:r>
        <w:rPr>
          <w:rFonts w:hint="eastAsia"/>
        </w:rPr>
        <w:t>2.1</w:t>
      </w:r>
      <w:r>
        <w:rPr>
          <w:rFonts w:hint="eastAsia"/>
        </w:rPr>
        <w:t>节介绍了人类视觉系统的各种视觉属性，这些属性在整个视野中存在空间上的变化。第</w:t>
      </w:r>
      <w:r>
        <w:rPr>
          <w:rFonts w:hint="eastAsia"/>
        </w:rPr>
        <w:t>2.2</w:t>
      </w:r>
      <w:r>
        <w:rPr>
          <w:rFonts w:hint="eastAsia"/>
        </w:rPr>
        <w:t>节讨论了表征视觉灵敏度空间差异的各种模型。第</w:t>
      </w:r>
      <w:r>
        <w:rPr>
          <w:rFonts w:hint="eastAsia"/>
        </w:rPr>
        <w:t>2.3</w:t>
      </w:r>
      <w:r>
        <w:rPr>
          <w:rFonts w:hint="eastAsia"/>
        </w:rPr>
        <w:t>节探讨了不同注视点渲染系统所发挥作用的不同阶段。第</w:t>
      </w:r>
      <w:r>
        <w:rPr>
          <w:rFonts w:hint="eastAsia"/>
        </w:rPr>
        <w:t>2.4</w:t>
      </w:r>
      <w:r>
        <w:rPr>
          <w:rFonts w:hint="eastAsia"/>
        </w:rPr>
        <w:t>节概述了与注视跟踪相关的技术。最后，第</w:t>
      </w:r>
      <w:r>
        <w:rPr>
          <w:rFonts w:hint="eastAsia"/>
        </w:rPr>
        <w:t>2.5</w:t>
      </w:r>
      <w:r>
        <w:rPr>
          <w:rFonts w:hint="eastAsia"/>
        </w:rPr>
        <w:t>节讨论了注视点渲染的反走样技术。</w:t>
      </w:r>
    </w:p>
    <w:p w14:paraId="429040F9" w14:textId="77777777" w:rsidR="00461BE2" w:rsidRDefault="00650C5C" w:rsidP="000B0A37">
      <w:pPr>
        <w:pStyle w:val="2"/>
      </w:pPr>
      <w:bookmarkStart w:id="6" w:name="_Toc149754952"/>
      <w:r>
        <w:rPr>
          <w:rFonts w:hint="eastAsia"/>
        </w:rPr>
        <w:t xml:space="preserve">2.1 </w:t>
      </w:r>
      <w:r>
        <w:rPr>
          <w:rFonts w:hint="eastAsia"/>
        </w:rPr>
        <w:t>视觉因素</w:t>
      </w:r>
      <w:bookmarkEnd w:id="6"/>
    </w:p>
    <w:p w14:paraId="3319734A" w14:textId="77777777" w:rsidR="00461BE2" w:rsidRDefault="00650C5C">
      <w:pPr>
        <w:ind w:firstLine="420"/>
      </w:pPr>
      <w:r>
        <w:t>视觉</w:t>
      </w:r>
      <w:r>
        <w:rPr>
          <w:rFonts w:hint="eastAsia"/>
        </w:rPr>
        <w:t>的</w:t>
      </w:r>
      <w:r>
        <w:t>感知取决于各种因素，包括但不限于偏心、对比度、亮度</w:t>
      </w:r>
      <w:r>
        <w:rPr>
          <w:rFonts w:hint="eastAsia"/>
        </w:rPr>
        <w:t>（</w:t>
      </w:r>
      <w:r>
        <w:rPr>
          <w:rFonts w:hint="eastAsia"/>
        </w:rPr>
        <w:t>luminance</w:t>
      </w:r>
      <w:r>
        <w:rPr>
          <w:rFonts w:hint="eastAsia"/>
        </w:rPr>
        <w:t>）</w:t>
      </w:r>
      <w:r>
        <w:t>、</w:t>
      </w:r>
      <w:r>
        <w:rPr>
          <w:rFonts w:hint="eastAsia"/>
        </w:rPr>
        <w:t>明</w:t>
      </w:r>
      <w:r>
        <w:t>度</w:t>
      </w:r>
      <w:r>
        <w:rPr>
          <w:rFonts w:hint="eastAsia"/>
        </w:rPr>
        <w:t>（</w:t>
      </w:r>
      <w:r>
        <w:rPr>
          <w:rFonts w:hint="eastAsia"/>
        </w:rPr>
        <w:t>brightness</w:t>
      </w:r>
      <w:r>
        <w:rPr>
          <w:rFonts w:hint="eastAsia"/>
        </w:rPr>
        <w:t>）</w:t>
      </w:r>
      <w:r>
        <w:t>、颜色、形状、运动、固定和显著性。在本节中，我们将根据不同视觉因素对</w:t>
      </w:r>
      <w:r>
        <w:rPr>
          <w:rFonts w:hint="eastAsia"/>
        </w:rPr>
        <w:t>注视点</w:t>
      </w:r>
      <w:r>
        <w:t>渲染方法进行研究。</w:t>
      </w:r>
    </w:p>
    <w:p w14:paraId="7268A7C2" w14:textId="4BA37D23" w:rsidR="00461BE2" w:rsidRDefault="00650C5C" w:rsidP="000B0A37">
      <w:pPr>
        <w:pStyle w:val="3"/>
      </w:pPr>
      <w:bookmarkStart w:id="7" w:name="_Toc149754953"/>
      <w:r>
        <w:rPr>
          <w:rFonts w:hint="eastAsia"/>
        </w:rPr>
        <w:lastRenderedPageBreak/>
        <w:t xml:space="preserve">2.1.1 </w:t>
      </w:r>
      <w:r w:rsidR="00947D23">
        <w:rPr>
          <w:rFonts w:hint="eastAsia"/>
        </w:rPr>
        <w:t>视觉敏锐度</w:t>
      </w:r>
      <w:bookmarkEnd w:id="7"/>
    </w:p>
    <w:p w14:paraId="33F8C16D" w14:textId="77777777" w:rsidR="00461BE2" w:rsidRDefault="00650C5C">
      <w:pPr>
        <w:ind w:firstLine="420"/>
      </w:pPr>
      <w:r>
        <w:t>视觉敏锐度是一种广泛使用的视觉</w:t>
      </w:r>
      <w:r>
        <w:rPr>
          <w:rFonts w:hint="eastAsia"/>
        </w:rPr>
        <w:t>指标</w:t>
      </w:r>
      <w:r>
        <w:t>，其定义为</w:t>
      </w:r>
      <w:r>
        <w:rPr>
          <w:rFonts w:hint="eastAsia"/>
        </w:rPr>
        <w:t>，</w:t>
      </w:r>
      <w:r>
        <w:t>在给定偏心率下</w:t>
      </w:r>
      <w:r>
        <w:rPr>
          <w:rFonts w:hint="eastAsia"/>
        </w:rPr>
        <w:t>，</w:t>
      </w:r>
      <w:r>
        <w:t>可分辨区域所占角度的倒数。视敏度在整个视野中都是不同的。早期研究</w:t>
      </w:r>
      <w:r>
        <w:rPr>
          <w:vertAlign w:val="superscript"/>
        </w:rPr>
        <w:fldChar w:fldCharType="begin"/>
      </w:r>
      <w:r>
        <w:rPr>
          <w:vertAlign w:val="superscript"/>
        </w:rPr>
        <w:instrText xml:space="preserve"> REF _Ref10236 \r \h </w:instrText>
      </w:r>
      <w:r>
        <w:rPr>
          <w:vertAlign w:val="superscript"/>
        </w:rPr>
      </w:r>
      <w:r>
        <w:rPr>
          <w:vertAlign w:val="superscript"/>
        </w:rPr>
        <w:fldChar w:fldCharType="separate"/>
      </w:r>
      <w:r>
        <w:rPr>
          <w:vertAlign w:val="superscript"/>
        </w:rPr>
        <w:t>[17]</w:t>
      </w:r>
      <w:r>
        <w:rPr>
          <w:vertAlign w:val="superscript"/>
        </w:rPr>
        <w:fldChar w:fldCharType="end"/>
      </w:r>
      <w:r>
        <w:t>表明，随着偏心率的增加，视觉敏锐度会下降。因此，随着与注视点的角度距离的增加，分辨率也随之降低，这</w:t>
      </w:r>
      <w:r>
        <w:rPr>
          <w:rFonts w:hint="eastAsia"/>
        </w:rPr>
        <w:t>就是注视点</w:t>
      </w:r>
      <w:r>
        <w:t>渲染</w:t>
      </w:r>
      <w:r>
        <w:rPr>
          <w:rFonts w:hint="eastAsia"/>
        </w:rPr>
        <w:t>存在的原因</w:t>
      </w:r>
      <w:r>
        <w:t>。</w:t>
      </w:r>
      <w:r>
        <w:rPr>
          <w:rFonts w:hint="eastAsia"/>
        </w:rPr>
        <w:t>不同的注视点</w:t>
      </w:r>
      <w:r>
        <w:t>渲染方法</w:t>
      </w:r>
      <w:r>
        <w:rPr>
          <w:rFonts w:hint="eastAsia"/>
        </w:rPr>
        <w:t>，他们的主要区别就在于</w:t>
      </w:r>
      <w:r>
        <w:t>降低分辨率的方式。一种常见的方法是独立渲染多个离散层</w:t>
      </w:r>
      <w:r>
        <w:rPr>
          <w:rFonts w:hint="eastAsia"/>
        </w:rPr>
        <w:t>（后称偏心层）</w:t>
      </w:r>
      <w:r>
        <w:t>，每个层以不同的</w:t>
      </w:r>
      <w:r>
        <w:rPr>
          <w:rFonts w:hint="eastAsia"/>
        </w:rPr>
        <w:t>比率</w:t>
      </w:r>
      <w:r>
        <w:t>采样</w:t>
      </w:r>
      <w:r>
        <w:rPr>
          <w:vertAlign w:val="superscript"/>
        </w:rPr>
        <w:fldChar w:fldCharType="begin"/>
      </w:r>
      <w:r>
        <w:rPr>
          <w:vertAlign w:val="superscript"/>
        </w:rPr>
        <w:instrText xml:space="preserve"> REF _Ref10291 \r \h </w:instrText>
      </w:r>
      <w:r>
        <w:rPr>
          <w:vertAlign w:val="superscript"/>
        </w:rPr>
      </w:r>
      <w:r>
        <w:rPr>
          <w:vertAlign w:val="superscript"/>
        </w:rPr>
        <w:fldChar w:fldCharType="separate"/>
      </w:r>
      <w:r>
        <w:rPr>
          <w:vertAlign w:val="superscript"/>
        </w:rPr>
        <w:t>[18]</w:t>
      </w:r>
      <w:r>
        <w:rPr>
          <w:vertAlign w:val="superscript"/>
        </w:rPr>
        <w:fldChar w:fldCharType="end"/>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。这些偏心层的图层随后会按照屏幕分辨率进行上采样，然后合成在一起。由于着色是渲染管道中最耗时的操作，某些作品</w:t>
      </w:r>
      <w:r>
        <w:rPr>
          <w:vertAlign w:val="superscript"/>
        </w:rPr>
        <w:fldChar w:fldCharType="begin"/>
      </w:r>
      <w:r>
        <w:rPr>
          <w:vertAlign w:val="superscript"/>
        </w:rPr>
        <w:instrText xml:space="preserve"> REF _Ref10360 \r \h </w:instrText>
      </w:r>
      <w:r>
        <w:rPr>
          <w:vertAlign w:val="superscript"/>
        </w:rPr>
      </w:r>
      <w:r>
        <w:rPr>
          <w:vertAlign w:val="superscript"/>
        </w:rPr>
        <w:fldChar w:fldCharType="separate"/>
      </w:r>
      <w:r>
        <w:rPr>
          <w:vertAlign w:val="superscript"/>
        </w:rPr>
        <w:t>[20]</w:t>
      </w:r>
      <w:r>
        <w:rPr>
          <w:vertAlign w:val="superscript"/>
        </w:rPr>
        <w:fldChar w:fldCharType="end"/>
      </w:r>
      <w:r>
        <w:t>改变了整个视野的着色率，在外围区域每隔几个像素着色一次。最近的一些作品</w:t>
      </w:r>
      <w:r>
        <w:rPr>
          <w:vertAlign w:val="superscript"/>
        </w:rPr>
        <w:fldChar w:fldCharType="begin"/>
      </w:r>
      <w:r>
        <w:rPr>
          <w:vertAlign w:val="superscript"/>
        </w:rPr>
        <w:instrText xml:space="preserve"> REF _Ref10422 \r \h </w:instrText>
      </w:r>
      <w:r>
        <w:rPr>
          <w:vertAlign w:val="superscript"/>
        </w:rPr>
      </w:r>
      <w:r>
        <w:rPr>
          <w:vertAlign w:val="superscript"/>
        </w:rPr>
        <w:fldChar w:fldCharType="separate"/>
      </w:r>
      <w:r>
        <w:rPr>
          <w:vertAlign w:val="superscript"/>
        </w:rPr>
        <w:t>[21]</w:t>
      </w:r>
      <w:r>
        <w:rPr>
          <w:vertAlign w:val="superscript"/>
        </w:rPr>
        <w:fldChar w:fldCharType="end"/>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rPr>
          <w:vertAlign w:val="superscript"/>
        </w:rPr>
        <w:fldChar w:fldCharType="begin"/>
      </w:r>
      <w:r>
        <w:rPr>
          <w:vertAlign w:val="superscript"/>
        </w:rPr>
        <w:instrText xml:space="preserve"> REF _Ref10441 \r \h </w:instrText>
      </w:r>
      <w:r>
        <w:rPr>
          <w:vertAlign w:val="superscript"/>
        </w:rPr>
      </w:r>
      <w:r>
        <w:rPr>
          <w:vertAlign w:val="superscript"/>
        </w:rPr>
        <w:fldChar w:fldCharType="separate"/>
      </w:r>
      <w:r>
        <w:rPr>
          <w:vertAlign w:val="superscript"/>
        </w:rPr>
        <w:t>[23]</w:t>
      </w:r>
      <w:r>
        <w:rPr>
          <w:vertAlign w:val="superscript"/>
        </w:rPr>
        <w:fldChar w:fldCharType="end"/>
      </w:r>
      <w:r>
        <w:t>也展示了</w:t>
      </w:r>
      <w:r>
        <w:rPr>
          <w:rFonts w:hint="eastAsia"/>
        </w:rPr>
        <w:t>一种方式，能够</w:t>
      </w:r>
      <w:r>
        <w:t>更连续</w:t>
      </w:r>
      <w:r>
        <w:rPr>
          <w:rFonts w:hint="eastAsia"/>
        </w:rPr>
        <w:t>地</w:t>
      </w:r>
      <w:r>
        <w:t>改变分辨率。这些方法将视场映射到一个非线性空间，其</w:t>
      </w:r>
      <w:r>
        <w:rPr>
          <w:rFonts w:hint="eastAsia"/>
        </w:rPr>
        <w:t>像素分布</w:t>
      </w:r>
      <w:r>
        <w:t>与人类视觉的敏锐度相匹配。上述方法主要是利用光栅化管道开发的，而光线追踪方法自然可以在屏幕空间中实现平滑的非均匀采样。</w:t>
      </w:r>
      <w:r>
        <w:t>Weier</w:t>
      </w:r>
      <w:r>
        <w:t>等人</w:t>
      </w:r>
      <w:r>
        <w:rPr>
          <w:vertAlign w:val="superscript"/>
        </w:rPr>
        <w:fldChar w:fldCharType="begin"/>
      </w:r>
      <w:r>
        <w:rPr>
          <w:vertAlign w:val="superscript"/>
        </w:rPr>
        <w:instrText xml:space="preserve"> REF _Ref10513 \r \h </w:instrText>
      </w:r>
      <w:r>
        <w:rPr>
          <w:vertAlign w:val="superscript"/>
        </w:rPr>
      </w:r>
      <w:r>
        <w:rPr>
          <w:vertAlign w:val="superscript"/>
        </w:rPr>
        <w:fldChar w:fldCharType="separate"/>
      </w:r>
      <w:r>
        <w:rPr>
          <w:vertAlign w:val="superscript"/>
        </w:rPr>
        <w:t>[24]</w:t>
      </w:r>
      <w:r>
        <w:rPr>
          <w:vertAlign w:val="superscript"/>
        </w:rPr>
        <w:fldChar w:fldCharType="end"/>
      </w:r>
      <w:r>
        <w:t>以及</w:t>
      </w:r>
      <w:r>
        <w:t>Fujita</w:t>
      </w:r>
      <w:r>
        <w:t>和</w:t>
      </w:r>
      <w:r>
        <w:t>Harada</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在光线追踪中加入了</w:t>
      </w:r>
      <w:r>
        <w:rPr>
          <w:rFonts w:hint="eastAsia"/>
        </w:rPr>
        <w:t>注视点</w:t>
      </w:r>
      <w:r>
        <w:t>渲染，随着与注视点距离的增加</w:t>
      </w:r>
      <w:r>
        <w:rPr>
          <w:rFonts w:hint="eastAsia"/>
        </w:rPr>
        <w:t>，</w:t>
      </w:r>
      <w:r>
        <w:t>改变采样概率</w:t>
      </w:r>
      <w:r>
        <w:rPr>
          <w:rFonts w:hint="eastAsia"/>
        </w:rPr>
        <w:t>，其以此</w:t>
      </w:r>
      <w:r>
        <w:t>来实现稀疏采样。关于离散分布和连续分布之间权衡的更多讨论，最近关于视网膜显示的工作</w:t>
      </w:r>
      <w:r>
        <w:rPr>
          <w:vertAlign w:val="superscript"/>
        </w:rPr>
        <w:fldChar w:fldCharType="begin"/>
      </w:r>
      <w:r>
        <w:rPr>
          <w:vertAlign w:val="superscript"/>
        </w:rPr>
        <w:instrText xml:space="preserve"> REF _Ref24738 \r \h </w:instrText>
      </w:r>
      <w:r>
        <w:rPr>
          <w:vertAlign w:val="superscript"/>
        </w:rPr>
      </w:r>
      <w:r>
        <w:rPr>
          <w:vertAlign w:val="superscript"/>
        </w:rPr>
        <w:fldChar w:fldCharType="separate"/>
      </w:r>
      <w:r>
        <w:rPr>
          <w:vertAlign w:val="superscript"/>
        </w:rPr>
        <w:t>[26]</w:t>
      </w:r>
      <w:r>
        <w:rPr>
          <w:vertAlign w:val="superscript"/>
        </w:rPr>
        <w:fldChar w:fldCharType="end"/>
      </w:r>
      <w:r>
        <w:rPr>
          <w:rFonts w:hint="eastAsia"/>
        </w:rPr>
        <w:t>做了详细的讲解</w:t>
      </w:r>
      <w:r>
        <w:t>。这些方法背后的</w:t>
      </w:r>
      <w:r>
        <w:rPr>
          <w:rFonts w:hint="eastAsia"/>
        </w:rPr>
        <w:t>核心</w:t>
      </w:r>
      <w:r>
        <w:t>理念</w:t>
      </w:r>
      <w:r>
        <w:rPr>
          <w:rFonts w:hint="eastAsia"/>
        </w:rPr>
        <w:t>，</w:t>
      </w:r>
      <w:r>
        <w:t>是</w:t>
      </w:r>
      <w:r>
        <w:rPr>
          <w:rFonts w:hint="eastAsia"/>
        </w:rPr>
        <w:t>要</w:t>
      </w:r>
      <w:r>
        <w:t>模仿与</w:t>
      </w:r>
      <w:r>
        <w:t xml:space="preserve"> HVS </w:t>
      </w:r>
      <w:r>
        <w:t>视觉敏锐度密切相关的分布</w:t>
      </w:r>
      <w:r>
        <w:rPr>
          <w:rFonts w:hint="eastAsia"/>
        </w:rPr>
        <w:t>，他们</w:t>
      </w:r>
      <w:r>
        <w:t>以不同的方式</w:t>
      </w:r>
      <w:r>
        <w:rPr>
          <w:rFonts w:hint="eastAsia"/>
        </w:rPr>
        <w:t>构造</w:t>
      </w:r>
      <w:r>
        <w:t>非均匀采样分布函数，以最好地匹配整个视野的敏锐度</w:t>
      </w:r>
      <w:r>
        <w:rPr>
          <w:rFonts w:hint="eastAsia"/>
        </w:rPr>
        <w:t>。</w:t>
      </w:r>
    </w:p>
    <w:p w14:paraId="6921477D" w14:textId="77777777" w:rsidR="00461BE2" w:rsidRDefault="00650C5C">
      <w:pPr>
        <w:ind w:firstLine="420"/>
      </w:pPr>
      <w:r>
        <w:t>此外，最近的研究</w:t>
      </w:r>
      <w:r>
        <w:rPr>
          <w:vertAlign w:val="superscript"/>
        </w:rPr>
        <w:fldChar w:fldCharType="begin"/>
      </w:r>
      <w:r>
        <w:rPr>
          <w:vertAlign w:val="superscript"/>
        </w:rPr>
        <w:instrText xml:space="preserve"> REF _Ref10869 \r \h </w:instrText>
      </w:r>
      <w:r>
        <w:rPr>
          <w:vertAlign w:val="superscript"/>
        </w:rPr>
      </w:r>
      <w:r>
        <w:rPr>
          <w:vertAlign w:val="superscript"/>
        </w:rPr>
        <w:fldChar w:fldCharType="separate"/>
      </w:r>
      <w:r>
        <w:rPr>
          <w:vertAlign w:val="superscript"/>
        </w:rPr>
        <w:t>[27]</w:t>
      </w:r>
      <w:r>
        <w:rPr>
          <w:vertAlign w:val="superscript"/>
        </w:rPr>
        <w:fldChar w:fldCharType="end"/>
      </w:r>
      <w:r>
        <w:rPr>
          <w:vertAlign w:val="superscript"/>
        </w:rPr>
        <w:fldChar w:fldCharType="begin"/>
      </w:r>
      <w:r>
        <w:rPr>
          <w:vertAlign w:val="superscript"/>
        </w:rPr>
        <w:instrText xml:space="preserve"> REF _Ref10872 \r \h </w:instrText>
      </w:r>
      <w:r>
        <w:rPr>
          <w:vertAlign w:val="superscript"/>
        </w:rPr>
      </w:r>
      <w:r>
        <w:rPr>
          <w:vertAlign w:val="superscript"/>
        </w:rPr>
        <w:fldChar w:fldCharType="separate"/>
      </w:r>
      <w:r>
        <w:rPr>
          <w:vertAlign w:val="superscript"/>
        </w:rPr>
        <w:t>[28]</w:t>
      </w:r>
      <w:r>
        <w:rPr>
          <w:vertAlign w:val="superscript"/>
        </w:rPr>
        <w:fldChar w:fldCharType="end"/>
      </w:r>
      <w:r>
        <w:t>表明，在相同偏心率值下，横轴的视敏度高于纵轴</w:t>
      </w:r>
      <w:r>
        <w:rPr>
          <w:rFonts w:hint="eastAsia"/>
        </w:rPr>
        <w:t>。而且，</w:t>
      </w:r>
      <w:r>
        <w:t>低视场的视敏度更高。目前大多数的</w:t>
      </w:r>
      <w:r>
        <w:rPr>
          <w:rFonts w:hint="eastAsia"/>
        </w:rPr>
        <w:t>注视点</w:t>
      </w:r>
      <w:r>
        <w:t>渲染技术在渲染过程中都没有考虑到这种不对称，而是假设水平和垂直方向上的视敏度是一致的。</w:t>
      </w:r>
    </w:p>
    <w:p w14:paraId="3CC07EE5" w14:textId="77777777" w:rsidR="00461BE2" w:rsidRDefault="00461BE2"/>
    <w:p w14:paraId="4E2E8C68" w14:textId="35B8ADB7" w:rsidR="00461BE2" w:rsidRDefault="00650C5C" w:rsidP="000B0A37">
      <w:pPr>
        <w:pStyle w:val="3"/>
      </w:pPr>
      <w:bookmarkStart w:id="8" w:name="_Toc149754954"/>
      <w:r>
        <w:rPr>
          <w:rFonts w:hint="eastAsia"/>
        </w:rPr>
        <w:t xml:space="preserve">2.1.2 </w:t>
      </w:r>
      <w:r w:rsidR="00947D23">
        <w:rPr>
          <w:rFonts w:hint="eastAsia"/>
        </w:rPr>
        <w:t>对比度</w:t>
      </w:r>
      <w:bookmarkEnd w:id="8"/>
    </w:p>
    <w:p w14:paraId="6ACD3FC8" w14:textId="77777777" w:rsidR="00461BE2" w:rsidRDefault="00650C5C">
      <w:pPr>
        <w:ind w:firstLine="420"/>
      </w:pPr>
      <w:r>
        <w:t>图像对比度是影响视觉感知的一个主要因素。检测</w:t>
      </w:r>
      <w:r>
        <w:rPr>
          <w:rFonts w:hint="eastAsia"/>
        </w:rPr>
        <w:t>到</w:t>
      </w:r>
      <w:r>
        <w:t>图案所需的最小对比度（对比度阈值）</w:t>
      </w:r>
      <w:r>
        <w:rPr>
          <w:rFonts w:hint="eastAsia"/>
        </w:rPr>
        <w:t>，</w:t>
      </w:r>
      <w:r>
        <w:t>取决于图案的空间频率以及偏心率。对比度阈值的倒数称为对比度灵敏度，</w:t>
      </w:r>
      <w:r>
        <w:rPr>
          <w:rFonts w:hint="eastAsia"/>
        </w:rPr>
        <w:t>我们用</w:t>
      </w:r>
      <w:r>
        <w:t>对比度灵敏度函数（</w:t>
      </w:r>
      <w:r>
        <w:t>CSF</w:t>
      </w:r>
      <w:r>
        <w:t>）</w:t>
      </w:r>
      <w:r>
        <w:rPr>
          <w:rFonts w:hint="eastAsia"/>
        </w:rPr>
        <w:t>表示整个视野的对比度灵敏度</w:t>
      </w:r>
      <w:r>
        <w:t>。该函数描述的是人眼</w:t>
      </w:r>
      <w:r>
        <w:rPr>
          <w:rFonts w:hint="eastAsia"/>
        </w:rPr>
        <w:t>视觉系统</w:t>
      </w:r>
      <w:r>
        <w:t>识别</w:t>
      </w:r>
      <w:r>
        <w:rPr>
          <w:rFonts w:hint="eastAsia"/>
        </w:rPr>
        <w:t>图案</w:t>
      </w:r>
      <w:r>
        <w:t>差异的能力</w:t>
      </w:r>
      <w:r>
        <w:rPr>
          <w:vertAlign w:val="superscript"/>
        </w:rPr>
        <w:fldChar w:fldCharType="begin"/>
      </w:r>
      <w:r>
        <w:rPr>
          <w:vertAlign w:val="superscript"/>
        </w:rPr>
        <w:instrText xml:space="preserve"> REF _Ref29267 \r \h </w:instrText>
      </w:r>
      <w:r>
        <w:rPr>
          <w:vertAlign w:val="superscript"/>
        </w:rPr>
      </w:r>
      <w:r>
        <w:rPr>
          <w:vertAlign w:val="superscript"/>
        </w:rPr>
        <w:fldChar w:fldCharType="separate"/>
      </w:r>
      <w:r>
        <w:rPr>
          <w:vertAlign w:val="superscript"/>
        </w:rPr>
        <w:t>[29]</w:t>
      </w:r>
      <w:r>
        <w:rPr>
          <w:vertAlign w:val="superscript"/>
        </w:rPr>
        <w:fldChar w:fldCharType="end"/>
      </w:r>
      <w:r>
        <w:t>。与空间敏锐度类似，给定空间频率的对比</w:t>
      </w:r>
      <w:r>
        <w:rPr>
          <w:rFonts w:hint="eastAsia"/>
        </w:rPr>
        <w:t>度</w:t>
      </w:r>
      <w:r>
        <w:t>敏感度在</w:t>
      </w:r>
      <w:r>
        <w:rPr>
          <w:rFonts w:hint="eastAsia"/>
        </w:rPr>
        <w:t>视野中心</w:t>
      </w:r>
      <w:r>
        <w:t>处最高，随着偏心率的增加而降低。对</w:t>
      </w:r>
      <w:r>
        <w:lastRenderedPageBreak/>
        <w:t>比</w:t>
      </w:r>
      <w:r>
        <w:rPr>
          <w:rFonts w:hint="eastAsia"/>
        </w:rPr>
        <w:t>度</w:t>
      </w:r>
      <w:r>
        <w:t>敏感度取决于多种因素，如目标图案的大小、对比度和观察角度，文献中提出了多种</w:t>
      </w:r>
      <w:r>
        <w:t xml:space="preserve"> CSF </w:t>
      </w:r>
      <w:r>
        <w:t>建模函数</w:t>
      </w:r>
      <w:r>
        <w:rPr>
          <w:vertAlign w:val="superscript"/>
        </w:rPr>
        <w:fldChar w:fldCharType="begin"/>
      </w:r>
      <w:r>
        <w:rPr>
          <w:vertAlign w:val="superscript"/>
        </w:rPr>
        <w:instrText xml:space="preserve"> REF _Ref30217 \r \h </w:instrText>
      </w:r>
      <w:r>
        <w:rPr>
          <w:vertAlign w:val="superscript"/>
        </w:rPr>
      </w:r>
      <w:r>
        <w:rPr>
          <w:vertAlign w:val="superscript"/>
        </w:rPr>
        <w:fldChar w:fldCharType="separate"/>
      </w:r>
      <w:r>
        <w:rPr>
          <w:vertAlign w:val="superscript"/>
        </w:rPr>
        <w:t>[30]</w:t>
      </w:r>
      <w:r>
        <w:rPr>
          <w:vertAlign w:val="superscript"/>
        </w:rPr>
        <w:fldChar w:fldCharType="end"/>
      </w:r>
      <w:r>
        <w:rPr>
          <w:vertAlign w:val="superscript"/>
        </w:rPr>
        <w:fldChar w:fldCharType="begin"/>
      </w:r>
      <w:r>
        <w:rPr>
          <w:vertAlign w:val="superscript"/>
        </w:rPr>
        <w:instrText xml:space="preserve"> REF _Ref30224 \r \h </w:instrText>
      </w:r>
      <w:r>
        <w:rPr>
          <w:vertAlign w:val="superscript"/>
        </w:rPr>
      </w:r>
      <w:r>
        <w:rPr>
          <w:vertAlign w:val="superscript"/>
        </w:rPr>
        <w:fldChar w:fldCharType="separate"/>
      </w:r>
      <w:r>
        <w:rPr>
          <w:vertAlign w:val="superscript"/>
        </w:rPr>
        <w:t>[31]</w:t>
      </w:r>
      <w:r>
        <w:rPr>
          <w:vertAlign w:val="superscript"/>
        </w:rPr>
        <w:fldChar w:fldCharType="end"/>
      </w:r>
      <w:r>
        <w:t>。</w:t>
      </w:r>
    </w:p>
    <w:p w14:paraId="5F14B8DE" w14:textId="77777777" w:rsidR="00461BE2" w:rsidRDefault="00650C5C">
      <w:pPr>
        <w:ind w:firstLine="420"/>
      </w:pPr>
      <w:r>
        <w:t>对比敏感度与空间频率之间的关系在整个视野中各不相同</w:t>
      </w:r>
      <w:r>
        <w:rPr>
          <w:vertAlign w:val="superscript"/>
        </w:rPr>
        <w:fldChar w:fldCharType="begin"/>
      </w:r>
      <w:r>
        <w:rPr>
          <w:vertAlign w:val="superscript"/>
        </w:rPr>
        <w:instrText xml:space="preserve"> REF _Ref30253 \r \h </w:instrText>
      </w:r>
      <w:r>
        <w:rPr>
          <w:vertAlign w:val="superscript"/>
        </w:rPr>
      </w:r>
      <w:r>
        <w:rPr>
          <w:vertAlign w:val="superscript"/>
        </w:rPr>
        <w:fldChar w:fldCharType="separate"/>
      </w:r>
      <w:r>
        <w:rPr>
          <w:vertAlign w:val="superscript"/>
        </w:rPr>
        <w:t>[32]</w:t>
      </w:r>
      <w:r>
        <w:rPr>
          <w:vertAlign w:val="superscript"/>
        </w:rPr>
        <w:fldChar w:fldCharType="end"/>
      </w:r>
      <w:r>
        <w:t>。一般来说，随着空间频率的增加，</w:t>
      </w:r>
      <w:r>
        <w:rPr>
          <w:rFonts w:hint="eastAsia"/>
        </w:rPr>
        <w:t>在视野中心处，</w:t>
      </w:r>
      <w:r>
        <w:t>CSF</w:t>
      </w:r>
      <w:r>
        <w:t>的对比敏感度会逐渐下降，而</w:t>
      </w:r>
      <w:r>
        <w:rPr>
          <w:rFonts w:hint="eastAsia"/>
        </w:rPr>
        <w:t>视野外围处，</w:t>
      </w:r>
      <w:r>
        <w:t>CSF</w:t>
      </w:r>
      <w:r>
        <w:t>的对比敏感度则会突然下降。对比敏感度函数有一个截止空间频率，超过这个频率就无法辨别更高的频率。截止空间频率取决于视野中图像斑块位置的偏心率。此外，对比敏感度函数还与任务有关。检测任务和辨别任务的外围</w:t>
      </w:r>
      <w:r>
        <w:t xml:space="preserve">CSF </w:t>
      </w:r>
      <w:r>
        <w:t>显示了高空间频率下的不同表现极限</w:t>
      </w:r>
      <w:r>
        <w:rPr>
          <w:vertAlign w:val="superscript"/>
        </w:rPr>
        <w:fldChar w:fldCharType="begin"/>
      </w:r>
      <w:r>
        <w:rPr>
          <w:vertAlign w:val="superscript"/>
        </w:rPr>
        <w:instrText xml:space="preserve"> REF _Ref30312 \r \h </w:instrText>
      </w:r>
      <w:r>
        <w:rPr>
          <w:vertAlign w:val="superscript"/>
        </w:rPr>
      </w:r>
      <w:r>
        <w:rPr>
          <w:vertAlign w:val="superscript"/>
        </w:rPr>
        <w:fldChar w:fldCharType="separate"/>
      </w:r>
      <w:r>
        <w:rPr>
          <w:vertAlign w:val="superscript"/>
        </w:rPr>
        <w:t>[33]</w:t>
      </w:r>
      <w:r>
        <w:rPr>
          <w:vertAlign w:val="superscript"/>
        </w:rPr>
        <w:fldChar w:fldCharType="end"/>
      </w:r>
      <w:r>
        <w:t>。辨别任务的外围对比敏感度下降速度比检测任务快得多。检测任务和辨别任务的截止频率之间的差异表明，人类视觉系统可以感知外围的较高频率，但无法分辨细节。检测和辨别截止频率之间的频率范围被称为混叠区。根据分辨截止频率确定采样率的注视点渲染器比根据检测截止频率确定采样率的渲染器性能更快。不过，根据分辨截止频率渲染周边区域会降低频率处于混叠区的区域的对比度。为了保持检测能力，</w:t>
      </w:r>
      <w:r>
        <w:t>Patney</w:t>
      </w:r>
      <w:r>
        <w:t>等人</w:t>
      </w:r>
      <w:r>
        <w:rPr>
          <w:vertAlign w:val="superscript"/>
        </w:rPr>
        <w:fldChar w:fldCharType="begin"/>
      </w:r>
      <w:r>
        <w:rPr>
          <w:vertAlign w:val="superscript"/>
        </w:rPr>
        <w:instrText xml:space="preserve"> REF _Ref30348 \r \h </w:instrText>
      </w:r>
      <w:r>
        <w:rPr>
          <w:vertAlign w:val="superscript"/>
        </w:rPr>
      </w:r>
      <w:r>
        <w:rPr>
          <w:vertAlign w:val="superscript"/>
        </w:rPr>
        <w:fldChar w:fldCharType="separate"/>
      </w:r>
      <w:r>
        <w:rPr>
          <w:vertAlign w:val="superscript"/>
        </w:rPr>
        <w:t>[34]</w:t>
      </w:r>
      <w:r>
        <w:rPr>
          <w:vertAlign w:val="superscript"/>
        </w:rPr>
        <w:fldChar w:fldCharType="end"/>
      </w:r>
      <w:r>
        <w:rPr>
          <w:vertAlign w:val="superscript"/>
        </w:rPr>
        <w:fldChar w:fldCharType="begin"/>
      </w:r>
      <w:r>
        <w:rPr>
          <w:vertAlign w:val="superscript"/>
        </w:rPr>
        <w:instrText xml:space="preserve"> REF _Ref30354 \r \h </w:instrText>
      </w:r>
      <w:r>
        <w:rPr>
          <w:vertAlign w:val="superscript"/>
        </w:rPr>
      </w:r>
      <w:r>
        <w:rPr>
          <w:vertAlign w:val="superscript"/>
        </w:rPr>
        <w:fldChar w:fldCharType="separate"/>
      </w:r>
      <w:r>
        <w:rPr>
          <w:vertAlign w:val="superscript"/>
        </w:rPr>
        <w:t>[35]</w:t>
      </w:r>
      <w:r>
        <w:rPr>
          <w:vertAlign w:val="superscript"/>
        </w:rPr>
        <w:fldChar w:fldCharType="end"/>
      </w:r>
      <w:r>
        <w:t>建议增强混叠区的外围对比度，因为过滤会降低混叠区的对比度，从而保持</w:t>
      </w:r>
      <w:r>
        <w:rPr>
          <w:rFonts w:hint="eastAsia"/>
        </w:rPr>
        <w:t>非注视点区域</w:t>
      </w:r>
      <w:r>
        <w:t>的感知质量。</w:t>
      </w:r>
      <w:r>
        <w:t>Tursun</w:t>
      </w:r>
      <w:r>
        <w:t>等人</w:t>
      </w:r>
      <w:r>
        <w:rPr>
          <w:vertAlign w:val="superscript"/>
        </w:rPr>
        <w:fldChar w:fldCharType="begin"/>
      </w:r>
      <w:r>
        <w:rPr>
          <w:vertAlign w:val="superscript"/>
        </w:rPr>
        <w:instrText xml:space="preserve"> REF _Ref30393 \r \h </w:instrText>
      </w:r>
      <w:r>
        <w:rPr>
          <w:vertAlign w:val="superscript"/>
        </w:rPr>
      </w:r>
      <w:r>
        <w:rPr>
          <w:vertAlign w:val="superscript"/>
        </w:rPr>
        <w:fldChar w:fldCharType="separate"/>
      </w:r>
      <w:r>
        <w:rPr>
          <w:vertAlign w:val="superscript"/>
        </w:rPr>
        <w:t>[36]</w:t>
      </w:r>
      <w:r>
        <w:rPr>
          <w:vertAlign w:val="superscript"/>
        </w:rPr>
        <w:fldChar w:fldCharType="end"/>
      </w:r>
      <w:r>
        <w:t>利用了亮度对比对视觉感知的影响。他们观察到，虽然在高对比度区域降低一定的空间分辨率会降低感知质量，但在低对比度区域降低同样的分辨率却能保持感知质量。每个区域所需的最小分辨率是通过</w:t>
      </w:r>
      <w:r>
        <w:rPr>
          <w:rFonts w:hint="eastAsia"/>
        </w:rPr>
        <w:t>其</w:t>
      </w:r>
      <w:r>
        <w:t>对比</w:t>
      </w:r>
      <w:r>
        <w:rPr>
          <w:rFonts w:hint="eastAsia"/>
        </w:rPr>
        <w:t>度</w:t>
      </w:r>
      <w:r>
        <w:t>和</w:t>
      </w:r>
      <w:r>
        <w:rPr>
          <w:rFonts w:hint="eastAsia"/>
        </w:rPr>
        <w:t>偏心率</w:t>
      </w:r>
      <w:r>
        <w:t>估算出来的。除了亮度之外，对色彩的敏感度也会向周边区域降低。色调分辨率或每个</w:t>
      </w:r>
      <w:r>
        <w:t>RGB</w:t>
      </w:r>
      <w:r>
        <w:t>通道内可感知的灰度级数会随着偏心率的增加而减少</w:t>
      </w:r>
      <w:r>
        <w:rPr>
          <w:vertAlign w:val="superscript"/>
        </w:rPr>
        <w:fldChar w:fldCharType="begin"/>
      </w:r>
      <w:r>
        <w:rPr>
          <w:vertAlign w:val="superscript"/>
        </w:rPr>
        <w:instrText xml:space="preserve"> REF _Ref30446 \r \h </w:instrText>
      </w:r>
      <w:r>
        <w:rPr>
          <w:vertAlign w:val="superscript"/>
        </w:rPr>
      </w:r>
      <w:r>
        <w:rPr>
          <w:vertAlign w:val="superscript"/>
        </w:rPr>
        <w:fldChar w:fldCharType="separate"/>
      </w:r>
      <w:r>
        <w:rPr>
          <w:vertAlign w:val="superscript"/>
        </w:rPr>
        <w:t>[37]</w:t>
      </w:r>
      <w:r>
        <w:rPr>
          <w:vertAlign w:val="superscript"/>
        </w:rPr>
        <w:fldChar w:fldCharType="end"/>
      </w:r>
      <w:r>
        <w:t>。</w:t>
      </w:r>
      <w:r>
        <w:t>Liu</w:t>
      </w:r>
      <w:r>
        <w:t>等人</w:t>
      </w:r>
      <w:r>
        <w:rPr>
          <w:vertAlign w:val="superscript"/>
        </w:rPr>
        <w:fldChar w:fldCharType="begin"/>
      </w:r>
      <w:r>
        <w:rPr>
          <w:vertAlign w:val="superscript"/>
        </w:rPr>
        <w:instrText xml:space="preserve"> REF _Ref30485 \r \h </w:instrText>
      </w:r>
      <w:r>
        <w:rPr>
          <w:vertAlign w:val="superscript"/>
        </w:rPr>
      </w:r>
      <w:r>
        <w:rPr>
          <w:vertAlign w:val="superscript"/>
        </w:rPr>
        <w:fldChar w:fldCharType="separate"/>
      </w:r>
      <w:r>
        <w:rPr>
          <w:vertAlign w:val="superscript"/>
        </w:rPr>
        <w:t>[38]</w:t>
      </w:r>
      <w:r>
        <w:rPr>
          <w:vertAlign w:val="superscript"/>
        </w:rPr>
        <w:fldChar w:fldCharType="end"/>
      </w:r>
      <w:r>
        <w:t>的研究表明，随着偏心率从</w:t>
      </w:r>
      <w:r>
        <w:t>0°</w:t>
      </w:r>
      <w:r>
        <w:t>增加到</w:t>
      </w:r>
      <w:r>
        <w:t>30°</w:t>
      </w:r>
      <w:r>
        <w:t>，代表每个颜色通道的比特数会从</w:t>
      </w:r>
      <w:r>
        <w:t>8</w:t>
      </w:r>
      <w:r>
        <w:t>比特单调地减少到</w:t>
      </w:r>
      <w:r>
        <w:t>4</w:t>
      </w:r>
      <w:r>
        <w:t>比特。</w:t>
      </w:r>
    </w:p>
    <w:p w14:paraId="04429724" w14:textId="388909ED" w:rsidR="00227D9C" w:rsidRDefault="00227D9C" w:rsidP="000B0A37">
      <w:pPr>
        <w:pStyle w:val="3"/>
      </w:pPr>
      <w:bookmarkStart w:id="9" w:name="_Toc149754955"/>
      <w:r>
        <w:t>2</w:t>
      </w:r>
      <w:r>
        <w:rPr>
          <w:rFonts w:hint="eastAsia"/>
        </w:rPr>
        <w:t>.</w:t>
      </w:r>
      <w:r>
        <w:t>1</w:t>
      </w:r>
      <w:r>
        <w:rPr>
          <w:rFonts w:hint="eastAsia"/>
        </w:rPr>
        <w:t>.</w:t>
      </w:r>
      <w:r w:rsidR="00947D23">
        <w:t>3</w:t>
      </w:r>
      <w:r>
        <w:rPr>
          <w:rFonts w:hint="eastAsia"/>
        </w:rPr>
        <w:t xml:space="preserve"> </w:t>
      </w:r>
      <w:r>
        <w:rPr>
          <w:rFonts w:hint="eastAsia"/>
        </w:rPr>
        <w:t>周边运动和闪烁感知</w:t>
      </w:r>
      <w:bookmarkEnd w:id="9"/>
      <w:r>
        <w:rPr>
          <w:rFonts w:hint="eastAsia"/>
        </w:rPr>
        <w:t xml:space="preserve"> </w:t>
      </w:r>
    </w:p>
    <w:p w14:paraId="09AD05B1" w14:textId="77777777" w:rsidR="00227D9C" w:rsidRDefault="00227D9C" w:rsidP="00227D9C">
      <w:pPr>
        <w:ind w:firstLine="420"/>
      </w:pPr>
      <w:r>
        <w:rPr>
          <w:rFonts w:hint="eastAsia"/>
        </w:rPr>
        <w:t>有些任务在整个视野中的表现是一致的。例如，我们区分两个物体速度的能力在整个视野中是相当一致的</w:t>
      </w:r>
      <w:r>
        <w:rPr>
          <w:rFonts w:hint="eastAsia"/>
        </w:rPr>
        <w:t xml:space="preserve">[McKee </w:t>
      </w:r>
      <w:r>
        <w:rPr>
          <w:rFonts w:hint="eastAsia"/>
        </w:rPr>
        <w:t>和</w:t>
      </w:r>
      <w:r>
        <w:rPr>
          <w:rFonts w:hint="eastAsia"/>
        </w:rPr>
        <w:t xml:space="preserve"> Nakayama</w:t>
      </w:r>
      <w:r>
        <w:rPr>
          <w:rFonts w:hint="eastAsia"/>
        </w:rPr>
        <w:t>，</w:t>
      </w:r>
      <w:r>
        <w:rPr>
          <w:rFonts w:hint="eastAsia"/>
        </w:rPr>
        <w:t xml:space="preserve">1984 </w:t>
      </w:r>
      <w:r>
        <w:rPr>
          <w:rFonts w:hint="eastAsia"/>
        </w:rPr>
        <w:t>年</w:t>
      </w:r>
      <w:r>
        <w:rPr>
          <w:rFonts w:hint="eastAsia"/>
        </w:rPr>
        <w:t>]</w:t>
      </w:r>
      <w:r>
        <w:rPr>
          <w:rFonts w:hint="eastAsia"/>
        </w:rPr>
        <w:t>。我们对闪烁的敏感度在整个视野中也是大致保持一致的</w:t>
      </w:r>
      <w:r>
        <w:rPr>
          <w:rFonts w:hint="eastAsia"/>
        </w:rPr>
        <w:t>[Kelly 1984</w:t>
      </w:r>
      <w:r>
        <w:rPr>
          <w:rFonts w:hint="eastAsia"/>
        </w:rPr>
        <w:t>；</w:t>
      </w:r>
      <w:r>
        <w:rPr>
          <w:rFonts w:hint="eastAsia"/>
        </w:rPr>
        <w:t xml:space="preserve">Koenderink </w:t>
      </w:r>
      <w:r>
        <w:rPr>
          <w:rFonts w:hint="eastAsia"/>
        </w:rPr>
        <w:t>等人，</w:t>
      </w:r>
      <w:r>
        <w:rPr>
          <w:rFonts w:hint="eastAsia"/>
        </w:rPr>
        <w:t>1978b</w:t>
      </w:r>
      <w:r>
        <w:rPr>
          <w:rFonts w:hint="eastAsia"/>
        </w:rPr>
        <w:t>；</w:t>
      </w:r>
      <w:r>
        <w:rPr>
          <w:rFonts w:hint="eastAsia"/>
        </w:rPr>
        <w:t xml:space="preserve">Koenderink </w:t>
      </w:r>
      <w:r>
        <w:rPr>
          <w:rFonts w:hint="eastAsia"/>
        </w:rPr>
        <w:t>等人，</w:t>
      </w:r>
      <w:r>
        <w:rPr>
          <w:rFonts w:hint="eastAsia"/>
        </w:rPr>
        <w:t>1978a</w:t>
      </w:r>
      <w:r>
        <w:rPr>
          <w:rFonts w:hint="eastAsia"/>
        </w:rPr>
        <w:t>；</w:t>
      </w:r>
      <w:r>
        <w:rPr>
          <w:rFonts w:hint="eastAsia"/>
        </w:rPr>
        <w:t xml:space="preserve">Koenderink </w:t>
      </w:r>
      <w:r>
        <w:rPr>
          <w:rFonts w:hint="eastAsia"/>
        </w:rPr>
        <w:t>等人，</w:t>
      </w:r>
      <w:r>
        <w:rPr>
          <w:rFonts w:hint="eastAsia"/>
        </w:rPr>
        <w:t>1978c]</w:t>
      </w:r>
      <w:r>
        <w:rPr>
          <w:rFonts w:hint="eastAsia"/>
        </w:rPr>
        <w:t>。</w:t>
      </w:r>
    </w:p>
    <w:p w14:paraId="4DC000F6" w14:textId="77777777" w:rsidR="00227D9C" w:rsidRDefault="00227D9C" w:rsidP="00227D9C">
      <w:pPr>
        <w:ind w:firstLine="420"/>
      </w:pPr>
      <w:r>
        <w:rPr>
          <w:rFonts w:hint="eastAsia"/>
        </w:rPr>
        <w:t>一致的运动和时间敏感度要求注视点渲染器避免出现时间混叠等伪影，因为即使在外围也很容易察觉到这些假象。不考虑时间稳定性的注视点渲染器要么会破坏沉浸感，要么就必须在外围进行适当的处理，取得一个较为保守的结</w:t>
      </w:r>
      <w:r>
        <w:rPr>
          <w:rFonts w:hint="eastAsia"/>
        </w:rPr>
        <w:lastRenderedPageBreak/>
        <w:t>果。</w:t>
      </w:r>
    </w:p>
    <w:p w14:paraId="7F771834" w14:textId="77777777" w:rsidR="00461BE2" w:rsidRDefault="00650C5C">
      <w:pPr>
        <w:pStyle w:val="2"/>
      </w:pPr>
      <w:bookmarkStart w:id="10" w:name="_Toc149754956"/>
      <w:r>
        <w:rPr>
          <w:rFonts w:hint="eastAsia"/>
        </w:rPr>
        <w:t xml:space="preserve">2.2 </w:t>
      </w:r>
      <w:r>
        <w:rPr>
          <w:rFonts w:hint="eastAsia"/>
        </w:rPr>
        <w:t>基于偏心率的视觉模型</w:t>
      </w:r>
      <w:bookmarkEnd w:id="10"/>
    </w:p>
    <w:p w14:paraId="16E86FFD" w14:textId="77777777" w:rsidR="00461BE2" w:rsidRDefault="00650C5C">
      <w:pPr>
        <w:ind w:firstLine="420"/>
      </w:pPr>
      <w:r>
        <w:rPr>
          <w:rFonts w:hint="eastAsia"/>
        </w:rPr>
        <w:t>注视点渲染系统根据上述一个或多个视觉因素改变整个视野的分辨率或采样率。根据场景内容和任务，这些系统使用分析表达式来近似人类视野。这些近似值允许不同类型的像素分布。本节将讨论不同分布的异同。</w:t>
      </w:r>
    </w:p>
    <w:p w14:paraId="6E1D025E" w14:textId="77777777" w:rsidR="00461BE2" w:rsidRDefault="00650C5C">
      <w:pPr>
        <w:pStyle w:val="3"/>
      </w:pPr>
      <w:bookmarkStart w:id="11" w:name="_Toc149754957"/>
      <w:r>
        <w:rPr>
          <w:rFonts w:hint="eastAsia"/>
        </w:rPr>
        <w:t xml:space="preserve">2.2.1 </w:t>
      </w:r>
      <w:r>
        <w:rPr>
          <w:rFonts w:hint="eastAsia"/>
        </w:rPr>
        <w:t>双曲线模型</w:t>
      </w:r>
      <w:bookmarkEnd w:id="11"/>
    </w:p>
    <w:p w14:paraId="69F0B899" w14:textId="77777777" w:rsidR="00461BE2" w:rsidRDefault="00650C5C">
      <w:pPr>
        <w:ind w:firstLine="420"/>
      </w:pPr>
      <w:r>
        <w:rPr>
          <w:rFonts w:hint="eastAsia"/>
        </w:rPr>
        <w:t>视觉敏锐度可以定量表示为最小分辨角的倒数</w:t>
      </w:r>
      <w:r>
        <w:rPr>
          <w:rFonts w:hint="eastAsia"/>
          <w:vertAlign w:val="superscript"/>
        </w:rPr>
        <w:fldChar w:fldCharType="begin"/>
      </w:r>
      <w:r>
        <w:rPr>
          <w:rFonts w:hint="eastAsia"/>
          <w:vertAlign w:val="superscript"/>
        </w:rPr>
        <w:instrText xml:space="preserve"> REF _Ref22227 \r \h </w:instrText>
      </w:r>
      <w:r>
        <w:rPr>
          <w:rFonts w:hint="eastAsia"/>
          <w:vertAlign w:val="superscript"/>
        </w:rPr>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，即两点被感知为不同的最小角度。最小分辨角随着偏心率的增加而线性增加。视觉敏锐度随偏心率变化的一种可能的数学描述如下</w:t>
      </w:r>
      <w:r>
        <w:rPr>
          <w:rFonts w:hint="eastAsia"/>
        </w:rPr>
        <w:t xml:space="preserve"> </w:t>
      </w:r>
      <w:r>
        <w:rPr>
          <w:rFonts w:hint="eastAsia"/>
        </w:rPr>
        <w:t>：</w:t>
      </w:r>
    </w:p>
    <w:p w14:paraId="52E6A783" w14:textId="77777777" w:rsidR="00461BE2" w:rsidRDefault="00650C5C">
      <w:pPr>
        <w:ind w:left="2940" w:firstLine="420"/>
      </w:pPr>
      <m:oMath>
        <m:r>
          <m:rPr>
            <m:sty m:val="p"/>
          </m:rPr>
          <w:rPr>
            <w:rFonts w:ascii="Cambria Math" w:hAnsi="Cambria Math" w:hint="eastAsia"/>
          </w:rPr>
          <m:t>Acuity</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den>
        </m:f>
      </m:oMath>
      <w:r>
        <w:rPr>
          <w:rFonts w:hAnsi="Cambria Math" w:hint="eastAsia"/>
        </w:rPr>
        <w:t xml:space="preserve">                          (1)</w:t>
      </w:r>
    </w:p>
    <w:p w14:paraId="75B535F0" w14:textId="77777777" w:rsidR="00461BE2" w:rsidRDefault="00650C5C">
      <w:pPr>
        <w:ind w:firstLine="420"/>
      </w:pPr>
      <w:r>
        <w:rPr>
          <w:rFonts w:hint="eastAsia"/>
        </w:rPr>
        <w:t>其中，</w:t>
      </w:r>
      <m:oMath>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oMath>
      <w:r>
        <w:rPr>
          <w:rFonts w:hint="eastAsia"/>
        </w:rPr>
        <w:t>相当于发生在眼窝处的最小可分辨角度分辨率（</w:t>
      </w:r>
      <w:r>
        <w:rPr>
          <w:rFonts w:hint="eastAsia"/>
        </w:rPr>
        <w:t>e = 0</w:t>
      </w:r>
      <w:r>
        <w:rPr>
          <w:rFonts w:hint="eastAsia"/>
        </w:rPr>
        <w:t>），</w:t>
      </w:r>
      <w:r>
        <w:rPr>
          <w:rFonts w:hint="eastAsia"/>
        </w:rPr>
        <w:t>m</w:t>
      </w:r>
      <w:r>
        <w:rPr>
          <w:rFonts w:hint="eastAsia"/>
        </w:rPr>
        <w:t>代表斜率。我们将这种分布称为双曲线模型，其中敏锐度的变化是</w:t>
      </w:r>
      <w:r>
        <w:rPr>
          <w:rFonts w:hint="eastAsia"/>
        </w:rPr>
        <w:t>1/eccentricity</w:t>
      </w:r>
      <w:r>
        <w:rPr>
          <w:rFonts w:hint="eastAsia"/>
        </w:rPr>
        <w:t>的函数。这种双曲线模型在低偏心率（小于</w:t>
      </w:r>
      <w:r>
        <w:rPr>
          <w:rFonts w:hint="eastAsia"/>
        </w:rPr>
        <w:t>8</w:t>
      </w:r>
      <w:r>
        <w:rPr>
          <w:rFonts w:hint="eastAsia"/>
        </w:rPr>
        <w:t>°）时，与真实视敏度近似</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，之后视敏度会陡然下降。许多注视点渲染器</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_Ref10360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_Ref22919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的采样分布都是基于这种双曲线式的视敏度下降。</w:t>
      </w:r>
    </w:p>
    <w:p w14:paraId="43E320DD" w14:textId="77777777" w:rsidR="00461BE2" w:rsidRDefault="00650C5C">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开创性工作表明，采用注视点渲染进行光栅化可以显著提高性能。他们假设若干个离散层就足以模拟人类视觉系统中的敏锐度下降，他们使用了三个嵌套和重叠的矩形层，以不同的分辨率进行渲染。这三个层被称为偏心层，以注视点为中心。最内层即视野中心层是以最高分辨率（即显示器分辨率）渲染的。中间层比内层大，以相对较低的分辨率呈现。最外层覆盖整个屏幕，以更低的分辨率呈现。然后将所有三个图层插值到显示分辨率，并平滑混合。双曲线函数用于计算偏心层的大小和分辨率。参数取决于最小角分辨率斜率</w:t>
      </w:r>
      <w:r>
        <w:rPr>
          <w:rFonts w:hint="eastAsia"/>
        </w:rPr>
        <w:t>m</w:t>
      </w:r>
      <w:r>
        <w:rPr>
          <w:rFonts w:hint="eastAsia"/>
        </w:rPr>
        <w:t>，该斜率是根据用户研究估算的。该方法假定辐射视力下降是对称的，忽略了视野水平轴和垂直轴的差异。他们将自己的方法限制在三层，以近似人类视觉系统，尽管更多层次可以提供更好的近似效果，但代价是复杂性增加。因此，与以统一的高分辨率渲染整个画面相比，渲染像素的总数有所减少。</w:t>
      </w:r>
    </w:p>
    <w:p w14:paraId="7B708EAE" w14:textId="77777777" w:rsidR="00461BE2" w:rsidRDefault="00650C5C">
      <w:pPr>
        <w:ind w:firstLine="420"/>
      </w:pPr>
      <w:r>
        <w:rPr>
          <w:rFonts w:hint="eastAsia"/>
        </w:rPr>
        <w:t>Stengel</w:t>
      </w:r>
      <w:r>
        <w:rPr>
          <w:rFonts w:hint="eastAsia"/>
        </w:rPr>
        <w:t>等人</w:t>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对上述模型进行了扩展，纳入了平滑追逐眼动的效果。当移</w:t>
      </w:r>
      <w:r>
        <w:rPr>
          <w:rFonts w:hint="eastAsia"/>
        </w:rPr>
        <w:lastRenderedPageBreak/>
        <w:t>动物体吸引注意力时，会无意识地触发这种眼动。他们将聚焦区域建模为一条直线，通过整合连续帧上的注视位置获得。现在，偏心率是根据到这条直线的距离来测量的。因此，在最高分辨率下，渲染的是包裹直线的较大椭圆区域，而不是围绕单点的圆形区域。这种方法在延迟较高的显示器上性能更优。</w:t>
      </w:r>
    </w:p>
    <w:p w14:paraId="281EA598" w14:textId="77777777" w:rsidR="00461BE2" w:rsidRDefault="00650C5C">
      <w:pPr>
        <w:ind w:firstLine="420"/>
      </w:pPr>
      <w:r>
        <w:rPr>
          <w:rFonts w:hint="eastAsia"/>
        </w:rPr>
        <w:t>Spjut</w:t>
      </w:r>
      <w:r>
        <w:rPr>
          <w:rFonts w:hint="eastAsia"/>
        </w:rPr>
        <w:t>等人</w:t>
      </w:r>
      <w:r>
        <w:rPr>
          <w:rFonts w:hint="eastAsia"/>
          <w:vertAlign w:val="superscript"/>
        </w:rPr>
        <w:fldChar w:fldCharType="begin"/>
      </w:r>
      <w:r>
        <w:rPr>
          <w:rFonts w:hint="eastAsia"/>
          <w:vertAlign w:val="superscript"/>
        </w:rPr>
        <w:instrText xml:space="preserve"> REF _Ref23135 \r \h </w:instrText>
      </w:r>
      <w:r>
        <w:rPr>
          <w:rFonts w:hint="eastAsia"/>
          <w:vertAlign w:val="superscript"/>
        </w:rPr>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使用双曲线模型描述了</w:t>
      </w:r>
      <w:r>
        <w:rPr>
          <w:rFonts w:hint="eastAsia"/>
        </w:rPr>
        <w:t>HVS</w:t>
      </w:r>
      <w:r>
        <w:rPr>
          <w:rFonts w:hint="eastAsia"/>
        </w:rPr>
        <w:t>的敏锐度分布，并根据与该分布的匹配程度，对注视点渲染系统进行评估。对于偏心率小的情况，双曲线模型已被证明是准确的</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。然而，通常情况下，偏心率超过</w:t>
      </w:r>
      <w:r>
        <w:rPr>
          <w:rFonts w:hint="eastAsia"/>
        </w:rPr>
        <w:t>30</w:t>
      </w:r>
      <w:r>
        <w:rPr>
          <w:rFonts w:hint="eastAsia"/>
        </w:rPr>
        <w:t>°的区域是以统一的分辨率渲染的，这可能会限制注视点渲染的性能。</w:t>
      </w:r>
    </w:p>
    <w:p w14:paraId="3AC37FC7" w14:textId="77777777" w:rsidR="00461BE2" w:rsidRDefault="00650C5C">
      <w:pPr>
        <w:pStyle w:val="3"/>
      </w:pPr>
      <w:bookmarkStart w:id="12" w:name="_Toc149754958"/>
      <w:r>
        <w:rPr>
          <w:rFonts w:hint="eastAsia"/>
        </w:rPr>
        <w:t xml:space="preserve">2.2.2 </w:t>
      </w:r>
      <w:r>
        <w:rPr>
          <w:rFonts w:hint="eastAsia"/>
        </w:rPr>
        <w:t>线性模型</w:t>
      </w:r>
      <w:bookmarkEnd w:id="12"/>
    </w:p>
    <w:p w14:paraId="7909BAAC" w14:textId="77777777" w:rsidR="00461BE2" w:rsidRDefault="00650C5C">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考虑的是随着偏心率的增加，敏锐度呈线性下降，而不是上述的双曲线下降。通过在光线跟踪管道中建立线性模型，采样概率会随着与注视点距离的增加而降低。与</w:t>
      </w:r>
      <w:r>
        <w:rPr>
          <w:rFonts w:hint="eastAsia"/>
        </w:rPr>
        <w:t xml:space="preserve"> 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的研究类似，视野被分为三个区域。如图</w:t>
      </w:r>
      <w:r>
        <w:rPr>
          <w:rFonts w:hint="eastAsia"/>
        </w:rPr>
        <w:t>7</w:t>
      </w:r>
      <w:r>
        <w:rPr>
          <w:rFonts w:hint="eastAsia"/>
        </w:rPr>
        <w:t>所示，每个区域都有三个参数：</w:t>
      </w:r>
      <w:r>
        <w:rPr>
          <w:rFonts w:hint="eastAsia"/>
        </w:rPr>
        <w:t>r0</w:t>
      </w:r>
      <w:r>
        <w:rPr>
          <w:rFonts w:hint="eastAsia"/>
        </w:rPr>
        <w:t>、</w:t>
      </w:r>
      <w:r>
        <w:rPr>
          <w:rFonts w:hint="eastAsia"/>
        </w:rPr>
        <w:t>r1</w:t>
      </w:r>
      <w:r>
        <w:rPr>
          <w:rFonts w:hint="eastAsia"/>
        </w:rPr>
        <w:t>、</w:t>
      </w:r>
      <w:r>
        <w:rPr>
          <w:rFonts w:hint="eastAsia"/>
        </w:rPr>
        <w:t>pmin</w:t>
      </w:r>
      <w:r>
        <w:rPr>
          <w:rFonts w:hint="eastAsia"/>
        </w:rPr>
        <w:t>。内部区域（</w:t>
      </w:r>
      <w:r>
        <w:rPr>
          <w:rFonts w:hint="eastAsia"/>
        </w:rPr>
        <w:t>r0</w:t>
      </w:r>
      <w:r>
        <w:rPr>
          <w:rFonts w:hint="eastAsia"/>
        </w:rPr>
        <w:t>度范围内的区域）为中心区域，该区域以全分辨率渲染，因此采样概率为</w:t>
      </w:r>
      <w:r>
        <w:rPr>
          <w:rFonts w:hint="eastAsia"/>
        </w:rPr>
        <w:t xml:space="preserve"> 1</w:t>
      </w:r>
      <w:r>
        <w:rPr>
          <w:rFonts w:hint="eastAsia"/>
        </w:rPr>
        <w:t>。最外围区域（距离注视点</w:t>
      </w:r>
      <w:r>
        <w:rPr>
          <w:rFonts w:hint="eastAsia"/>
        </w:rPr>
        <w:t>r1</w:t>
      </w:r>
      <w:r>
        <w:rPr>
          <w:rFonts w:hint="eastAsia"/>
        </w:rPr>
        <w:t>度以外的区域）的像素采样概率最小为</w:t>
      </w:r>
      <w:r>
        <w:rPr>
          <w:rFonts w:hint="eastAsia"/>
        </w:rPr>
        <w:t xml:space="preserve">pmin </w:t>
      </w:r>
      <w:r>
        <w:rPr>
          <w:rFonts w:hint="eastAsia"/>
        </w:rPr>
        <w:t>。两层之间区域（</w:t>
      </w:r>
      <w:r>
        <w:rPr>
          <w:rFonts w:hint="eastAsia"/>
        </w:rPr>
        <w:t xml:space="preserve">r0 </w:t>
      </w:r>
      <w:r>
        <w:rPr>
          <w:rFonts w:hint="eastAsia"/>
        </w:rPr>
        <w:t>和</w:t>
      </w:r>
      <w:r>
        <w:rPr>
          <w:rFonts w:hint="eastAsia"/>
        </w:rPr>
        <w:t>r1</w:t>
      </w:r>
      <w:r>
        <w:rPr>
          <w:rFonts w:hint="eastAsia"/>
        </w:rPr>
        <w:t>之间）的像素根据线性方程采样：</w:t>
      </w:r>
    </w:p>
    <w:p w14:paraId="054B6055" w14:textId="3DC92BDE" w:rsidR="00461BE2" w:rsidRDefault="004A2024">
      <w:pPr>
        <w:ind w:left="2100" w:firstLine="420"/>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1- </m:t>
        </m:r>
        <m:d>
          <m:dPr>
            <m:ctrlPr>
              <w:rPr>
                <w:rFonts w:ascii="Cambria Math" w:hAnsi="Cambria Math"/>
              </w:rPr>
            </m:ctrlPr>
          </m:dPr>
          <m:e>
            <m:r>
              <m:rPr>
                <m:sty m:val="p"/>
              </m:rPr>
              <w:rPr>
                <w:rFonts w:ascii="Cambria Math" w:hAnsi="Cambria Math"/>
              </w:rPr>
              <m:t>1-pmin</m:t>
            </m:r>
          </m:e>
        </m:d>
        <m:f>
          <m:fPr>
            <m:ctrlPr>
              <w:rPr>
                <w:rFonts w:ascii="Cambria Math" w:hAnsi="Cambria Math"/>
              </w:rPr>
            </m:ctrlPr>
          </m:fPr>
          <m:num>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 r0</m:t>
            </m:r>
          </m:num>
          <m:den>
            <m:r>
              <m:rPr>
                <m:sty m:val="p"/>
              </m:rPr>
              <w:rPr>
                <w:rFonts w:ascii="Cambria Math" w:hAnsi="Cambria Math"/>
              </w:rPr>
              <m:t>r1- r0</m:t>
            </m:r>
          </m:den>
        </m:f>
        <m:r>
          <m:rPr>
            <m:sty m:val="p"/>
          </m:rPr>
          <w:rPr>
            <w:rFonts w:ascii="Cambria Math" w:hAnsi="Cambria Math"/>
          </w:rPr>
          <m:t xml:space="preserve"> </m:t>
        </m:r>
      </m:oMath>
      <w:r w:rsidR="00650C5C">
        <w:rPr>
          <w:rFonts w:hAnsi="Cambria Math" w:hint="eastAsia"/>
        </w:rPr>
        <w:t xml:space="preserve">                 (2)</w:t>
      </w:r>
    </w:p>
    <w:p w14:paraId="37BB5C7E" w14:textId="77777777" w:rsidR="00461BE2" w:rsidRDefault="00650C5C">
      <w:pPr>
        <w:ind w:firstLine="420"/>
      </w:pPr>
      <w:r>
        <w:rPr>
          <w:rFonts w:hint="eastAsia"/>
        </w:rPr>
        <w:t>其中，</w:t>
      </w:r>
      <w:r>
        <w:rPr>
          <w:rFonts w:hint="eastAsia"/>
        </w:rPr>
        <w:t>d(x)</w:t>
      </w:r>
      <w:r>
        <w:rPr>
          <w:rFonts w:hint="eastAsia"/>
        </w:rPr>
        <w:t>是像素</w:t>
      </w:r>
      <w:r>
        <w:rPr>
          <w:rFonts w:hint="eastAsia"/>
        </w:rPr>
        <w:t>x</w:t>
      </w:r>
      <w:r>
        <w:rPr>
          <w:rFonts w:hint="eastAsia"/>
        </w:rPr>
        <w:t>与视野中心的距离，单位为度。</w:t>
      </w:r>
      <w:r>
        <w:rPr>
          <w:rFonts w:hint="eastAsia"/>
        </w:rPr>
        <w:t>r0</w:t>
      </w:r>
      <w:r>
        <w:rPr>
          <w:rFonts w:hint="eastAsia"/>
        </w:rPr>
        <w:t>、</w:t>
      </w:r>
      <w:r>
        <w:rPr>
          <w:rFonts w:hint="eastAsia"/>
        </w:rPr>
        <w:t xml:space="preserve">r1 </w:t>
      </w:r>
      <w:r>
        <w:rPr>
          <w:rFonts w:hint="eastAsia"/>
        </w:rPr>
        <w:t>和</w:t>
      </w:r>
      <w:r>
        <w:rPr>
          <w:rFonts w:hint="eastAsia"/>
        </w:rPr>
        <w:t xml:space="preserve"> pmin </w:t>
      </w:r>
      <w:r>
        <w:rPr>
          <w:rFonts w:hint="eastAsia"/>
        </w:rPr>
        <w:t>是用户自定义的参数。线性近似模型更为宽松，仅在偏心率值较小的情况下有效，偏心率值越大，区域渲染分辨率越低。</w:t>
      </w:r>
    </w:p>
    <w:p w14:paraId="29D82FC8" w14:textId="77777777" w:rsidR="00461BE2" w:rsidRDefault="00650C5C">
      <w:pPr>
        <w:pStyle w:val="3"/>
      </w:pPr>
      <w:bookmarkStart w:id="13" w:name="_Toc149754959"/>
      <w:r>
        <w:rPr>
          <w:rFonts w:hint="eastAsia"/>
        </w:rPr>
        <w:t xml:space="preserve">2.2.3 </w:t>
      </w:r>
      <w:r>
        <w:rPr>
          <w:rFonts w:hint="eastAsia"/>
        </w:rPr>
        <w:t>对数模型</w:t>
      </w:r>
      <w:bookmarkEnd w:id="13"/>
    </w:p>
    <w:p w14:paraId="65ADD59C" w14:textId="77777777" w:rsidR="00461BE2" w:rsidRDefault="00650C5C">
      <w:pPr>
        <w:ind w:firstLine="420"/>
      </w:pPr>
      <w:r>
        <w:rPr>
          <w:rFonts w:hint="eastAsia"/>
        </w:rPr>
        <w:t>这种对图像的对数极坐标映射</w:t>
      </w:r>
      <w:r>
        <w:rPr>
          <w:rFonts w:hint="eastAsia"/>
          <w:vertAlign w:val="superscript"/>
        </w:rPr>
        <w:fldChar w:fldCharType="begin"/>
      </w:r>
      <w:r>
        <w:rPr>
          <w:rFonts w:hint="eastAsia"/>
          <w:vertAlign w:val="superscript"/>
        </w:rPr>
        <w:instrText xml:space="preserve"> REF _Ref14984 \r \h </w:instrText>
      </w:r>
      <w:r>
        <w:rPr>
          <w:rFonts w:hint="eastAsia"/>
          <w:vertAlign w:val="superscript"/>
        </w:rPr>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确保了感知灵敏度在视野中心较高，并随着与注视点距离的增加呈对数递减。与上述在渲染过程中使用多分辨率的模型不同，从笛卡尔空间到对数极坐标空间的映射与人类视觉敏锐度相匹配，可以使用单一的统一分辨率渲染，直接应用于转换后的空间。对数极坐标映射已被证明在计算机视觉、机器人、计算机制图和图像处理等许多领域非常有用，因为它能利用有限的计算资源提供足够的视觉细节</w:t>
      </w:r>
      <w:r>
        <w:rPr>
          <w:rFonts w:hint="eastAsia"/>
          <w:vertAlign w:val="superscript"/>
        </w:rPr>
        <w:fldChar w:fldCharType="begin"/>
      </w:r>
      <w:r>
        <w:rPr>
          <w:rFonts w:hint="eastAsia"/>
          <w:vertAlign w:val="superscript"/>
        </w:rPr>
        <w:instrText xml:space="preserve"> REF _Ref15010 \r \h </w:instrText>
      </w:r>
      <w:r>
        <w:rPr>
          <w:rFonts w:hint="eastAsia"/>
          <w:vertAlign w:val="superscript"/>
        </w:rPr>
      </w:r>
      <w:r>
        <w:rPr>
          <w:rFonts w:hint="eastAsia"/>
          <w:vertAlign w:val="superscript"/>
        </w:rPr>
        <w:fldChar w:fldCharType="separate"/>
      </w:r>
      <w:r>
        <w:rPr>
          <w:rFonts w:hint="eastAsia"/>
          <w:vertAlign w:val="superscript"/>
        </w:rPr>
        <w:t>[51]</w:t>
      </w:r>
      <w:r>
        <w:rPr>
          <w:rFonts w:hint="eastAsia"/>
          <w:vertAlign w:val="superscript"/>
        </w:rPr>
        <w:fldChar w:fldCharType="end"/>
      </w:r>
      <w:r>
        <w:rPr>
          <w:rFonts w:hint="eastAsia"/>
        </w:rPr>
        <w:t>。、</w:t>
      </w:r>
    </w:p>
    <w:p w14:paraId="58E8A639" w14:textId="77777777" w:rsidR="00461BE2" w:rsidRDefault="00650C5C">
      <w:pPr>
        <w:ind w:firstLine="420"/>
      </w:pPr>
      <w:r>
        <w:rPr>
          <w:rFonts w:hint="eastAsia"/>
        </w:rPr>
        <w:lastRenderedPageBreak/>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利用人类视觉系统的对数极坐标映射为网格提供了一种注视点渲染方法。他们的系统引入了一种核函数对数极坐标映射技术，可以灵活地模拟与</w:t>
      </w:r>
      <w:r>
        <w:rPr>
          <w:rFonts w:hint="eastAsia"/>
        </w:rPr>
        <w:t>HVS</w:t>
      </w:r>
      <w:r>
        <w:rPr>
          <w:rFonts w:hint="eastAsia"/>
        </w:rPr>
        <w:t>相匹配的敏锐度下降。视敏度按对数递减，并取决于核函数。该技术的渲染加速是通过延迟着色实现的</w:t>
      </w:r>
      <w:r>
        <w:rPr>
          <w:rFonts w:hint="eastAsia"/>
          <w:vertAlign w:val="superscript"/>
        </w:rPr>
        <w:fldChar w:fldCharType="begin"/>
      </w:r>
      <w:r>
        <w:rPr>
          <w:rFonts w:hint="eastAsia"/>
          <w:vertAlign w:val="superscript"/>
        </w:rPr>
        <w:instrText xml:space="preserve"> REF _Ref15040 \r \h </w:instrText>
      </w:r>
      <w:r>
        <w:rPr>
          <w:rFonts w:hint="eastAsia"/>
          <w:vertAlign w:val="superscript"/>
        </w:rPr>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，这是一种在实时渲染中广泛使用的技术。着色计算所需的每个表面的位置、法线、纹理和材质信息都会被渲染到几何缓冲区（</w:t>
      </w:r>
      <w:r>
        <w:rPr>
          <w:rFonts w:hint="eastAsia"/>
        </w:rPr>
        <w:t>G-buffer</w:t>
      </w:r>
      <w:r>
        <w:rPr>
          <w:rFonts w:hint="eastAsia"/>
        </w:rPr>
        <w:t>）中。几何缓冲区的内容从笛卡尔空间转换到对数极坐标空间。计算每个像素的直接和间接照明，并渲染到缩小分辨率的对数极坐标缓冲区。照明计算在缩小的对数极坐标空间中进行。应用反核函数对数极坐标映射将着色区域映射回笛卡尔屏幕空间。这种方法能够在对数极坐标空间中系统地连续改变采样率和采样分布。</w:t>
      </w:r>
    </w:p>
    <w:p w14:paraId="703DCFC4" w14:textId="77777777" w:rsidR="00461BE2" w:rsidRDefault="00650C5C">
      <w:pPr>
        <w:ind w:firstLine="420"/>
      </w:pPr>
      <w:r>
        <w:rPr>
          <w:rFonts w:hint="eastAsia"/>
        </w:rPr>
        <w:t>Koskela</w:t>
      </w:r>
      <w:r>
        <w:rPr>
          <w:rFonts w:hint="eastAsia"/>
        </w:rPr>
        <w:t>等人</w:t>
      </w:r>
      <w:r>
        <w:rPr>
          <w:rFonts w:hint="eastAsia"/>
          <w:vertAlign w:val="superscript"/>
        </w:rPr>
        <w:fldChar w:fldCharType="begin"/>
      </w:r>
      <w:r>
        <w:rPr>
          <w:rFonts w:hint="eastAsia"/>
          <w:vertAlign w:val="superscript"/>
        </w:rPr>
        <w:instrText xml:space="preserve"> REF _Ref15144 \r \h </w:instrText>
      </w:r>
      <w:r>
        <w:rPr>
          <w:rFonts w:hint="eastAsia"/>
          <w:vertAlign w:val="superscript"/>
        </w:rPr>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引入了从笛卡尔空间到视觉极坐标空间的类似映射。在视觉极坐标空间中对每个像素进行一次采样的路径追踪。极坐标空间经过修改，使采样分布与人类视敏度分布一致。为了与</w:t>
      </w:r>
      <w:r>
        <w:rPr>
          <w:rFonts w:hint="eastAsia"/>
        </w:rPr>
        <w:t>HVS</w:t>
      </w:r>
      <w:r>
        <w:rPr>
          <w:rFonts w:hint="eastAsia"/>
        </w:rPr>
        <w:t>相匹配，可以调整沿角度轴和径向轴的采样数量。他们观察到，改变沿角度轴的样本数量会导致周边区域出现伪影，而改变沿径向轴的样本数量则会导致注视点区域出现伪影。基于这些发现，他们的优化技术沿注视点角度轴改变分辨率，并重新调整周边区域的径向轴。以及对噪声扰动的路径追踪的视极空间图像进行去噪处理</w:t>
      </w:r>
      <w:r>
        <w:rPr>
          <w:rFonts w:hint="eastAsia"/>
          <w:vertAlign w:val="superscript"/>
        </w:rPr>
        <w:fldChar w:fldCharType="begin"/>
      </w:r>
      <w:r>
        <w:rPr>
          <w:rFonts w:hint="eastAsia"/>
          <w:vertAlign w:val="superscript"/>
        </w:rPr>
        <w:instrText xml:space="preserve"> REF _Ref15167 \r \h </w:instrText>
      </w:r>
      <w:r>
        <w:rPr>
          <w:rFonts w:hint="eastAsia"/>
          <w:vertAlign w:val="superscript"/>
        </w:rPr>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rPr>
        <w:t>。重建后的视觉极坐标空间图像通过反映射转换回笛卡尔坐标。他们的报告显示，与对数极坐标映射相比，视觉极坐标映射减少了造成干扰的伪影。</w:t>
      </w:r>
    </w:p>
    <w:p w14:paraId="0E588419" w14:textId="77777777" w:rsidR="00461BE2" w:rsidRDefault="00650C5C">
      <w:pPr>
        <w:pStyle w:val="3"/>
      </w:pPr>
      <w:bookmarkStart w:id="14" w:name="_Toc149754960"/>
      <w:r>
        <w:rPr>
          <w:rFonts w:hint="eastAsia"/>
        </w:rPr>
        <w:t xml:space="preserve">2.2.4 </w:t>
      </w:r>
      <w:r>
        <w:rPr>
          <w:rFonts w:hint="eastAsia"/>
        </w:rPr>
        <w:t>其他模型</w:t>
      </w:r>
      <w:bookmarkEnd w:id="14"/>
    </w:p>
    <w:p w14:paraId="74D06A27" w14:textId="77777777" w:rsidR="00461BE2" w:rsidRDefault="00650C5C">
      <w:pPr>
        <w:ind w:firstLine="420"/>
      </w:pPr>
      <w:r>
        <w:rPr>
          <w:rFonts w:hint="eastAsia"/>
        </w:rPr>
        <w:t>保形渲染</w:t>
      </w:r>
      <w:r>
        <w:t>（</w:t>
      </w:r>
      <w:r>
        <w:t>Conformal rendering</w:t>
      </w:r>
      <w:r>
        <w:t>）</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将视觉敏锐度建模为偏心率的非线性函数。该技术旨在利用屏幕与注视点距离的非线性映射，模仿从注视点到周边区域的平滑过渡。虚拟场景的投影顶点被扭曲成一个非线性空间，该空间与视网膜敏锐度和</w:t>
      </w:r>
      <w:r>
        <w:t>HMD</w:t>
      </w:r>
      <w:r>
        <w:t>镜头特性相匹配。然后以较低的分辨率对扭曲后的图像进行光栅化处理，再将其解压缩回笛卡尔空间。共形注视点渲染的复杂程度取决于场景的复杂程度。随着场景中顶点数量的增加，性能也会降低。与使用离散层来模拟敏锐度下降的方法相比，</w:t>
      </w:r>
      <w:r>
        <w:t>Meng</w:t>
      </w:r>
      <w:r>
        <w:t>等人</w:t>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t>和</w:t>
      </w:r>
      <w:r>
        <w:t>Bastani</w:t>
      </w:r>
      <w:r>
        <w:t>等人</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的方法使用非线性映射的连续平滑函数来模拟从注视点到周边区域的敏锐度下降。这种平滑过渡有助于减少视觉伪影。</w:t>
      </w:r>
    </w:p>
    <w:p w14:paraId="7A854769" w14:textId="77777777" w:rsidR="00461BE2" w:rsidRDefault="00650C5C">
      <w:pPr>
        <w:ind w:firstLine="420"/>
      </w:pPr>
      <w:r>
        <w:lastRenderedPageBreak/>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提出了一个视敏度模型，它是投射到视网膜上的刺激物角速度和偏心率的函数。视敏度的变化是偏心率的反二次函数</w:t>
      </w:r>
      <w:r>
        <w:rPr>
          <w:vertAlign w:val="superscript"/>
        </w:rPr>
        <w:fldChar w:fldCharType="begin"/>
      </w:r>
      <w:r>
        <w:rPr>
          <w:vertAlign w:val="superscript"/>
        </w:rPr>
        <w:instrText xml:space="preserve"> REF _Ref11397 \r \h </w:instrText>
      </w:r>
      <w:r>
        <w:rPr>
          <w:vertAlign w:val="superscript"/>
        </w:rPr>
      </w:r>
      <w:r>
        <w:rPr>
          <w:vertAlign w:val="superscript"/>
        </w:rPr>
        <w:fldChar w:fldCharType="separate"/>
      </w:r>
      <w:r>
        <w:rPr>
          <w:vertAlign w:val="superscript"/>
        </w:rPr>
        <w:t>[57]</w:t>
      </w:r>
      <w:r>
        <w:rPr>
          <w:vertAlign w:val="superscript"/>
        </w:rPr>
        <w:fldChar w:fldCharType="end"/>
      </w:r>
      <w:r>
        <w:t>。</w:t>
      </w:r>
      <w:r>
        <w:t>Zheng</w:t>
      </w:r>
      <w:r>
        <w:t>等人</w:t>
      </w:r>
      <w:r>
        <w:rPr>
          <w:vertAlign w:val="superscript"/>
        </w:rPr>
        <w:fldChar w:fldCharType="begin"/>
      </w:r>
      <w:r>
        <w:rPr>
          <w:vertAlign w:val="superscript"/>
        </w:rPr>
        <w:instrText xml:space="preserve"> REF _Ref11835 \r \h </w:instrText>
      </w:r>
      <w:r>
        <w:rPr>
          <w:vertAlign w:val="superscript"/>
        </w:rPr>
      </w:r>
      <w:r>
        <w:rPr>
          <w:vertAlign w:val="superscript"/>
        </w:rPr>
        <w:fldChar w:fldCharType="separate"/>
      </w:r>
      <w:r>
        <w:rPr>
          <w:vertAlign w:val="superscript"/>
        </w:rPr>
        <w:t>[58]</w:t>
      </w:r>
      <w:r>
        <w:rPr>
          <w:vertAlign w:val="superscript"/>
        </w:rPr>
        <w:fldChar w:fldCharType="end"/>
      </w:r>
      <w:r>
        <w:t>根据</w:t>
      </w:r>
      <w:r>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的视敏度模型开发了一种注视点渲染方法，并相应地调整了细分级别。</w:t>
      </w:r>
      <w:r>
        <w:t>Friston</w:t>
      </w:r>
      <w:r>
        <w:t>等人</w:t>
      </w:r>
      <w:r>
        <w:rPr>
          <w:vertAlign w:val="superscript"/>
        </w:rPr>
        <w:fldChar w:fldCharType="begin"/>
      </w:r>
      <w:r>
        <w:rPr>
          <w:vertAlign w:val="superscript"/>
        </w:rPr>
        <w:instrText xml:space="preserve"> REF _Ref11926 \r \h </w:instrText>
      </w:r>
      <w:r>
        <w:rPr>
          <w:vertAlign w:val="superscript"/>
        </w:rPr>
      </w:r>
      <w:r>
        <w:rPr>
          <w:vertAlign w:val="superscript"/>
        </w:rPr>
        <w:fldChar w:fldCharType="separate"/>
      </w:r>
      <w:r>
        <w:rPr>
          <w:vertAlign w:val="superscript"/>
        </w:rPr>
        <w:t>[59]</w:t>
      </w:r>
      <w:r>
        <w:rPr>
          <w:vertAlign w:val="superscript"/>
        </w:rPr>
        <w:fldChar w:fldCharType="end"/>
      </w:r>
      <w:r>
        <w:t>使用简单的径向幂折射函数</w:t>
      </w:r>
      <w:r>
        <w:rPr>
          <w:rFonts w:hint="eastAsia"/>
        </w:rPr>
        <w:t>p(x) = f(x</w:t>
      </w:r>
      <w:r>
        <w:rPr>
          <w:rFonts w:hint="eastAsia"/>
          <w:vertAlign w:val="superscript"/>
        </w:rPr>
        <w:t>2</w:t>
      </w:r>
      <w:r>
        <w:rPr>
          <w:rFonts w:hint="eastAsia"/>
        </w:rPr>
        <w:t>)</w:t>
      </w:r>
      <w:r>
        <w:t>，将注视点的距离映射为</w:t>
      </w:r>
      <w:r>
        <w:rPr>
          <w:rFonts w:hint="eastAsia"/>
        </w:rPr>
        <w:t>一种形变的</w:t>
      </w:r>
      <w:r>
        <w:t>距离。然后，像素位置会根据</w:t>
      </w:r>
      <w:r>
        <w:rPr>
          <w:rFonts w:hint="eastAsia"/>
        </w:rPr>
        <w:t>距离</w:t>
      </w:r>
      <w:r>
        <w:t>进行缩放。整体效果是放大了靠近注视点的区域，赋予了</w:t>
      </w:r>
      <w:r>
        <w:rPr>
          <w:rFonts w:hint="eastAsia"/>
        </w:rPr>
        <w:t>中心</w:t>
      </w:r>
      <w:r>
        <w:t>区域更多的重要性。他们假定</w:t>
      </w:r>
      <w:r>
        <w:rPr>
          <w:rFonts w:hint="eastAsia"/>
        </w:rPr>
        <w:t>形变</w:t>
      </w:r>
      <w:r>
        <w:t>函数是任意的，可以在每一帧自由变化，但要求该函数是可逆的，以便将有</w:t>
      </w:r>
      <w:r>
        <w:rPr>
          <w:rFonts w:hint="eastAsia"/>
        </w:rPr>
        <w:t>形变</w:t>
      </w:r>
      <w:r>
        <w:t>的图像映射回无</w:t>
      </w:r>
      <w:r>
        <w:rPr>
          <w:rFonts w:hint="eastAsia"/>
        </w:rPr>
        <w:t>形变</w:t>
      </w:r>
      <w:r>
        <w:t>的图像进行显示。</w:t>
      </w:r>
      <w:r>
        <w:t>Fujita</w:t>
      </w:r>
      <w:r>
        <w:t>和</w:t>
      </w:r>
      <w:r>
        <w:t>Harada</w:t>
      </w:r>
      <w:r>
        <w:t>等人</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假设敏锐度下降为</w:t>
      </w:r>
      <w:r>
        <w:rPr>
          <w:rFonts w:hint="eastAsia"/>
        </w:rPr>
        <w:t>d(x)</w:t>
      </w:r>
      <w:r>
        <w:rPr>
          <w:vertAlign w:val="superscript"/>
        </w:rPr>
        <w:t>-2/3</w:t>
      </w:r>
      <w:r>
        <w:t>的函数，其中</w:t>
      </w:r>
      <w:r>
        <w:rPr>
          <w:rFonts w:hint="eastAsia"/>
        </w:rPr>
        <w:t>d(x)</w:t>
      </w:r>
      <w:r>
        <w:t>是与注视点的距离，并相应地定义了采样分布函数。最近，</w:t>
      </w:r>
      <w:r>
        <w:t>Li</w:t>
      </w:r>
      <w:r>
        <w:t>等人</w:t>
      </w:r>
      <w:r>
        <w:rPr>
          <w:vertAlign w:val="superscript"/>
        </w:rPr>
        <w:fldChar w:fldCharType="begin"/>
      </w:r>
      <w:r>
        <w:rPr>
          <w:vertAlign w:val="superscript"/>
        </w:rPr>
        <w:instrText xml:space="preserve"> REF _Ref11959 \r \h </w:instrText>
      </w:r>
      <w:r>
        <w:rPr>
          <w:vertAlign w:val="superscript"/>
        </w:rPr>
      </w:r>
      <w:r>
        <w:rPr>
          <w:vertAlign w:val="superscript"/>
        </w:rPr>
        <w:fldChar w:fldCharType="separate"/>
      </w:r>
      <w:r>
        <w:rPr>
          <w:vertAlign w:val="superscript"/>
        </w:rPr>
        <w:t>[60]</w:t>
      </w:r>
      <w:r>
        <w:rPr>
          <w:vertAlign w:val="superscript"/>
        </w:rPr>
        <w:fldChar w:fldCharType="end"/>
      </w:r>
      <w:r>
        <w:t>提出了一种基于对数线性映射的注视点渲染方法，以模拟分辨率随偏心率增加而呈指数衰减的情况。</w:t>
      </w:r>
    </w:p>
    <w:p w14:paraId="6611810D" w14:textId="77777777" w:rsidR="00461BE2" w:rsidRDefault="00650C5C">
      <w:pPr>
        <w:ind w:firstLine="420"/>
      </w:pPr>
      <w:r>
        <w:rPr>
          <w:rFonts w:hint="eastAsia"/>
        </w:rPr>
        <w:t>上述各种感知模型模拟了整个视野中</w:t>
      </w:r>
      <w:r>
        <w:rPr>
          <w:rFonts w:hint="eastAsia"/>
        </w:rPr>
        <w:t>HVS</w:t>
      </w:r>
      <w:r>
        <w:rPr>
          <w:rFonts w:hint="eastAsia"/>
        </w:rPr>
        <w:t>的视觉灵敏度。它们主要在原理、复杂性和样本分布上存在细微差别。最常用的双曲线模型模拟眼睛视网膜投射的早期操作，而对数模型则代表</w:t>
      </w:r>
      <w:r>
        <w:rPr>
          <w:rFonts w:hint="eastAsia"/>
        </w:rPr>
        <w:t>HVS</w:t>
      </w:r>
      <w:r>
        <w:rPr>
          <w:rFonts w:hint="eastAsia"/>
        </w:rPr>
        <w:t>的视觉大脑皮层部分。在实际应用中，因为需要实时渲染，计算复杂度是一个主要因素。与其他模型相比，最简单的线性模型能使外围区域的分辨率更高。对数模型提供了更可调的衰减分布。</w:t>
      </w:r>
    </w:p>
    <w:p w14:paraId="4890BDF1" w14:textId="77777777" w:rsidR="00461BE2" w:rsidRDefault="00650C5C">
      <w:pPr>
        <w:ind w:firstLine="420"/>
      </w:pPr>
      <w:r>
        <w:rPr>
          <w:rFonts w:hint="eastAsia"/>
        </w:rPr>
        <w:t>这些模型主要在内围区域的分辨率要求上有所不同。双曲线函数会大幅降低分辨率，其次是核函数对数极坐标模型、反二次函数模型和线性下降模型。与双曲线衰减相比，核函数对数极坐标映射对内围区域的分辨率要求更高。在外围，所有模型都趋近于相似的分辨率。我们可以根据场景的复杂程度和要执行的任务，从这些近似值中选择一个分辨率分布函数。此外，我们还看到有多种视觉因素会影响场景的感知质量。大多数现有模型只考虑了其中的几个视觉因素。迄今为止，在权衡这些因素及其相互关系以建立整体感知模型方面的研究还不多。此外，视觉灵敏度会根据呈现给用户的外部刺激发生动态变化，这进一步增加了所需模型的复杂性。因此，在不影响视觉感知质量或性能的前提下，简化复杂模型、考虑视觉因素之间各种相互关系的技术非常重要。</w:t>
      </w:r>
    </w:p>
    <w:p w14:paraId="73D3A7CE" w14:textId="77777777" w:rsidR="00461BE2" w:rsidRDefault="00650C5C">
      <w:pPr>
        <w:pStyle w:val="2"/>
      </w:pPr>
      <w:bookmarkStart w:id="15" w:name="_Toc149754961"/>
      <w:r>
        <w:rPr>
          <w:rFonts w:hint="eastAsia"/>
        </w:rPr>
        <w:t xml:space="preserve">2.3 </w:t>
      </w:r>
      <w:r>
        <w:rPr>
          <w:rFonts w:hint="eastAsia"/>
        </w:rPr>
        <w:t>注视点渲染空间</w:t>
      </w:r>
      <w:bookmarkEnd w:id="15"/>
    </w:p>
    <w:p w14:paraId="19D98133" w14:textId="4B44DBC1" w:rsidR="00461BE2" w:rsidRDefault="00650C5C">
      <w:pPr>
        <w:ind w:firstLine="420"/>
      </w:pPr>
      <w:r>
        <w:t>我们将注视点渲染技术分为基于屏幕</w:t>
      </w:r>
      <w:r w:rsidR="00D33929">
        <w:rPr>
          <w:rFonts w:hint="eastAsia"/>
        </w:rPr>
        <w:t>和</w:t>
      </w:r>
      <w:r>
        <w:t>基于物体的方法，其依据是渲染管道中包含注视点概念的阶段：屏幕空间、</w:t>
      </w:r>
      <w:r>
        <w:rPr>
          <w:rFonts w:hint="eastAsia"/>
        </w:rPr>
        <w:t>模型</w:t>
      </w:r>
      <w:r>
        <w:t>空间</w:t>
      </w:r>
      <w:r>
        <w:rPr>
          <w:rFonts w:hint="eastAsia"/>
        </w:rPr>
        <w:t>。</w:t>
      </w:r>
    </w:p>
    <w:p w14:paraId="483E42A4" w14:textId="77777777" w:rsidR="00461BE2" w:rsidRDefault="00650C5C">
      <w:pPr>
        <w:pStyle w:val="3"/>
      </w:pPr>
      <w:bookmarkStart w:id="16" w:name="_Toc149754962"/>
      <w:r>
        <w:rPr>
          <w:rFonts w:hint="eastAsia"/>
        </w:rPr>
        <w:lastRenderedPageBreak/>
        <w:t xml:space="preserve">2.3.1 </w:t>
      </w:r>
      <w:r>
        <w:rPr>
          <w:rFonts w:hint="eastAsia"/>
        </w:rPr>
        <w:t>屏幕空间</w:t>
      </w:r>
      <w:bookmarkEnd w:id="16"/>
    </w:p>
    <w:p w14:paraId="178F6180" w14:textId="77777777" w:rsidR="00461BE2" w:rsidRDefault="00650C5C">
      <w:pPr>
        <w:ind w:firstLine="420"/>
      </w:pPr>
      <w:r>
        <w:t>大多数注视点渲染技术会根据与注视点的距离改变屏幕空间的采样率。基于屏幕的注视点渲染方法涉及在显示之前对帧缓冲区内容进行操作，以降低整体着色率。</w:t>
      </w:r>
      <w:r>
        <w:t xml:space="preserve">Vaidyanathan </w:t>
      </w:r>
      <w:r>
        <w:t>等人</w:t>
      </w:r>
      <w:r>
        <w:rPr>
          <w:vertAlign w:val="superscript"/>
        </w:rPr>
        <w:fldChar w:fldCharType="begin"/>
      </w:r>
      <w:r>
        <w:rPr>
          <w:vertAlign w:val="superscript"/>
        </w:rPr>
        <w:instrText xml:space="preserve"> REF _Ref22919 \r \h </w:instrText>
      </w:r>
      <w:r>
        <w:rPr>
          <w:vertAlign w:val="superscript"/>
        </w:rPr>
      </w:r>
      <w:r>
        <w:rPr>
          <w:vertAlign w:val="superscript"/>
        </w:rPr>
        <w:fldChar w:fldCharType="separate"/>
      </w:r>
      <w:r>
        <w:rPr>
          <w:vertAlign w:val="superscript"/>
        </w:rPr>
        <w:t>[48]</w:t>
      </w:r>
      <w:r>
        <w:rPr>
          <w:vertAlign w:val="superscript"/>
        </w:rPr>
        <w:fldChar w:fldCharType="end"/>
      </w:r>
      <w:r>
        <w:t>提供了一种称为粗像素着色的架构，可对屏幕空间中的外围区域进行稀疏着色操作。</w:t>
      </w:r>
      <w:r>
        <w:t>Swafford</w:t>
      </w:r>
      <w:r>
        <w:t>等人</w:t>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研究了注视点渲染对</w:t>
      </w:r>
      <w:r>
        <w:rPr>
          <w:rFonts w:hint="eastAsia"/>
        </w:rPr>
        <w:t>环境光遮蔽（</w:t>
      </w:r>
      <w:r>
        <w:rPr>
          <w:rFonts w:hint="eastAsia"/>
        </w:rPr>
        <w:t>AO</w:t>
      </w:r>
      <w:r>
        <w:rPr>
          <w:rFonts w:hint="eastAsia"/>
        </w:rPr>
        <w:t>）</w:t>
      </w:r>
      <w:r>
        <w:t>的影响，</w:t>
      </w:r>
      <w:r>
        <w:rPr>
          <w:rFonts w:hint="eastAsia"/>
        </w:rPr>
        <w:t>AO</w:t>
      </w:r>
      <w:r>
        <w:t>在现代实时渲染流水线上的计算成本很高。具体来说，他们介绍了屏幕空间</w:t>
      </w:r>
      <w:r>
        <w:rPr>
          <w:rFonts w:hint="eastAsia"/>
        </w:rPr>
        <w:t>环境光遮蔽</w:t>
      </w:r>
      <w:r>
        <w:t>（</w:t>
      </w:r>
      <w:r>
        <w:rPr>
          <w:rFonts w:hint="eastAsia"/>
        </w:rPr>
        <w:t>SSAO</w:t>
      </w:r>
      <w:r>
        <w:t>）在注视点和周边区域改变每像素深度样本的效果。他们的研究表明，在外围区域，由于敏锐度降低，因每像素样本数量较少而产生的条带效应不易察觉，从而提高了性能。另一种在屏幕空间做出改变的注视点渲染器是保形渲染</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，其中投影顶点在光栅化之前被扭曲到非线性空间。然后以较低的分辨率对图像进行光栅化，最后将其</w:t>
      </w:r>
      <w:r>
        <w:rPr>
          <w:rFonts w:hint="eastAsia"/>
        </w:rPr>
        <w:t>变换</w:t>
      </w:r>
      <w:r>
        <w:t>到笛卡尔空间。</w:t>
      </w:r>
    </w:p>
    <w:p w14:paraId="729C2FC2" w14:textId="77777777" w:rsidR="00461BE2" w:rsidRDefault="00650C5C">
      <w:pPr>
        <w:pStyle w:val="3"/>
      </w:pPr>
      <w:bookmarkStart w:id="17" w:name="_Toc149754963"/>
      <w:r>
        <w:rPr>
          <w:rFonts w:hint="eastAsia"/>
        </w:rPr>
        <w:t xml:space="preserve">2.3.2 </w:t>
      </w:r>
      <w:r>
        <w:rPr>
          <w:rFonts w:hint="eastAsia"/>
        </w:rPr>
        <w:t>对象空间</w:t>
      </w:r>
      <w:bookmarkEnd w:id="17"/>
    </w:p>
    <w:p w14:paraId="6CE11185" w14:textId="77777777" w:rsidR="00461BE2" w:rsidRDefault="00650C5C">
      <w:pPr>
        <w:ind w:firstLine="420"/>
      </w:pPr>
      <w:r>
        <w:rPr>
          <w:rFonts w:hint="eastAsia"/>
        </w:rPr>
        <w:t>基于对象的注视点渲染方法涉及在渲染之前对模型几何形状进行处理。</w:t>
      </w:r>
      <w:r>
        <w:rPr>
          <w:rFonts w:hint="eastAsia"/>
        </w:rPr>
        <w:t xml:space="preserve">Levoy </w:t>
      </w:r>
      <w:r>
        <w:rPr>
          <w:rFonts w:hint="eastAsia"/>
        </w:rPr>
        <w:t>和</w:t>
      </w:r>
      <w:r>
        <w:rPr>
          <w:rFonts w:hint="eastAsia"/>
        </w:rPr>
        <w:t>Whitaker</w:t>
      </w:r>
      <w:r>
        <w:rPr>
          <w:rFonts w:hint="eastAsia"/>
          <w:vertAlign w:val="superscript"/>
        </w:rPr>
        <w:fldChar w:fldCharType="begin"/>
      </w:r>
      <w:r>
        <w:rPr>
          <w:rFonts w:hint="eastAsia"/>
          <w:vertAlign w:val="superscript"/>
        </w:rPr>
        <w:instrText xml:space="preserve"> REF _Ref12586 \r \h </w:instrText>
      </w:r>
      <w:r>
        <w:rPr>
          <w:rFonts w:hint="eastAsia"/>
          <w:vertAlign w:val="superscript"/>
        </w:rPr>
      </w:r>
      <w:r>
        <w:rPr>
          <w:rFonts w:hint="eastAsia"/>
          <w:vertAlign w:val="superscript"/>
        </w:rPr>
        <w:fldChar w:fldCharType="separate"/>
      </w:r>
      <w:r>
        <w:rPr>
          <w:rFonts w:hint="eastAsia"/>
          <w:vertAlign w:val="superscript"/>
        </w:rPr>
        <w:t>[61]</w:t>
      </w:r>
      <w:r>
        <w:rPr>
          <w:rFonts w:hint="eastAsia"/>
          <w:vertAlign w:val="superscript"/>
        </w:rPr>
        <w:fldChar w:fldCharType="end"/>
      </w:r>
      <w:r>
        <w:rPr>
          <w:rFonts w:hint="eastAsia"/>
        </w:rPr>
        <w:t>最早的注视点渲染工作之一就是基于对象的方法。他们采用光线追踪方法进行体积渲染，根据像素与注视方向的角度距离，改变单位面积投射光线的数量和每条光线的采样密度。该系统使用三维</w:t>
      </w:r>
      <w:r>
        <w:rPr>
          <w:rFonts w:hint="eastAsia"/>
        </w:rPr>
        <w:t>mipmap</w:t>
      </w:r>
      <w:r>
        <w:rPr>
          <w:rFonts w:hint="eastAsia"/>
        </w:rPr>
        <w:t>对三维体积进行预过滤，并在外围区域使用较少的样本。一些早期的研究也是根据注视方向对物体进行建模。根据物体与注视点的距离来确定所需的物体细节级别。</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开发了另一种物体空间技术。他们改变了注视点和周边区域的曲面细分级别。对于屏幕空间投影后落在注视点内的几何面片，使用较高的细分系数。对于那些位于外围区域的几何面片，则使用较低的细分系数。通过线性插值，决定位于注视点和外围区域之间的瓷砖的细分级别。他们的研究结果表明，与以均匀细分渲染整个场景相比，性能有所提高。与</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的思路类似，</w:t>
      </w:r>
      <w:r>
        <w:rPr>
          <w:rFonts w:hint="eastAsia"/>
        </w:rPr>
        <w:t>Zheng</w:t>
      </w:r>
      <w:r>
        <w:rPr>
          <w:rFonts w:hint="eastAsia"/>
        </w:rPr>
        <w:t>等人</w:t>
      </w:r>
      <w:r>
        <w:rPr>
          <w:rFonts w:hint="eastAsia"/>
          <w:vertAlign w:val="superscript"/>
        </w:rPr>
        <w:fldChar w:fldCharType="begin"/>
      </w:r>
      <w:r>
        <w:rPr>
          <w:rFonts w:hint="eastAsia"/>
          <w:vertAlign w:val="superscript"/>
        </w:rPr>
        <w:instrText xml:space="preserve"> REF _Ref11835 \r \h </w:instrText>
      </w:r>
      <w:r>
        <w:rPr>
          <w:rFonts w:hint="eastAsia"/>
          <w:vertAlign w:val="superscript"/>
        </w:rPr>
      </w:r>
      <w:r>
        <w:rPr>
          <w:rFonts w:hint="eastAsia"/>
          <w:vertAlign w:val="superscript"/>
        </w:rPr>
        <w:fldChar w:fldCharType="separate"/>
      </w:r>
      <w:r>
        <w:rPr>
          <w:rFonts w:hint="eastAsia"/>
          <w:vertAlign w:val="superscript"/>
        </w:rPr>
        <w:t>[58]</w:t>
      </w:r>
      <w:r>
        <w:rPr>
          <w:rFonts w:hint="eastAsia"/>
          <w:vertAlign w:val="superscript"/>
        </w:rPr>
        <w:fldChar w:fldCharType="end"/>
      </w:r>
      <w:r>
        <w:rPr>
          <w:rFonts w:hint="eastAsia"/>
        </w:rPr>
        <w:t>提出了一种基于给定偏心率下视觉灵敏度的细分方法。他们建议删除所有无法察觉的多边形，然后动态地对模型进行细分。屏幕空间中边长小于用户最小可感知长度的多边形不会被进一步细分。可感知多边形的细分等级由多边形在屏幕空间中的边长与最小可感知长度之比决定。</w:t>
      </w:r>
    </w:p>
    <w:p w14:paraId="116A18D3" w14:textId="77777777" w:rsidR="00461BE2" w:rsidRDefault="00650C5C">
      <w:pPr>
        <w:pStyle w:val="2"/>
      </w:pPr>
      <w:bookmarkStart w:id="18" w:name="_Toc149754964"/>
      <w:r>
        <w:rPr>
          <w:rFonts w:hint="eastAsia"/>
        </w:rPr>
        <w:lastRenderedPageBreak/>
        <w:t xml:space="preserve">2.4 </w:t>
      </w:r>
      <w:r>
        <w:rPr>
          <w:rFonts w:hint="eastAsia"/>
        </w:rPr>
        <w:t>注视点类型</w:t>
      </w:r>
      <w:bookmarkEnd w:id="18"/>
    </w:p>
    <w:p w14:paraId="2E4713B8" w14:textId="77777777" w:rsidR="00461BE2" w:rsidRDefault="00650C5C">
      <w:pPr>
        <w:ind w:firstLine="420"/>
      </w:pPr>
      <w:r>
        <w:rPr>
          <w:rFonts w:hint="eastAsia"/>
        </w:rPr>
        <w:t>本节讨论眼动追踪在注视点渲染系统中的应用，并根据注视点的选取对其进行分类。</w:t>
      </w:r>
    </w:p>
    <w:p w14:paraId="77CC551A" w14:textId="77777777" w:rsidR="00461BE2" w:rsidRDefault="00650C5C">
      <w:pPr>
        <w:pStyle w:val="3"/>
      </w:pPr>
      <w:bookmarkStart w:id="19" w:name="_Toc149754965"/>
      <w:r>
        <w:rPr>
          <w:rFonts w:hint="eastAsia"/>
        </w:rPr>
        <w:t xml:space="preserve">2.4.1 </w:t>
      </w:r>
      <w:r>
        <w:rPr>
          <w:rFonts w:hint="eastAsia"/>
        </w:rPr>
        <w:t>静态注视点</w:t>
      </w:r>
      <w:bookmarkEnd w:id="19"/>
    </w:p>
    <w:p w14:paraId="74E9CFC9" w14:textId="77777777" w:rsidR="00461BE2" w:rsidRDefault="00650C5C">
      <w:pPr>
        <w:ind w:firstLine="420"/>
      </w:pPr>
      <w:r>
        <w:rPr>
          <w:rFonts w:hint="eastAsia"/>
        </w:rPr>
        <w:t>静态注视点渲染技术不依赖于眼动追踪设备，并假定用户的注意力集中在图像中的特定位置。用户注视特定区域的可能性会估算出该区域所需的敏锐度水平。许多早期的研究利用了静态注视点，即假设用户注视屏幕中心</w:t>
      </w:r>
      <w:r>
        <w:rPr>
          <w:rFonts w:hint="eastAsia"/>
          <w:vertAlign w:val="superscript"/>
        </w:rPr>
        <w:fldChar w:fldCharType="begin"/>
      </w:r>
      <w:r>
        <w:rPr>
          <w:rFonts w:hint="eastAsia"/>
          <w:vertAlign w:val="superscript"/>
        </w:rPr>
        <w:instrText xml:space="preserve"> REF _Ref17132 \r \h </w:instrText>
      </w:r>
      <w:r>
        <w:rPr>
          <w:rFonts w:hint="eastAsia"/>
          <w:vertAlign w:val="superscript"/>
        </w:rPr>
      </w:r>
      <w:r>
        <w:rPr>
          <w:rFonts w:hint="eastAsia"/>
          <w:vertAlign w:val="superscript"/>
        </w:rPr>
        <w:fldChar w:fldCharType="separate"/>
      </w:r>
      <w:r>
        <w:rPr>
          <w:rFonts w:hint="eastAsia"/>
          <w:vertAlign w:val="superscript"/>
        </w:rPr>
        <w:t>[62]</w:t>
      </w:r>
      <w:r>
        <w:rPr>
          <w:rFonts w:hint="eastAsia"/>
          <w:vertAlign w:val="superscript"/>
        </w:rPr>
        <w:fldChar w:fldCharType="end"/>
      </w:r>
      <w:r>
        <w:rPr>
          <w:rFonts w:hint="eastAsia"/>
        </w:rPr>
        <w:t>，或使用基于内容的视觉注意力模型</w:t>
      </w:r>
      <w:r>
        <w:rPr>
          <w:rFonts w:hint="eastAsia"/>
          <w:vertAlign w:val="superscript"/>
        </w:rPr>
        <w:fldChar w:fldCharType="begin"/>
      </w:r>
      <w:r>
        <w:rPr>
          <w:rFonts w:hint="eastAsia"/>
          <w:vertAlign w:val="superscript"/>
        </w:rPr>
        <w:instrText xml:space="preserve"> REF _Ref17070 \r \h </w:instrText>
      </w:r>
      <w:r>
        <w:rPr>
          <w:rFonts w:hint="eastAsia"/>
          <w:vertAlign w:val="superscript"/>
        </w:rPr>
      </w:r>
      <w:r>
        <w:rPr>
          <w:rFonts w:hint="eastAsia"/>
          <w:vertAlign w:val="superscript"/>
        </w:rPr>
        <w:fldChar w:fldCharType="separate"/>
      </w:r>
      <w:r>
        <w:rPr>
          <w:rFonts w:hint="eastAsia"/>
          <w:vertAlign w:val="superscript"/>
        </w:rPr>
        <w:t>[63]</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_Ref17073 \r \h </w:instrText>
      </w:r>
      <w:r>
        <w:rPr>
          <w:rFonts w:hint="eastAsia"/>
          <w:vertAlign w:val="superscript"/>
        </w:rPr>
      </w:r>
      <w:r>
        <w:rPr>
          <w:rFonts w:hint="eastAsia"/>
          <w:vertAlign w:val="superscript"/>
        </w:rPr>
        <w:fldChar w:fldCharType="separate"/>
      </w:r>
      <w:r>
        <w:rPr>
          <w:rFonts w:hint="eastAsia"/>
          <w:vertAlign w:val="superscript"/>
        </w:rPr>
        <w:t>[64]</w:t>
      </w:r>
      <w:r>
        <w:rPr>
          <w:rFonts w:hint="eastAsia"/>
          <w:vertAlign w:val="superscript"/>
        </w:rPr>
        <w:fldChar w:fldCharType="end"/>
      </w:r>
      <w:r>
        <w:rPr>
          <w:rFonts w:hint="eastAsia"/>
        </w:rPr>
        <w:t>。在眼球跟踪设备开发出来之前，头部的方向被认为是注视方向的良好近似值。大部分早期的注视点渲染工作都是基于这一近似值，并假设注视点位于屏幕中心。</w:t>
      </w:r>
    </w:p>
    <w:p w14:paraId="48D55046" w14:textId="77777777" w:rsidR="00461BE2" w:rsidRDefault="00650C5C">
      <w:pPr>
        <w:ind w:firstLine="420"/>
      </w:pPr>
      <w:r>
        <w:rPr>
          <w:rFonts w:hint="eastAsia"/>
        </w:rPr>
        <w:t>静态注视点渲染的一个例子是</w:t>
      </w:r>
      <w:r>
        <w:rPr>
          <w:rFonts w:hint="eastAsia"/>
        </w:rPr>
        <w:t>Oculus</w:t>
      </w:r>
      <w:r>
        <w:rPr>
          <w:rFonts w:hint="eastAsia"/>
        </w:rPr>
        <w:t>开发的固定注视点渲染（</w:t>
      </w:r>
      <w:r>
        <w:rPr>
          <w:rFonts w:hint="eastAsia"/>
        </w:rPr>
        <w:t>FFR</w:t>
      </w:r>
      <w:r>
        <w:rPr>
          <w:rFonts w:hint="eastAsia"/>
        </w:rPr>
        <w:t>）</w:t>
      </w:r>
      <w:r>
        <w:rPr>
          <w:rFonts w:hint="eastAsia"/>
          <w:vertAlign w:val="superscript"/>
        </w:rPr>
        <w:fldChar w:fldCharType="begin"/>
      </w:r>
      <w:r>
        <w:rPr>
          <w:rFonts w:hint="eastAsia"/>
          <w:vertAlign w:val="superscript"/>
        </w:rPr>
        <w:instrText xml:space="preserve"> REF _Ref17034 \r \h </w:instrText>
      </w:r>
      <w:r>
        <w:rPr>
          <w:rFonts w:hint="eastAsia"/>
          <w:vertAlign w:val="superscript"/>
        </w:rPr>
      </w:r>
      <w:r>
        <w:rPr>
          <w:rFonts w:hint="eastAsia"/>
          <w:vertAlign w:val="superscript"/>
        </w:rPr>
        <w:fldChar w:fldCharType="separate"/>
      </w:r>
      <w:r>
        <w:rPr>
          <w:rFonts w:hint="eastAsia"/>
          <w:vertAlign w:val="superscript"/>
        </w:rPr>
        <w:t>[65]</w:t>
      </w:r>
      <w:r>
        <w:rPr>
          <w:rFonts w:hint="eastAsia"/>
          <w:vertAlign w:val="superscript"/>
        </w:rPr>
        <w:fldChar w:fldCharType="end"/>
      </w:r>
      <w:r>
        <w:rPr>
          <w:rFonts w:hint="eastAsia"/>
        </w:rPr>
        <w:t>，它假定大多数用户的视线朝向显示屏中心。</w:t>
      </w:r>
      <w:r>
        <w:rPr>
          <w:rFonts w:hint="eastAsia"/>
        </w:rPr>
        <w:t>FFR</w:t>
      </w:r>
      <w:r>
        <w:rPr>
          <w:rFonts w:hint="eastAsia"/>
        </w:rPr>
        <w:t>采用基于平铺的方法。根据与中心的距离，图像被细分为不同敏锐度的区块。与较高分辨率区域相对应的区块位于中心位置，而靠近边缘的区块则与较低分辨率相对应。每个区块都以统一的空间分辨率进行渲染。静态注视点渲染要求用户将焦点保持在预定义的固定区域，主要是屏幕中心。静态注视点渲染技术的一个显著优势是，它不依赖于眼球跟踪设备，并且兼容所有现有设备。此外，静态注视点渲染方法还能随着视觉注意力和显著性模型的最新改进而得到进一步改善</w:t>
      </w:r>
      <w:r>
        <w:rPr>
          <w:rFonts w:hint="eastAsia"/>
          <w:vertAlign w:val="superscript"/>
        </w:rPr>
        <w:fldChar w:fldCharType="begin"/>
      </w:r>
      <w:r>
        <w:rPr>
          <w:rFonts w:hint="eastAsia"/>
          <w:vertAlign w:val="superscript"/>
        </w:rPr>
        <w:instrText xml:space="preserve"> REF _Ref16942 \r \h </w:instrText>
      </w:r>
      <w:r>
        <w:rPr>
          <w:rFonts w:hint="eastAsia"/>
          <w:vertAlign w:val="superscript"/>
        </w:rPr>
      </w:r>
      <w:r>
        <w:rPr>
          <w:rFonts w:hint="eastAsia"/>
          <w:vertAlign w:val="superscript"/>
        </w:rPr>
        <w:fldChar w:fldCharType="separate"/>
      </w:r>
      <w:r>
        <w:rPr>
          <w:rFonts w:hint="eastAsia"/>
          <w:vertAlign w:val="superscript"/>
        </w:rPr>
        <w:t>[66]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_Ref23659 \r \h </w:instrText>
      </w:r>
      <w:r>
        <w:rPr>
          <w:rFonts w:hint="eastAsia"/>
          <w:vertAlign w:val="superscript"/>
        </w:rPr>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_Ref16952 \r \h </w:instrText>
      </w:r>
      <w:r>
        <w:rPr>
          <w:rFonts w:hint="eastAsia"/>
          <w:vertAlign w:val="superscript"/>
        </w:rPr>
      </w:r>
      <w:r>
        <w:rPr>
          <w:rFonts w:hint="eastAsia"/>
          <w:vertAlign w:val="superscript"/>
        </w:rPr>
        <w:fldChar w:fldCharType="separate"/>
      </w:r>
      <w:r>
        <w:rPr>
          <w:rFonts w:hint="eastAsia"/>
          <w:vertAlign w:val="superscript"/>
        </w:rPr>
        <w:t>[67]</w:t>
      </w:r>
      <w:r>
        <w:rPr>
          <w:rFonts w:hint="eastAsia"/>
          <w:vertAlign w:val="superscript"/>
        </w:rPr>
        <w:fldChar w:fldCharType="end"/>
      </w:r>
      <w:r>
        <w:rPr>
          <w:rFonts w:hint="eastAsia"/>
        </w:rPr>
        <w:t>。显著区域周围的区域总是以更高的分辨率进行渲染。然而，与动态方法相比，静态方法需要更大的高分辨率区域。所以其平均渲染成本可能会高于动态方法。</w:t>
      </w:r>
    </w:p>
    <w:p w14:paraId="3A7569D1" w14:textId="77777777" w:rsidR="00461BE2" w:rsidRDefault="00650C5C">
      <w:pPr>
        <w:pStyle w:val="3"/>
      </w:pPr>
      <w:bookmarkStart w:id="20" w:name="_Toc149754966"/>
      <w:r>
        <w:rPr>
          <w:rFonts w:hint="eastAsia"/>
        </w:rPr>
        <w:t xml:space="preserve">2.4.2 </w:t>
      </w:r>
      <w:r>
        <w:rPr>
          <w:rFonts w:hint="eastAsia"/>
        </w:rPr>
        <w:t>动态注视点</w:t>
      </w:r>
      <w:bookmarkEnd w:id="20"/>
    </w:p>
    <w:p w14:paraId="45694F57" w14:textId="77777777" w:rsidR="00461BE2" w:rsidRDefault="00650C5C">
      <w:pPr>
        <w:ind w:firstLine="420"/>
      </w:pPr>
      <w:r>
        <w:t>传统的注视点渲染是以眼球跟踪技术为前提的</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。眼球跟踪设备可以实时确定用户的注视位置。有关头戴式眼动追踪器的研究可以追溯到</w:t>
      </w:r>
      <w:r>
        <w:t>20</w:t>
      </w:r>
      <w:r>
        <w:t>世纪</w:t>
      </w:r>
      <w:r>
        <w:t>60</w:t>
      </w:r>
      <w:r>
        <w:t>年代</w:t>
      </w:r>
      <w:r>
        <w:rPr>
          <w:vertAlign w:val="superscript"/>
        </w:rPr>
        <w:fldChar w:fldCharType="begin"/>
      </w:r>
      <w:r>
        <w:rPr>
          <w:vertAlign w:val="superscript"/>
        </w:rPr>
        <w:instrText xml:space="preserve"> REF _Ref17693 \r \h </w:instrText>
      </w:r>
      <w:r>
        <w:rPr>
          <w:vertAlign w:val="superscript"/>
        </w:rPr>
      </w:r>
      <w:r>
        <w:rPr>
          <w:vertAlign w:val="superscript"/>
        </w:rPr>
        <w:fldChar w:fldCharType="separate"/>
      </w:r>
      <w:r>
        <w:rPr>
          <w:vertAlign w:val="superscript"/>
        </w:rPr>
        <w:t>[68]</w:t>
      </w:r>
      <w:r>
        <w:rPr>
          <w:vertAlign w:val="superscript"/>
        </w:rPr>
        <w:fldChar w:fldCharType="end"/>
      </w:r>
      <w:r>
        <w:t>。然而，近年来在计算能力、大规模并行图像处理、低成本和小型硬件方面取得的进步，使得在</w:t>
      </w:r>
      <w:r>
        <w:t>VR</w:t>
      </w:r>
      <w:r>
        <w:t>和</w:t>
      </w:r>
      <w:r>
        <w:t>AR</w:t>
      </w:r>
      <w:r>
        <w:t>中使用实时眼球跟踪成为可能。通过使用眼动跟踪工具主动跟踪用户的注视，注视点周围的一小块区域将以较高分辨率渲染，而周边区域则以较低分辨率渲染。大多数注视点渲染方法都是动态方法，依赖</w:t>
      </w:r>
      <w:r>
        <w:lastRenderedPageBreak/>
        <w:t>于眼动追踪设备的性能来获取注视点。除了基于硬件的眼动仪，人们对开发使用深度学习方法预测未来注视位置的方法也越来越感兴趣</w:t>
      </w:r>
      <w:r>
        <w:rPr>
          <w:vertAlign w:val="superscript"/>
        </w:rPr>
        <w:fldChar w:fldCharType="begin"/>
      </w:r>
      <w:r>
        <w:rPr>
          <w:vertAlign w:val="superscript"/>
        </w:rPr>
        <w:instrText xml:space="preserve"> REF _Ref17720 \r \h </w:instrText>
      </w:r>
      <w:r>
        <w:rPr>
          <w:vertAlign w:val="superscript"/>
        </w:rPr>
      </w:r>
      <w:r>
        <w:rPr>
          <w:vertAlign w:val="superscript"/>
        </w:rPr>
        <w:fldChar w:fldCharType="separate"/>
      </w:r>
      <w:r>
        <w:rPr>
          <w:vertAlign w:val="superscript"/>
        </w:rPr>
        <w:t>[69]</w:t>
      </w:r>
      <w:r>
        <w:rPr>
          <w:vertAlign w:val="superscript"/>
        </w:rPr>
        <w:fldChar w:fldCharType="end"/>
      </w:r>
      <w:r>
        <w:rPr>
          <w:vertAlign w:val="superscript"/>
        </w:rPr>
        <w:fldChar w:fldCharType="begin"/>
      </w:r>
      <w:r>
        <w:rPr>
          <w:vertAlign w:val="superscript"/>
        </w:rPr>
        <w:instrText xml:space="preserve"> REF _Ref17723 \r \h </w:instrText>
      </w:r>
      <w:r>
        <w:rPr>
          <w:vertAlign w:val="superscript"/>
        </w:rPr>
      </w:r>
      <w:r>
        <w:rPr>
          <w:vertAlign w:val="superscript"/>
        </w:rPr>
        <w:fldChar w:fldCharType="separate"/>
      </w:r>
      <w:r>
        <w:rPr>
          <w:vertAlign w:val="superscript"/>
        </w:rPr>
        <w:t>[70]</w:t>
      </w:r>
      <w:r>
        <w:rPr>
          <w:vertAlign w:val="superscript"/>
        </w:rPr>
        <w:fldChar w:fldCharType="end"/>
      </w:r>
      <w:r>
        <w:t>。随着眼动追踪解决方案的精度和效率进一步提高，动态注视点渲染很可能会大大提升渲染性能和质量。</w:t>
      </w:r>
    </w:p>
    <w:p w14:paraId="7415A354" w14:textId="77777777" w:rsidR="00461BE2" w:rsidRDefault="00650C5C" w:rsidP="00655C8F">
      <w:pPr>
        <w:pStyle w:val="2"/>
      </w:pPr>
      <w:bookmarkStart w:id="21" w:name="_Toc149754967"/>
      <w:r>
        <w:rPr>
          <w:rFonts w:hint="eastAsia"/>
        </w:rPr>
        <w:t xml:space="preserve">2.5 </w:t>
      </w:r>
      <w:r>
        <w:rPr>
          <w:rFonts w:hint="eastAsia"/>
        </w:rPr>
        <w:t>反走样</w:t>
      </w:r>
      <w:bookmarkEnd w:id="21"/>
    </w:p>
    <w:p w14:paraId="7D27CED7" w14:textId="77777777" w:rsidR="00461BE2" w:rsidRDefault="00650C5C">
      <w:pPr>
        <w:ind w:firstLine="420"/>
      </w:pPr>
      <w:r>
        <w:rPr>
          <w:rFonts w:hint="eastAsia"/>
        </w:rPr>
        <w:t>在注视点渲染中，由于外围区域的渲染分辨率较低，因此会出现明显的走样现象。注视点渲染产生的走样伪影可以是空间性的，也可以是时间性的。当虚拟世界的细节水平高于渲染分辨率时，就会出现空间性走样</w:t>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它们出现在物体层面，与任何运动无关。场景运动过程中的渐变会产生时间性走样。随着用户视图的变化，这些伪影会产生闪烁和闪烁效果，破坏用户在虚拟世界中的体验。研究表明，即使在偏心率较高的情况下，人类视觉系统对时间性走样也很敏感</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w:t>
      </w:r>
      <w:r>
        <w:rPr>
          <w:rFonts w:hint="eastAsia"/>
        </w:rPr>
        <w:t>McKee</w:t>
      </w:r>
      <w:r>
        <w:rPr>
          <w:rFonts w:hint="eastAsia"/>
        </w:rPr>
        <w:t>和</w:t>
      </w:r>
      <w:r>
        <w:rPr>
          <w:rFonts w:hint="eastAsia"/>
        </w:rPr>
        <w:t>Nakayama</w:t>
      </w:r>
      <w:r>
        <w:rPr>
          <w:rFonts w:hint="eastAsia"/>
          <w:vertAlign w:val="superscript"/>
        </w:rPr>
        <w:fldChar w:fldCharType="begin"/>
      </w:r>
      <w:r>
        <w:rPr>
          <w:rFonts w:hint="eastAsia"/>
          <w:vertAlign w:val="superscript"/>
        </w:rPr>
        <w:instrText xml:space="preserve"> REF _Ref23853 \r \h </w:instrText>
      </w:r>
      <w:r>
        <w:rPr>
          <w:rFonts w:hint="eastAsia"/>
          <w:vertAlign w:val="superscript"/>
        </w:rPr>
      </w:r>
      <w:r>
        <w:rPr>
          <w:rFonts w:hint="eastAsia"/>
          <w:vertAlign w:val="superscript"/>
        </w:rPr>
        <w:fldChar w:fldCharType="separate"/>
      </w:r>
      <w:r>
        <w:rPr>
          <w:rFonts w:hint="eastAsia"/>
          <w:vertAlign w:val="superscript"/>
        </w:rPr>
        <w:t>[73]</w:t>
      </w:r>
      <w:r>
        <w:rPr>
          <w:rFonts w:hint="eastAsia"/>
          <w:vertAlign w:val="superscript"/>
        </w:rPr>
        <w:fldChar w:fldCharType="end"/>
      </w:r>
      <w:r>
        <w:rPr>
          <w:rFonts w:hint="eastAsia"/>
        </w:rPr>
        <w:t>的研究表明，运动敏锐度从</w:t>
      </w:r>
      <w:r>
        <w:rPr>
          <w:rFonts w:hint="eastAsia"/>
        </w:rPr>
        <w:t>0</w:t>
      </w:r>
      <w:r>
        <w:rPr>
          <w:rFonts w:hint="eastAsia"/>
        </w:rPr>
        <w:t>°到</w:t>
      </w:r>
      <w:r>
        <w:rPr>
          <w:rFonts w:hint="eastAsia"/>
        </w:rPr>
        <w:t>10</w:t>
      </w:r>
      <w:r>
        <w:rPr>
          <w:rFonts w:hint="eastAsia"/>
        </w:rPr>
        <w:t>°会急剧下降，然后从</w:t>
      </w:r>
      <w:r>
        <w:rPr>
          <w:rFonts w:hint="eastAsia"/>
        </w:rPr>
        <w:t>10</w:t>
      </w:r>
      <w:r>
        <w:rPr>
          <w:rFonts w:hint="eastAsia"/>
        </w:rPr>
        <w:t>°到</w:t>
      </w:r>
      <w:r>
        <w:rPr>
          <w:rFonts w:hint="eastAsia"/>
        </w:rPr>
        <w:t>40</w:t>
      </w:r>
      <w:r>
        <w:rPr>
          <w:rFonts w:hint="eastAsia"/>
        </w:rPr>
        <w:t>°会更轻微地下降。人类视觉系统对外围区域运动的敏感性给所有注视点渲染技术带来了严峻挑战。</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的研究表明，要想获得有效的用户体验，就必须在注视点渲染中尽量减少时间性走样。</w:t>
      </w:r>
    </w:p>
    <w:p w14:paraId="7B36FBB9" w14:textId="77777777" w:rsidR="00461BE2" w:rsidRDefault="00650C5C">
      <w:pPr>
        <w:pStyle w:val="3"/>
      </w:pPr>
      <w:bookmarkStart w:id="22" w:name="_Toc149754968"/>
      <w:r>
        <w:rPr>
          <w:rFonts w:hint="eastAsia"/>
        </w:rPr>
        <w:t xml:space="preserve">2.5.1 </w:t>
      </w:r>
      <w:r>
        <w:rPr>
          <w:rFonts w:hint="eastAsia"/>
        </w:rPr>
        <w:t>避免走样</w:t>
      </w:r>
      <w:bookmarkEnd w:id="22"/>
    </w:p>
    <w:p w14:paraId="0763DE86" w14:textId="77777777" w:rsidR="00461BE2" w:rsidRDefault="00650C5C">
      <w:pPr>
        <w:ind w:firstLine="420"/>
      </w:pPr>
      <w:r>
        <w:rPr>
          <w:rFonts w:hint="eastAsia"/>
        </w:rPr>
        <w:t>确保时间和空间稳定性的一种方法是，在设计注视点渲染技术时，就防止走样现象的出现。这些技术一般会识别一些可能导致走样的特征，并在渲染管道中移除该特征或消除其影响</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注视点和周边区域会根据注视方向不断更新。一般来说，高分辨率注视点区域和低分辨率周边区域的渲染像素位置与显示坐标系一致。低分辨率的渲染像素随后会被上采样，以匹配原生显示器的分辨率。随着用户头部的旋转，每个渲染像素的值都会发生变化，而与场景内容无关，从而导致像素颜色的偏移和闪烁。这会在上采样的显示像素中产生时间性走样，从而破坏用户体验。</w:t>
      </w:r>
      <w:r>
        <w:rPr>
          <w:rFonts w:hint="eastAsia"/>
        </w:rPr>
        <w:t>Turner</w:t>
      </w:r>
      <w:r>
        <w:rPr>
          <w:rFonts w:hint="eastAsia"/>
        </w:rPr>
        <w:t>等人</w:t>
      </w:r>
      <w:r>
        <w:rPr>
          <w:rFonts w:hint="eastAsia"/>
          <w:vertAlign w:val="superscript"/>
        </w:rPr>
        <w:fldChar w:fldCharType="begin"/>
      </w:r>
      <w:r>
        <w:rPr>
          <w:rFonts w:hint="eastAsia"/>
          <w:vertAlign w:val="superscript"/>
        </w:rPr>
        <w:instrText xml:space="preserve"> REF _Ref25134 \r \h </w:instrText>
      </w:r>
      <w:r>
        <w:rPr>
          <w:rFonts w:hint="eastAsia"/>
          <w:vertAlign w:val="superscript"/>
        </w:rPr>
      </w:r>
      <w:r>
        <w:rPr>
          <w:rFonts w:hint="eastAsia"/>
          <w:vertAlign w:val="superscript"/>
        </w:rPr>
        <w:fldChar w:fldCharType="separate"/>
      </w:r>
      <w:r>
        <w:rPr>
          <w:rFonts w:hint="eastAsia"/>
          <w:vertAlign w:val="superscript"/>
        </w:rPr>
        <w:t>[74]</w:t>
      </w:r>
      <w:r>
        <w:rPr>
          <w:rFonts w:hint="eastAsia"/>
          <w:vertAlign w:val="superscript"/>
        </w:rPr>
        <w:fldChar w:fldCharType="end"/>
      </w:r>
      <w:r>
        <w:rPr>
          <w:rFonts w:hint="eastAsia"/>
        </w:rPr>
        <w:t>观察到，视锥的适当角度对齐，可最大限度地减少，转头时的帧间闪烁效应。他们提出了一种相位对齐的注视点渲染系统，将低分辨率区域对齐到世界坐标系而非显示坐标系。低分辨率区域在世界空间中采样，然后向上采样并重新投影，以与显示坐标系对齐。现在，世界空间中采样的图像，不会随着转头而移动。因此转头时，图像时间性的变化会降到最</w:t>
      </w:r>
      <w:r>
        <w:rPr>
          <w:rFonts w:hint="eastAsia"/>
        </w:rPr>
        <w:lastRenderedPageBreak/>
        <w:t>低。相位对齐的注视点渲染大大降低了外围区域闪烁伪影的可感知性。不过，在渲染的画面中，注视点和周边区域的边界，在空间混叠时会很明显。注视点与周边区域边界的可辨识性，可以通过分辨率从注视点到周边区域的平滑过渡来降低</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和</w:t>
      </w:r>
      <w:r>
        <w:rPr>
          <w:rFonts w:hint="eastAsia"/>
        </w:rPr>
        <w:t>Mueller</w:t>
      </w:r>
      <w:r>
        <w:rPr>
          <w:rFonts w:hint="eastAsia"/>
        </w:rPr>
        <w:t>等人</w:t>
      </w:r>
      <w:r>
        <w:rPr>
          <w:rFonts w:hint="eastAsia"/>
          <w:vertAlign w:val="superscript"/>
        </w:rPr>
        <w:fldChar w:fldCharType="begin"/>
      </w:r>
      <w:r>
        <w:rPr>
          <w:rFonts w:hint="eastAsia"/>
          <w:vertAlign w:val="superscript"/>
        </w:rPr>
        <w:instrText xml:space="preserve"> REF _Ref25538 \r \h </w:instrText>
      </w:r>
      <w:r>
        <w:rPr>
          <w:rFonts w:hint="eastAsia"/>
          <w:vertAlign w:val="superscript"/>
        </w:rPr>
      </w:r>
      <w:r>
        <w:rPr>
          <w:rFonts w:hint="eastAsia"/>
          <w:vertAlign w:val="superscript"/>
        </w:rPr>
        <w:fldChar w:fldCharType="separate"/>
      </w:r>
      <w:r>
        <w:rPr>
          <w:rFonts w:hint="eastAsia"/>
          <w:vertAlign w:val="superscript"/>
        </w:rPr>
        <w:t>[76]</w:t>
      </w:r>
      <w:r>
        <w:rPr>
          <w:rFonts w:hint="eastAsia"/>
          <w:vertAlign w:val="superscript"/>
        </w:rPr>
        <w:fldChar w:fldCharType="end"/>
      </w:r>
      <w:r>
        <w:rPr>
          <w:rFonts w:hint="eastAsia"/>
        </w:rPr>
        <w:t>利用时间一致性来减少着色次数。</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将前一帧的外围区域重新投影到当前帧，只渲染注视点像素和一致性较差的外围像素。他们提出使用片元的精确世界空间像素位置而不是深度值来避免重投影走样。</w:t>
      </w:r>
    </w:p>
    <w:p w14:paraId="1D5C66F7" w14:textId="77777777" w:rsidR="00461BE2" w:rsidRDefault="00650C5C">
      <w:pPr>
        <w:pStyle w:val="3"/>
      </w:pPr>
      <w:bookmarkStart w:id="23" w:name="_Toc149754969"/>
      <w:r>
        <w:rPr>
          <w:rFonts w:hint="eastAsia"/>
        </w:rPr>
        <w:t xml:space="preserve">2.5.2 </w:t>
      </w:r>
      <w:r>
        <w:rPr>
          <w:rFonts w:hint="eastAsia"/>
        </w:rPr>
        <w:t>消除走样</w:t>
      </w:r>
      <w:bookmarkEnd w:id="23"/>
    </w:p>
    <w:p w14:paraId="7CE6D29D" w14:textId="77777777" w:rsidR="00461BE2" w:rsidRDefault="00650C5C">
      <w:pPr>
        <w:ind w:firstLine="420"/>
      </w:pPr>
      <w:r>
        <w:rPr>
          <w:rFonts w:hint="eastAsia"/>
        </w:rPr>
        <w:t>大多数注视点渲染方法都会在后处理阶段降低伪影的可感知性。对低分辨率外围区域进行上采样时，插值技术的选择也会影响外围区域的走样。例如，简单的最近邻插值会放大时间性走样</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rPr>
        <w:t>，不过与双线性插值相比，它可以良好地保留对比度。</w:t>
      </w:r>
    </w:p>
    <w:p w14:paraId="3E2ADCC7" w14:textId="5321B76F" w:rsidR="00461BE2" w:rsidRDefault="00650C5C">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结合多采样抗锯齿（</w:t>
      </w:r>
      <w:r>
        <w:rPr>
          <w:rFonts w:hint="eastAsia"/>
        </w:rPr>
        <w:t>MSAA</w:t>
      </w:r>
      <w:r>
        <w:rPr>
          <w:rFonts w:hint="eastAsia"/>
        </w:rPr>
        <w:t>）、时域重投影</w:t>
      </w:r>
      <w:r w:rsidR="00436324">
        <w:rPr>
          <w:rFonts w:hint="eastAsia"/>
        </w:rPr>
        <w:t>、</w:t>
      </w:r>
      <w:r>
        <w:rPr>
          <w:rFonts w:hint="eastAsia"/>
        </w:rPr>
        <w:t>空间采样</w:t>
      </w:r>
      <w:r w:rsidR="00436324">
        <w:rPr>
          <w:rFonts w:hint="eastAsia"/>
        </w:rPr>
        <w:t>点在时序上的</w:t>
      </w:r>
      <w:r>
        <w:rPr>
          <w:rFonts w:hint="eastAsia"/>
        </w:rPr>
        <w:t>抖动来减少空间和时间性走样。</w:t>
      </w:r>
      <w:r>
        <w:rPr>
          <w:rFonts w:hint="eastAsia"/>
        </w:rPr>
        <w:t xml:space="preserve">MSAA </w:t>
      </w:r>
      <w:r>
        <w:rPr>
          <w:rFonts w:hint="eastAsia"/>
        </w:rPr>
        <w:t>通过提高这些区域的有效采样分辨率，减少剪影边缘的空间混叠。带有帧抖动的时域重投影可减少整个图像的伪影。时域抗锯齿策略能更好地减少，以较低采样率对高镜面材料进行采样时产生的锯齿。基于重投影的时域抗锯齿是一种常见的技术，它利用前一帧的信息来减轻时间性和空间性走样。当前帧被重投射到前一帧上，然后利用两帧的信息来计算最终色彩。然而，由于前一帧的细节可能会在正确投影后继续存在，因此时间抗锯齿可能会产生高频率的重影</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w:t>
      </w:r>
      <w:r>
        <w:rPr>
          <w:rFonts w:hint="eastAsia"/>
        </w:rPr>
        <w:t>Karis</w:t>
      </w:r>
      <w:r>
        <w:rPr>
          <w:rFonts w:hint="eastAsia"/>
          <w:vertAlign w:val="superscript"/>
        </w:rPr>
        <w:fldChar w:fldCharType="begin"/>
      </w:r>
      <w:r>
        <w:rPr>
          <w:rFonts w:hint="eastAsia"/>
          <w:vertAlign w:val="superscript"/>
        </w:rPr>
        <w:instrText xml:space="preserve"> REF _Ref26172 \r \h </w:instrText>
      </w:r>
      <w:r>
        <w:rPr>
          <w:rFonts w:hint="eastAsia"/>
          <w:vertAlign w:val="superscript"/>
        </w:rPr>
      </w:r>
      <w:r>
        <w:rPr>
          <w:rFonts w:hint="eastAsia"/>
          <w:vertAlign w:val="superscript"/>
        </w:rPr>
        <w:fldChar w:fldCharType="separate"/>
      </w:r>
      <w:r>
        <w:rPr>
          <w:rFonts w:hint="eastAsia"/>
          <w:vertAlign w:val="superscript"/>
        </w:rPr>
        <w:t>[77]</w:t>
      </w:r>
      <w:r>
        <w:rPr>
          <w:rFonts w:hint="eastAsia"/>
          <w:vertAlign w:val="superscript"/>
        </w:rPr>
        <w:fldChar w:fldCharType="end"/>
      </w:r>
      <w:r>
        <w:rPr>
          <w:rFonts w:hint="eastAsia"/>
        </w:rPr>
        <w:t>通过调节与当前帧样本一致的前一帧样本，减少了此类重影伪影。</w:t>
      </w:r>
      <w:r>
        <w:rPr>
          <w:rFonts w:hint="eastAsia"/>
        </w:rPr>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在屏幕空间中应用具有</w:t>
      </w:r>
      <w:r>
        <w:rPr>
          <w:rFonts w:hint="eastAsia"/>
        </w:rPr>
        <w:t>Halton</w:t>
      </w:r>
      <w:r>
        <w:rPr>
          <w:rFonts w:hint="eastAsia"/>
        </w:rPr>
        <w:t>采样的时间抗锯齿作为后处理方法，以减轻外围区域出现的走样。</w:t>
      </w:r>
    </w:p>
    <w:p w14:paraId="0D648EFF" w14:textId="77777777" w:rsidR="00461BE2" w:rsidRDefault="00650C5C">
      <w:pPr>
        <w:ind w:firstLine="420"/>
      </w:pP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除了使用时空抗锯齿方法外，还使用了预滤波器来缓解时空走样。他们引入了方差采样作为后处理图像增强技术。在每个像素周围，根据局部颜色分布构建一个可变大小的轴对齐包围盒。在定义的边界框内的上一帧图像的后投影和重采样信息与当前帧图像信息进行整合。作者的研究表明，通过明确使用局部色彩信息，重影走样现象得以减少。这种方法还进一步扩展到了眼球回旋运动。由于眼球的回旋运动，前一帧的周边区域可能成为当前帧的注视点区域。这种情况需要几帧的信息汇聚到注视点区域所需的细节水平。</w:t>
      </w:r>
      <w:r>
        <w:rPr>
          <w:rFonts w:hint="eastAsia"/>
        </w:rPr>
        <w:lastRenderedPageBreak/>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根据连续两帧的着色率加快了收敛速度。这就减少了眼球移动造成的模糊走样。</w:t>
      </w:r>
    </w:p>
    <w:p w14:paraId="65CE71CD" w14:textId="77777777" w:rsidR="00461BE2" w:rsidRDefault="00650C5C">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利用景深信息设计了一种后处理抗锯齿技术。聚焦物体时产生的景深效应可用作低通滤波器，以尽量减少外围区域的高频走样。首先对注视点渲染图像进行时间抗锯齿处理，以获得时间上平滑的样本。这些样本用于使用推拉插值法重建完整图像。然后使用低通景深滤波器减弱混叠走样。使用基于支持向量机的注视深度估算器估算注视点的大致深度，该估算器将各种深度测量值作为输入。根据注视深度和估计误差，计算出两个混淆圈，从而确定景深。根据景深模型设计了一个多层滤波器。对图像的过滤分层进行，最终以不同的权重进行混合，得到最终输出结果。</w:t>
      </w:r>
    </w:p>
    <w:p w14:paraId="3BF0A2E9" w14:textId="7DD2E2C2" w:rsidR="00461BE2" w:rsidRDefault="00650C5C">
      <w:pPr>
        <w:pStyle w:val="1"/>
      </w:pPr>
      <w:bookmarkStart w:id="24" w:name="_Toc149754970"/>
      <w:r>
        <w:rPr>
          <w:rFonts w:hint="eastAsia"/>
        </w:rPr>
        <w:t xml:space="preserve">3 </w:t>
      </w:r>
      <w:r w:rsidR="00655C8F">
        <w:rPr>
          <w:rFonts w:hint="eastAsia"/>
        </w:rPr>
        <w:t>方法</w:t>
      </w:r>
      <w:r>
        <w:rPr>
          <w:rFonts w:hint="eastAsia"/>
        </w:rPr>
        <w:t>理论</w:t>
      </w:r>
      <w:r w:rsidR="00655C8F">
        <w:rPr>
          <w:rFonts w:hint="eastAsia"/>
        </w:rPr>
        <w:t>与设计</w:t>
      </w:r>
      <w:bookmarkEnd w:id="24"/>
    </w:p>
    <w:p w14:paraId="19A68B88" w14:textId="36DE4B78" w:rsidR="00461BE2" w:rsidRDefault="00655C8F" w:rsidP="00655C8F">
      <w:pPr>
        <w:pStyle w:val="2"/>
      </w:pPr>
      <w:bookmarkStart w:id="25" w:name="_Toc149754971"/>
      <w:r>
        <w:rPr>
          <w:rFonts w:hint="eastAsia"/>
        </w:rPr>
        <w:t>3.</w:t>
      </w:r>
      <w:r>
        <w:t xml:space="preserve">1 </w:t>
      </w:r>
      <w:r w:rsidR="00BF1FCF">
        <w:rPr>
          <w:rFonts w:hint="eastAsia"/>
        </w:rPr>
        <w:t>基于</w:t>
      </w:r>
      <w:r>
        <w:rPr>
          <w:rFonts w:hint="eastAsia"/>
        </w:rPr>
        <w:t>矩形内部映射</w:t>
      </w:r>
      <w:r w:rsidR="00BF1FCF">
        <w:rPr>
          <w:rFonts w:hint="eastAsia"/>
        </w:rPr>
        <w:t>的图像变换</w:t>
      </w:r>
      <w:bookmarkEnd w:id="25"/>
    </w:p>
    <w:p w14:paraId="113BCED6" w14:textId="5340545A" w:rsidR="00FE33B3" w:rsidRPr="00FE33B3" w:rsidRDefault="00FE33B3" w:rsidP="00FE33B3">
      <w:pPr>
        <w:pStyle w:val="3"/>
      </w:pPr>
      <w:bookmarkStart w:id="26" w:name="_Toc149754972"/>
      <w:r>
        <w:rPr>
          <w:rFonts w:hint="eastAsia"/>
        </w:rPr>
        <w:t>3</w:t>
      </w:r>
      <w:r>
        <w:t xml:space="preserve">.1.1 </w:t>
      </w:r>
      <w:r>
        <w:rPr>
          <w:rFonts w:hint="eastAsia"/>
        </w:rPr>
        <w:t>一维空间下的采样点分布</w:t>
      </w:r>
      <w:bookmarkEnd w:id="26"/>
    </w:p>
    <w:p w14:paraId="33576AC6" w14:textId="7ABADE90" w:rsidR="00BF1FCF" w:rsidRDefault="00BF1FCF" w:rsidP="00721C51">
      <w:pPr>
        <w:spacing w:before="240" w:after="240"/>
        <w:ind w:firstLine="420"/>
        <w:jc w:val="left"/>
      </w:pPr>
      <w:r>
        <w:rPr>
          <w:rFonts w:hint="eastAsia"/>
        </w:rPr>
        <w:t>在介绍基于二维矩形内部映射的图像变换之前，我们先从一维像素分布变换的概念开始。考虑由焦距为</w:t>
      </w:r>
      <w:r>
        <w:rPr>
          <w:rFonts w:hint="eastAsia"/>
        </w:rPr>
        <w:t xml:space="preserve"> f </w:t>
      </w:r>
      <w:r>
        <w:rPr>
          <w:rFonts w:hint="eastAsia"/>
        </w:rPr>
        <w:t>的简单</w:t>
      </w:r>
      <w:bookmarkStart w:id="27" w:name="_Hlk148195951"/>
      <w:r>
        <w:rPr>
          <w:rFonts w:hint="eastAsia"/>
        </w:rPr>
        <w:t>凸透镜</w:t>
      </w:r>
      <w:bookmarkEnd w:id="27"/>
      <w:r>
        <w:rPr>
          <w:rFonts w:hint="eastAsia"/>
        </w:rPr>
        <w:t>成像的空间物体点。物体和图像距离透镜中心具有非线性关系，由原始的凸透镜方程给出。图像距离</w:t>
      </w:r>
      <w:r>
        <w:rPr>
          <w:rFonts w:hint="eastAsia"/>
        </w:rPr>
        <w:t xml:space="preserve"> di </w:t>
      </w:r>
      <w:r>
        <w:rPr>
          <w:rFonts w:hint="eastAsia"/>
        </w:rPr>
        <w:t>随物体距离</w:t>
      </w:r>
      <w:r>
        <w:rPr>
          <w:rFonts w:hint="eastAsia"/>
        </w:rPr>
        <w:t xml:space="preserve"> do </w:t>
      </w:r>
      <w:r>
        <w:rPr>
          <w:rFonts w:hint="eastAsia"/>
        </w:rPr>
        <w:t>的增加而增加；然而，如公式所示，</w:t>
      </w:r>
      <w:r>
        <w:rPr>
          <w:rFonts w:hint="eastAsia"/>
        </w:rPr>
        <w:t xml:space="preserve">di </w:t>
      </w:r>
      <w:r>
        <w:rPr>
          <w:rFonts w:hint="eastAsia"/>
        </w:rPr>
        <w:t>的变化率是</w:t>
      </w:r>
      <w:r>
        <w:rPr>
          <w:rFonts w:hint="eastAsia"/>
        </w:rPr>
        <w:t xml:space="preserve"> f </w:t>
      </w:r>
      <w:r>
        <w:rPr>
          <w:rFonts w:hint="eastAsia"/>
        </w:rPr>
        <w:t>和</w:t>
      </w:r>
      <w:r>
        <w:rPr>
          <w:rFonts w:hint="eastAsia"/>
        </w:rPr>
        <w:t xml:space="preserve"> do </w:t>
      </w:r>
      <w:r>
        <w:rPr>
          <w:rFonts w:hint="eastAsia"/>
        </w:rPr>
        <w:t>的非线性函数。</w:t>
      </w:r>
      <w:r w:rsidR="004A2024">
        <w:br/>
      </w: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do-f</m:t>
              </m:r>
            </m:den>
          </m:f>
        </m:oMath>
      </m:oMathPara>
    </w:p>
    <w:p w14:paraId="26D723E9" w14:textId="6D9DA4C6" w:rsidR="00BF1FCF" w:rsidRDefault="00BF1FCF" w:rsidP="00721C51">
      <w:pPr>
        <w:ind w:firstLine="420"/>
      </w:pPr>
      <w:r>
        <w:rPr>
          <w:rFonts w:hint="eastAsia"/>
        </w:rPr>
        <w:t>注视点渲染方法一般会考虑渲染样本的非均匀分布，而传统渲染方法中的样本分布是均匀的。</w:t>
      </w:r>
      <w:r w:rsidR="00721C51">
        <w:rPr>
          <w:rFonts w:hint="eastAsia"/>
        </w:rPr>
        <w:t>本文</w:t>
      </w:r>
      <w:r>
        <w:rPr>
          <w:rFonts w:hint="eastAsia"/>
        </w:rPr>
        <w:t>利用</w:t>
      </w:r>
      <w:r w:rsidR="00721C51">
        <w:rPr>
          <w:rFonts w:hint="eastAsia"/>
        </w:rPr>
        <w:t>凸</w:t>
      </w:r>
      <w:r>
        <w:rPr>
          <w:rFonts w:hint="eastAsia"/>
        </w:rPr>
        <w:t>透镜方程来获得非均匀样本位置。本文考虑</w:t>
      </w:r>
      <w:r>
        <w:rPr>
          <w:rFonts w:hint="eastAsia"/>
        </w:rPr>
        <w:t xml:space="preserve"> do </w:t>
      </w:r>
      <w:r>
        <w:rPr>
          <w:rFonts w:hint="eastAsia"/>
        </w:rPr>
        <w:t>∈</w:t>
      </w:r>
      <w:r>
        <w:rPr>
          <w:rFonts w:hint="eastAsia"/>
        </w:rPr>
        <w:t xml:space="preserve"> (0, f) </w:t>
      </w:r>
      <w:r>
        <w:rPr>
          <w:rFonts w:hint="eastAsia"/>
        </w:rPr>
        <w:t>的情况，以确保映射函数的连续性和单调性。为了</w:t>
      </w:r>
      <w:r w:rsidR="00721C51">
        <w:rPr>
          <w:rFonts w:hint="eastAsia"/>
        </w:rPr>
        <w:t>方便计算</w:t>
      </w:r>
      <w:r>
        <w:rPr>
          <w:rFonts w:hint="eastAsia"/>
        </w:rPr>
        <w:t>，我们</w:t>
      </w:r>
      <w:r w:rsidR="00721C51">
        <w:rPr>
          <w:rFonts w:hint="eastAsia"/>
        </w:rPr>
        <w:t>重写等式</w:t>
      </w:r>
      <w:r>
        <w:rPr>
          <w:rFonts w:hint="eastAsia"/>
        </w:rPr>
        <w:t>。</w:t>
      </w:r>
    </w:p>
    <w:p w14:paraId="513FB60B" w14:textId="19E35285" w:rsidR="00721C51" w:rsidRDefault="00721C51" w:rsidP="004C690B">
      <w:pPr>
        <w:ind w:firstLine="420"/>
      </w:pP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f-abs</m:t>
              </m:r>
              <m:d>
                <m:dPr>
                  <m:ctrlPr>
                    <w:rPr>
                      <w:rFonts w:ascii="Cambria Math" w:hAnsi="Cambria Math"/>
                      <w:i/>
                    </w:rPr>
                  </m:ctrlPr>
                </m:dPr>
                <m:e>
                  <m:r>
                    <w:rPr>
                      <w:rFonts w:ascii="Cambria Math" w:hAnsi="Cambria Math"/>
                    </w:rPr>
                    <m:t>do</m:t>
                  </m:r>
                </m:e>
              </m:d>
            </m:den>
          </m:f>
        </m:oMath>
      </m:oMathPara>
    </w:p>
    <w:p w14:paraId="591AF6C0" w14:textId="187EFEA7" w:rsidR="008926CF" w:rsidRDefault="00BF1FCF" w:rsidP="004C690B">
      <w:pPr>
        <w:ind w:firstLine="420"/>
      </w:pPr>
      <w:r>
        <w:rPr>
          <w:rFonts w:hint="eastAsia"/>
        </w:rPr>
        <w:t>随着</w:t>
      </w:r>
      <w:r>
        <w:rPr>
          <w:rFonts w:hint="eastAsia"/>
        </w:rPr>
        <w:t xml:space="preserve"> f </w:t>
      </w:r>
      <w:r>
        <w:rPr>
          <w:rFonts w:hint="eastAsia"/>
        </w:rPr>
        <w:t>的减小，</w:t>
      </w:r>
      <w:r>
        <w:rPr>
          <w:rFonts w:hint="eastAsia"/>
        </w:rPr>
        <w:t xml:space="preserve">di </w:t>
      </w:r>
      <w:r>
        <w:rPr>
          <w:rFonts w:hint="eastAsia"/>
        </w:rPr>
        <w:t>的分布更加集中在原点附近。假设显示屏的中心点、左边缘和右边缘分别位于原点、</w:t>
      </w:r>
      <w:r>
        <w:rPr>
          <w:rFonts w:hint="eastAsia"/>
        </w:rPr>
        <w:t xml:space="preserve">+1 </w:t>
      </w:r>
      <w:r>
        <w:rPr>
          <w:rFonts w:hint="eastAsia"/>
        </w:rPr>
        <w:t>和</w:t>
      </w:r>
      <w:r>
        <w:rPr>
          <w:rFonts w:hint="eastAsia"/>
        </w:rPr>
        <w:t>-1</w:t>
      </w:r>
      <w:r>
        <w:rPr>
          <w:rFonts w:hint="eastAsia"/>
        </w:rPr>
        <w:t>，则可以通过在原点周围分布更多样本、在</w:t>
      </w:r>
      <w:r>
        <w:rPr>
          <w:rFonts w:hint="eastAsia"/>
        </w:rPr>
        <w:lastRenderedPageBreak/>
        <w:t>外围减少样本来实现有焦点的效果，然后再利用反函数将样本映射回规则空间。</w:t>
      </w:r>
    </w:p>
    <w:p w14:paraId="145B920D" w14:textId="2E42A7B1" w:rsidR="00721C51" w:rsidRDefault="00FE33B3" w:rsidP="00FE33B3">
      <w:pPr>
        <w:pStyle w:val="3"/>
      </w:pPr>
      <w:bookmarkStart w:id="28" w:name="_Toc149754973"/>
      <w:r>
        <w:rPr>
          <w:rFonts w:hint="eastAsia"/>
        </w:rPr>
        <w:t>3.</w:t>
      </w:r>
      <w:r>
        <w:t>1</w:t>
      </w:r>
      <w:r>
        <w:rPr>
          <w:rFonts w:hint="eastAsia"/>
        </w:rPr>
        <w:t>.</w:t>
      </w:r>
      <w:r>
        <w:t xml:space="preserve">2 </w:t>
      </w:r>
      <w:r>
        <w:rPr>
          <w:rFonts w:hint="eastAsia"/>
        </w:rPr>
        <w:t>二维空间下的采样点映射</w:t>
      </w:r>
      <w:bookmarkEnd w:id="28"/>
    </w:p>
    <w:p w14:paraId="696D2D5C" w14:textId="77777777" w:rsidR="00FE33B3" w:rsidRDefault="00FE33B3" w:rsidP="004C690B">
      <w:pPr>
        <w:ind w:firstLine="420"/>
      </w:pPr>
      <w:r w:rsidRPr="00FE33B3">
        <w:rPr>
          <w:rFonts w:hint="eastAsia"/>
        </w:rPr>
        <w:t>现在，我们将这一想法扩展到二维笛卡尔坐标，并引入了基于矩形</w:t>
      </w:r>
      <w:r>
        <w:rPr>
          <w:rFonts w:hint="eastAsia"/>
        </w:rPr>
        <w:t>内部</w:t>
      </w:r>
      <w:r w:rsidRPr="00FE33B3">
        <w:rPr>
          <w:rFonts w:hint="eastAsia"/>
        </w:rPr>
        <w:t>映射的</w:t>
      </w:r>
      <w:r>
        <w:rPr>
          <w:rFonts w:hint="eastAsia"/>
        </w:rPr>
        <w:t>注视点</w:t>
      </w:r>
      <w:r w:rsidRPr="00FE33B3">
        <w:rPr>
          <w:rFonts w:hint="eastAsia"/>
        </w:rPr>
        <w:t>渲染框架。</w:t>
      </w:r>
    </w:p>
    <w:p w14:paraId="4F5057CF" w14:textId="77777777" w:rsidR="003A68A8" w:rsidRDefault="00FE33B3" w:rsidP="00FE33B3">
      <w:pPr>
        <w:ind w:firstLine="420"/>
      </w:pPr>
      <w:r>
        <w:rPr>
          <w:rFonts w:hint="eastAsia"/>
        </w:rPr>
        <w:t>这套映射</w:t>
      </w:r>
      <w:r w:rsidRPr="00FE33B3">
        <w:rPr>
          <w:rFonts w:hint="eastAsia"/>
        </w:rPr>
        <w:t>算法</w:t>
      </w:r>
      <w:r>
        <w:rPr>
          <w:rFonts w:hint="eastAsia"/>
        </w:rPr>
        <w:t>需要结合</w:t>
      </w:r>
      <w:r w:rsidRPr="00FE33B3">
        <w:rPr>
          <w:rFonts w:hint="eastAsia"/>
        </w:rPr>
        <w:t>延迟</w:t>
      </w:r>
      <w:r>
        <w:rPr>
          <w:rFonts w:hint="eastAsia"/>
        </w:rPr>
        <w:t>渲染管线</w:t>
      </w:r>
      <w:r w:rsidRPr="00FE33B3">
        <w:rPr>
          <w:rFonts w:hint="eastAsia"/>
        </w:rPr>
        <w:t>来实现，该管道在生成几何图形缓冲区后执行一次</w:t>
      </w:r>
      <w:r w:rsidR="003A68A8">
        <w:rPr>
          <w:rFonts w:hint="eastAsia"/>
        </w:rPr>
        <w:t>光照计算</w:t>
      </w:r>
      <w:r w:rsidRPr="00FE33B3">
        <w:rPr>
          <w:rFonts w:hint="eastAsia"/>
        </w:rPr>
        <w:t>。</w:t>
      </w:r>
      <w:r w:rsidR="003A68A8" w:rsidRPr="00FE33B3">
        <w:rPr>
          <w:rFonts w:hint="eastAsia"/>
        </w:rPr>
        <w:t>在传统延迟</w:t>
      </w:r>
      <w:r w:rsidR="003A68A8">
        <w:rPr>
          <w:rFonts w:hint="eastAsia"/>
        </w:rPr>
        <w:t>渲染管线</w:t>
      </w:r>
      <w:r w:rsidR="003A68A8" w:rsidRPr="00FE33B3">
        <w:rPr>
          <w:rFonts w:hint="eastAsia"/>
        </w:rPr>
        <w:t>和</w:t>
      </w:r>
      <w:r w:rsidR="003A68A8">
        <w:rPr>
          <w:rFonts w:hint="eastAsia"/>
        </w:rPr>
        <w:t>本注视点渲染管线</w:t>
      </w:r>
      <w:r w:rsidR="003A68A8" w:rsidRPr="00FE33B3">
        <w:rPr>
          <w:rFonts w:hint="eastAsia"/>
        </w:rPr>
        <w:t>中</w:t>
      </w:r>
      <w:r w:rsidR="003A68A8">
        <w:rPr>
          <w:rFonts w:hint="eastAsia"/>
        </w:rPr>
        <w:t>，</w:t>
      </w:r>
      <w:r w:rsidRPr="00FE33B3">
        <w:rPr>
          <w:rFonts w:hint="eastAsia"/>
        </w:rPr>
        <w:t>顶点着色和片段着色</w:t>
      </w:r>
      <w:r w:rsidR="003A68A8">
        <w:rPr>
          <w:rFonts w:hint="eastAsia"/>
        </w:rPr>
        <w:t>阶段均</w:t>
      </w:r>
      <w:r w:rsidRPr="00FE33B3">
        <w:rPr>
          <w:rFonts w:hint="eastAsia"/>
        </w:rPr>
        <w:t>保持不变。在</w:t>
      </w:r>
      <w:r w:rsidR="003A68A8">
        <w:rPr>
          <w:rFonts w:hint="eastAsia"/>
        </w:rPr>
        <w:t>本文的</w:t>
      </w:r>
      <w:r w:rsidRPr="00FE33B3">
        <w:rPr>
          <w:rFonts w:hint="eastAsia"/>
        </w:rPr>
        <w:t>设计中，我们通过引入</w:t>
      </w:r>
      <w:r w:rsidR="003A68A8">
        <w:rPr>
          <w:rFonts w:hint="eastAsia"/>
        </w:rPr>
        <w:t>正向和逆向的</w:t>
      </w:r>
      <w:r w:rsidRPr="00FE33B3">
        <w:rPr>
          <w:rFonts w:hint="eastAsia"/>
        </w:rPr>
        <w:t>矩形映射步骤来</w:t>
      </w:r>
      <w:r w:rsidR="003A68A8">
        <w:rPr>
          <w:rFonts w:hint="eastAsia"/>
        </w:rPr>
        <w:t>影响整个管线</w:t>
      </w:r>
      <w:r w:rsidRPr="00FE33B3">
        <w:rPr>
          <w:rFonts w:hint="eastAsia"/>
        </w:rPr>
        <w:t>。</w:t>
      </w:r>
    </w:p>
    <w:p w14:paraId="2378D1E6" w14:textId="42ACC721" w:rsidR="00FE33B3" w:rsidRDefault="00FE33B3" w:rsidP="00FE33B3">
      <w:pPr>
        <w:ind w:firstLine="420"/>
      </w:pPr>
      <w:r w:rsidRPr="00FE33B3">
        <w:rPr>
          <w:rFonts w:hint="eastAsia"/>
        </w:rPr>
        <w:t>对于分辨率为</w:t>
      </w:r>
      <w:r w:rsidRPr="00FE33B3">
        <w:rPr>
          <w:rFonts w:hint="eastAsia"/>
        </w:rPr>
        <w:t xml:space="preserve"> W</w:t>
      </w:r>
      <w:r w:rsidRPr="00FE33B3">
        <w:rPr>
          <w:rFonts w:hint="eastAsia"/>
        </w:rPr>
        <w:t>×</w:t>
      </w:r>
      <w:r w:rsidRPr="00FE33B3">
        <w:rPr>
          <w:rFonts w:hint="eastAsia"/>
        </w:rPr>
        <w:t xml:space="preserve">H </w:t>
      </w:r>
      <w:r w:rsidRPr="00FE33B3">
        <w:rPr>
          <w:rFonts w:hint="eastAsia"/>
        </w:rPr>
        <w:t>的全分辨率</w:t>
      </w:r>
      <w:r w:rsidR="00130241">
        <w:rPr>
          <w:rFonts w:hint="eastAsia"/>
        </w:rPr>
        <w:t>0</w:t>
      </w:r>
      <w:r w:rsidR="00130241">
        <w:rPr>
          <w:rFonts w:hint="eastAsia"/>
        </w:rPr>
        <w:t>号</w:t>
      </w:r>
      <w:r w:rsidR="003A68A8">
        <w:rPr>
          <w:rFonts w:hint="eastAsia"/>
        </w:rPr>
        <w:t>几何</w:t>
      </w:r>
      <w:r w:rsidRPr="00FE33B3">
        <w:rPr>
          <w:rFonts w:hint="eastAsia"/>
        </w:rPr>
        <w:t>缓冲区，我们应用矩形</w:t>
      </w:r>
      <w:r w:rsidR="00910602">
        <w:rPr>
          <w:rFonts w:hint="eastAsia"/>
        </w:rPr>
        <w:t>内部</w:t>
      </w:r>
      <w:r w:rsidRPr="00FE33B3">
        <w:rPr>
          <w:rFonts w:hint="eastAsia"/>
        </w:rPr>
        <w:t>映射图像变换，并将变换后的数据保存到分辨率为</w:t>
      </w:r>
      <w:r w:rsidRPr="00FE33B3">
        <w:rPr>
          <w:rFonts w:hint="eastAsia"/>
        </w:rPr>
        <w:t xml:space="preserve"> w</w:t>
      </w:r>
      <w:r w:rsidRPr="00FE33B3">
        <w:rPr>
          <w:rFonts w:hint="eastAsia"/>
        </w:rPr>
        <w:t>×</w:t>
      </w:r>
      <w:r w:rsidRPr="00FE33B3">
        <w:rPr>
          <w:rFonts w:hint="eastAsia"/>
        </w:rPr>
        <w:t xml:space="preserve">h </w:t>
      </w:r>
      <w:r w:rsidRPr="00FE33B3">
        <w:rPr>
          <w:rFonts w:hint="eastAsia"/>
        </w:rPr>
        <w:t>的</w:t>
      </w:r>
      <w:r w:rsidR="00130241">
        <w:rPr>
          <w:rFonts w:hint="eastAsia"/>
        </w:rPr>
        <w:t>1</w:t>
      </w:r>
      <w:r w:rsidR="00130241">
        <w:rPr>
          <w:rFonts w:hint="eastAsia"/>
        </w:rPr>
        <w:t>号</w:t>
      </w:r>
      <w:r w:rsidRPr="00FE33B3">
        <w:rPr>
          <w:rFonts w:hint="eastAsia"/>
        </w:rPr>
        <w:t>几何缓冲区中。</w:t>
      </w:r>
      <w:r w:rsidR="00606E57">
        <w:rPr>
          <w:rFonts w:hint="eastAsia"/>
        </w:rPr>
        <w:t>为方便计算。对于</w:t>
      </w:r>
      <w:r w:rsidRPr="00FE33B3">
        <w:rPr>
          <w:rFonts w:hint="eastAsia"/>
        </w:rPr>
        <w:t>给定</w:t>
      </w:r>
      <w:r w:rsidR="00910602">
        <w:rPr>
          <w:rFonts w:hint="eastAsia"/>
        </w:rPr>
        <w:t>注视点</w:t>
      </w:r>
      <w:r w:rsidRPr="00FE33B3">
        <w:rPr>
          <w:rFonts w:hint="eastAsia"/>
        </w:rPr>
        <w:t>（</w:t>
      </w:r>
      <w:r w:rsidRPr="00FE33B3">
        <w:t>x˚, y˚</w:t>
      </w:r>
      <w:r w:rsidRPr="00FE33B3">
        <w:rPr>
          <w:rFonts w:hint="eastAsia"/>
        </w:rPr>
        <w:t>），</w:t>
      </w:r>
      <w:r w:rsidR="00606E57">
        <w:rPr>
          <w:rFonts w:hint="eastAsia"/>
        </w:rPr>
        <w:t>我们将</w:t>
      </w:r>
      <w:r w:rsidRPr="00FE33B3">
        <w:rPr>
          <w:rFonts w:hint="eastAsia"/>
        </w:rPr>
        <w:t>屏幕空间中笛卡尔坐标为</w:t>
      </w:r>
      <w:r w:rsidRPr="00FE33B3">
        <w:t xml:space="preserve"> (x, y) </w:t>
      </w:r>
      <w:r w:rsidRPr="00FE33B3">
        <w:rPr>
          <w:rFonts w:hint="eastAsia"/>
        </w:rPr>
        <w:t>的每个像素</w:t>
      </w:r>
      <w:r w:rsidR="00606E57">
        <w:rPr>
          <w:rFonts w:hint="eastAsia"/>
        </w:rPr>
        <w:t>，</w:t>
      </w:r>
      <w:r w:rsidRPr="00FE33B3">
        <w:rPr>
          <w:rFonts w:hint="eastAsia"/>
        </w:rPr>
        <w:t>都映射到</w:t>
      </w:r>
      <w:r w:rsidRPr="00FE33B3">
        <w:t xml:space="preserve"> (x</w:t>
      </w:r>
      <w:r w:rsidR="00910602">
        <w:t>’</w:t>
      </w:r>
      <w:r w:rsidRPr="00FE33B3">
        <w:t xml:space="preserve"> , y</w:t>
      </w:r>
      <w:r w:rsidR="00910602">
        <w:t>’</w:t>
      </w:r>
      <w:r w:rsidRPr="00FE33B3">
        <w:t xml:space="preserve"> )</w:t>
      </w:r>
      <w:r w:rsidRPr="00FE33B3">
        <w:rPr>
          <w:rFonts w:hint="eastAsia"/>
        </w:rPr>
        <w:t>，其中</w:t>
      </w:r>
    </w:p>
    <w:p w14:paraId="0DF0BD69" w14:textId="7335CDA2" w:rsidR="00FE33B3" w:rsidRDefault="00000000" w:rsidP="002A1037">
      <w:pPr>
        <w:spacing w:before="240" w:after="240"/>
        <w:ind w:firstLine="4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r>
            <m:rPr>
              <m:sty m:val="p"/>
            </m:rPr>
            <w:rPr>
              <w:rFonts w:ascii="Cambria Math" w:hAnsi="Cambria Math"/>
            </w:rPr>
            <m:t>x˚</m:t>
          </m:r>
          <m:r>
            <m:rPr>
              <m:sty m:val="p"/>
            </m:rPr>
            <w:rPr>
              <w:rFonts w:asci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y˚</m:t>
          </m:r>
          <m:r>
            <m:rPr>
              <m:sty m:val="p"/>
            </m:rPr>
            <w:rPr>
              <w:rFonts w:ascii="Cambria Math"/>
            </w:rPr>
            <m:t xml:space="preserve"> </m:t>
          </m:r>
        </m:oMath>
      </m:oMathPara>
    </w:p>
    <w:p w14:paraId="3BD3F9DC" w14:textId="1B1E3E16" w:rsidR="00130241" w:rsidRDefault="00130241" w:rsidP="00130241">
      <w:pPr>
        <w:ind w:firstLine="420"/>
      </w:pPr>
      <w:r>
        <w:rPr>
          <w:rFonts w:hint="eastAsia"/>
        </w:rPr>
        <w:t>为简单起见，我们只列出</w:t>
      </w:r>
      <w:r>
        <w:rPr>
          <w:rFonts w:hint="eastAsia"/>
        </w:rPr>
        <w:t xml:space="preserve"> x &gt; 0 </w:t>
      </w:r>
      <w:r>
        <w:rPr>
          <w:rFonts w:hint="eastAsia"/>
        </w:rPr>
        <w:t>和</w:t>
      </w:r>
      <w:r>
        <w:rPr>
          <w:rFonts w:hint="eastAsia"/>
        </w:rPr>
        <w:t xml:space="preserve"> y &gt; 0 </w:t>
      </w:r>
      <w:r>
        <w:rPr>
          <w:rFonts w:hint="eastAsia"/>
        </w:rPr>
        <w:t>像素的映射方程。矩形映射通过方程</w:t>
      </w:r>
      <w:r>
        <w:rPr>
          <w:rFonts w:hint="eastAsia"/>
        </w:rPr>
        <w:t xml:space="preserve"> </w:t>
      </w:r>
      <w:r>
        <w:rPr>
          <w:rFonts w:hint="eastAsia"/>
        </w:rPr>
        <w:t>将</w:t>
      </w:r>
      <w:r>
        <w:rPr>
          <w:rFonts w:hint="eastAsia"/>
        </w:rPr>
        <w:t>0</w:t>
      </w:r>
      <w:r>
        <w:rPr>
          <w:rFonts w:hint="eastAsia"/>
        </w:rPr>
        <w:t>号几何</w:t>
      </w:r>
      <w:r w:rsidRPr="00FE33B3">
        <w:rPr>
          <w:rFonts w:hint="eastAsia"/>
        </w:rPr>
        <w:t>缓冲区</w:t>
      </w:r>
      <w:r>
        <w:rPr>
          <w:rFonts w:hint="eastAsia"/>
        </w:rPr>
        <w:t>中的坐标</w:t>
      </w:r>
      <w:r>
        <w:rPr>
          <w:rFonts w:hint="eastAsia"/>
        </w:rPr>
        <w:t xml:space="preserve"> (x , y ) </w:t>
      </w:r>
      <w:r>
        <w:rPr>
          <w:rFonts w:hint="eastAsia"/>
        </w:rPr>
        <w:t>转换为</w:t>
      </w:r>
      <w:r>
        <w:t>1</w:t>
      </w:r>
      <w:r>
        <w:rPr>
          <w:rFonts w:hint="eastAsia"/>
        </w:rPr>
        <w:t>号几何</w:t>
      </w:r>
      <w:r w:rsidRPr="00FE33B3">
        <w:rPr>
          <w:rFonts w:hint="eastAsia"/>
        </w:rPr>
        <w:t>缓冲区</w:t>
      </w:r>
      <w:r>
        <w:rPr>
          <w:rFonts w:hint="eastAsia"/>
        </w:rPr>
        <w:t>中的坐标</w:t>
      </w:r>
      <w:r>
        <w:rPr>
          <w:rFonts w:hint="eastAsia"/>
        </w:rPr>
        <w:t xml:space="preserve"> (u, v)</w:t>
      </w:r>
      <w:r>
        <w:rPr>
          <w:rFonts w:hint="eastAsia"/>
        </w:rPr>
        <w:t>。</w:t>
      </w:r>
    </w:p>
    <w:p w14:paraId="4E2550A7" w14:textId="3EED72D3" w:rsidR="00130241" w:rsidRDefault="007723AA" w:rsidP="002A1037">
      <w:pPr>
        <w:spacing w:before="240" w:after="240"/>
        <w:ind w:firstLine="420"/>
        <w:jc w:val="center"/>
      </w:pPr>
      <m:oMath>
        <m:r>
          <w:rPr>
            <w:rFonts w:ascii="Cambria Math" w:hAnsi="Cambria Math" w:hint="eastAsia"/>
          </w:rPr>
          <m:t>u</m:t>
        </m:r>
        <m:r>
          <w:rPr>
            <w:rFonts w:ascii="Cambria Math" w:hAnsi="Cambria Math"/>
          </w:rPr>
          <m:t>=NX</m:t>
        </m:r>
        <m:d>
          <m:dPr>
            <m:ctrlPr>
              <w:rPr>
                <w:rFonts w:ascii="Cambria Math" w:hAnsi="Cambria Math"/>
                <w:i/>
              </w:rPr>
            </m:ctrlPr>
          </m:dPr>
          <m:e>
            <m:f>
              <m:fPr>
                <m:ctrlPr>
                  <w:rPr>
                    <w:rFonts w:ascii="Cambria Math" w:hAnsi="Cambria Math"/>
                    <w:i/>
                  </w:rPr>
                </m:ctrlPr>
              </m:fPr>
              <m:num>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fx+abs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den>
            </m:f>
          </m:e>
        </m:d>
        <m:r>
          <w:rPr>
            <w:rFonts w:ascii="Cambria Math" w:hAnsi="Cambria Math"/>
          </w:rPr>
          <m:t>*w*</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W</m:t>
                </m:r>
              </m:den>
            </m:f>
          </m:e>
        </m:d>
        <m:r>
          <w:rPr>
            <w:rFonts w:ascii="Cambria Math" w:hAnsi="Cambria Math"/>
          </w:rPr>
          <m:t>+</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m:t>
        </m:r>
      </m:oMath>
      <w:r>
        <w:rPr>
          <w:rFonts w:hint="eastAsia"/>
        </w:rPr>
        <w:t>w</w:t>
      </w:r>
    </w:p>
    <w:p w14:paraId="56C6DFD2" w14:textId="1745B45A" w:rsidR="007723AA" w:rsidRDefault="007723AA" w:rsidP="007723AA">
      <w:pPr>
        <w:ind w:firstLine="420"/>
        <w:jc w:val="center"/>
      </w:pPr>
      <m:oMath>
        <m:r>
          <w:rPr>
            <w:rFonts w:ascii="Cambria Math" w:hAnsi="Cambria Math"/>
          </w:rPr>
          <m:t>v=NY</m:t>
        </m:r>
        <m:d>
          <m:dPr>
            <m:ctrlPr>
              <w:rPr>
                <w:rFonts w:ascii="Cambria Math" w:hAnsi="Cambria Math"/>
                <w:i/>
              </w:rPr>
            </m:ctrlPr>
          </m:dPr>
          <m:e>
            <m:f>
              <m:fPr>
                <m:ctrlPr>
                  <w:rPr>
                    <w:rFonts w:ascii="Cambria Math" w:hAnsi="Cambria Math"/>
                    <w:i/>
                  </w:rPr>
                </m:ctrlPr>
              </m:fPr>
              <m:num>
                <m:r>
                  <w:rPr>
                    <w:rFonts w:ascii="Cambria Math" w:hAnsi="Cambria Math"/>
                  </w:rPr>
                  <m:t>fy*</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fy+abs</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den>
            </m:f>
          </m:e>
        </m:d>
        <m:r>
          <w:rPr>
            <w:rFonts w:ascii="Cambria Math" w:hAnsi="Cambria Math"/>
          </w:rPr>
          <m:t>*h*</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y˚</m:t>
                </m:r>
              </m:num>
              <m:den>
                <m:r>
                  <m:rPr>
                    <m:sty m:val="p"/>
                  </m:rPr>
                  <w:rPr>
                    <w:rFonts w:ascii="Cambria Math" w:hAnsi="Cambria Math"/>
                  </w:rPr>
                  <m:t>H</m:t>
                </m:r>
              </m:den>
            </m:f>
          </m:e>
        </m:d>
        <m:r>
          <w:rPr>
            <w:rFonts w:ascii="Cambria Math" w:hAnsi="Cambria Math"/>
          </w:rPr>
          <m:t>+</m:t>
        </m:r>
        <m:f>
          <m:fPr>
            <m:ctrlPr>
              <w:rPr>
                <w:rFonts w:ascii="Cambria Math" w:hAnsi="Cambria Math"/>
                <w:i/>
              </w:rPr>
            </m:ctrlPr>
          </m:fPr>
          <m:num>
            <m:r>
              <m:rPr>
                <m:sty m:val="p"/>
              </m:rPr>
              <w:rPr>
                <w:rFonts w:ascii="Cambria Math" w:hAnsi="Cambria Math"/>
              </w:rPr>
              <m:t>y˚</m:t>
            </m:r>
          </m:num>
          <m:den>
            <m:r>
              <w:rPr>
                <w:rFonts w:ascii="Cambria Math" w:hAnsi="Cambria Math"/>
              </w:rPr>
              <m:t>H</m:t>
            </m:r>
          </m:den>
        </m:f>
        <m:r>
          <w:rPr>
            <w:rFonts w:ascii="Cambria Math" w:hAnsi="Cambria Math"/>
          </w:rPr>
          <m:t>*</m:t>
        </m:r>
      </m:oMath>
      <w:r>
        <w:t>h</w:t>
      </w:r>
    </w:p>
    <w:p w14:paraId="0893E772" w14:textId="12B12D68" w:rsidR="00130241" w:rsidRDefault="00130241" w:rsidP="00130241">
      <w:pPr>
        <w:ind w:firstLine="420"/>
      </w:pPr>
      <w:r>
        <w:rPr>
          <w:rFonts w:hint="eastAsia"/>
        </w:rPr>
        <w:t>其中，</w:t>
      </w:r>
      <w:r>
        <w:rPr>
          <w:rFonts w:hint="eastAsia"/>
        </w:rPr>
        <w:t xml:space="preserve">fx </w:t>
      </w:r>
      <w:r>
        <w:rPr>
          <w:rFonts w:hint="eastAsia"/>
        </w:rPr>
        <w:t>和</w:t>
      </w:r>
      <w:r>
        <w:rPr>
          <w:rFonts w:hint="eastAsia"/>
        </w:rPr>
        <w:t xml:space="preserve"> fy </w:t>
      </w:r>
      <w:r>
        <w:rPr>
          <w:rFonts w:hint="eastAsia"/>
        </w:rPr>
        <w:t>分别控制像素在水平轴和垂直轴上的分布，</w:t>
      </w:r>
      <w:r>
        <w:rPr>
          <w:rFonts w:hint="eastAsia"/>
        </w:rPr>
        <w:t xml:space="preserve">NX () </w:t>
      </w:r>
      <w:r>
        <w:rPr>
          <w:rFonts w:hint="eastAsia"/>
        </w:rPr>
        <w:t>和</w:t>
      </w:r>
      <w:r>
        <w:rPr>
          <w:rFonts w:hint="eastAsia"/>
        </w:rPr>
        <w:t xml:space="preserve"> NY () </w:t>
      </w:r>
      <w:r>
        <w:rPr>
          <w:rFonts w:hint="eastAsia"/>
        </w:rPr>
        <w:t>是</w:t>
      </w:r>
      <w:r>
        <w:rPr>
          <w:rFonts w:hint="eastAsia"/>
        </w:rPr>
        <w:t xml:space="preserve">X </w:t>
      </w:r>
      <w:r>
        <w:rPr>
          <w:rFonts w:hint="eastAsia"/>
        </w:rPr>
        <w:t>轴和</w:t>
      </w:r>
      <w:r>
        <w:rPr>
          <w:rFonts w:hint="eastAsia"/>
        </w:rPr>
        <w:t xml:space="preserve"> Y </w:t>
      </w:r>
      <w:r>
        <w:rPr>
          <w:rFonts w:hint="eastAsia"/>
        </w:rPr>
        <w:t>轴的归一化函数。</w:t>
      </w:r>
    </w:p>
    <w:p w14:paraId="2D22AC8C" w14:textId="755BDB83" w:rsidR="00130241" w:rsidRPr="002A1037" w:rsidRDefault="002A1037" w:rsidP="002A1037">
      <w:pPr>
        <w:spacing w:before="480" w:after="480"/>
        <w:ind w:firstLine="420"/>
        <w:jc w:val="center"/>
      </w:pPr>
      <m:oMathPara>
        <m:oMath>
          <m:r>
            <m:rPr>
              <m:sty m:val="p"/>
            </m:rPr>
            <w:rPr>
              <w:rFonts w:ascii="Cambria Math" w:hAnsi="Cambria Math"/>
            </w:rPr>
            <m:t>NX</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x</m:t>
              </m:r>
            </m:num>
            <m:den>
              <m:f>
                <m:fPr>
                  <m:ctrlPr>
                    <w:rPr>
                      <w:rFonts w:ascii="Cambria Math" w:hAnsi="Cambria Math"/>
                      <w:i/>
                    </w:rPr>
                  </m:ctrlPr>
                </m:fPr>
                <m:num>
                  <m:r>
                    <m:rPr>
                      <m:sty m:val="p"/>
                    </m:rPr>
                    <w:rPr>
                      <w:rFonts w:ascii="Cambria Math" w:hAnsi="Cambria Math"/>
                    </w:rPr>
                    <m:t>fx*</m:t>
                  </m:r>
                  <m:d>
                    <m:dPr>
                      <m:ctrlPr>
                        <w:rPr>
                          <w:rFonts w:ascii="Cambria Math" w:hAnsi="Cambria Math"/>
                        </w:rPr>
                      </m:ctrlPr>
                    </m:dPr>
                    <m:e>
                      <m:r>
                        <m:rPr>
                          <m:sty m:val="p"/>
                        </m:rPr>
                        <w:rPr>
                          <w:rFonts w:ascii="Cambria Math" w:hAnsi="Cambria Math"/>
                        </w:rPr>
                        <m:t>W -x˚</m:t>
                      </m:r>
                    </m:e>
                  </m:d>
                  <m:ctrlPr>
                    <w:rPr>
                      <w:rFonts w:ascii="Cambria Math" w:hAnsi="Cambria Math"/>
                    </w:rPr>
                  </m:ctrlPr>
                </m:num>
                <m:den>
                  <m:r>
                    <m:rPr>
                      <m:sty m:val="p"/>
                    </m:rPr>
                    <w:rPr>
                      <w:rFonts w:ascii="Cambria Math" w:hAnsi="Cambria Math"/>
                    </w:rPr>
                    <m:t>fx+</m:t>
                  </m:r>
                  <m:d>
                    <m:dPr>
                      <m:ctrlPr>
                        <w:rPr>
                          <w:rFonts w:ascii="Cambria Math" w:hAnsi="Cambria Math"/>
                        </w:rPr>
                      </m:ctrlPr>
                    </m:dPr>
                    <m:e>
                      <m:r>
                        <m:rPr>
                          <m:sty m:val="p"/>
                        </m:rPr>
                        <w:rPr>
                          <w:rFonts w:ascii="Cambria Math" w:hAnsi="Cambria Math"/>
                        </w:rPr>
                        <m:t>W -x˚</m:t>
                      </m:r>
                    </m:e>
                  </m:d>
                </m:den>
              </m:f>
            </m:den>
          </m:f>
        </m:oMath>
      </m:oMathPara>
    </w:p>
    <w:p w14:paraId="750C76E2" w14:textId="0DE8B037" w:rsidR="002A1037" w:rsidRDefault="002A1037" w:rsidP="002A1037">
      <w:pPr>
        <w:spacing w:before="480" w:after="480"/>
        <w:ind w:firstLine="420"/>
        <w:jc w:val="center"/>
      </w:pPr>
      <m:oMathPara>
        <m:oMath>
          <m:r>
            <m:rPr>
              <m:sty m:val="p"/>
            </m:rPr>
            <w:rPr>
              <w:rFonts w:ascii="Cambria Math" w:hAnsi="Cambria Math"/>
            </w:rPr>
            <m:t>NY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y</m:t>
              </m:r>
            </m:num>
            <m:den>
              <m:f>
                <m:fPr>
                  <m:ctrlPr>
                    <w:rPr>
                      <w:rFonts w:ascii="Cambria Math" w:hAnsi="Cambria Math"/>
                      <w:i/>
                    </w:rPr>
                  </m:ctrlPr>
                </m:fPr>
                <m:num>
                  <m:r>
                    <m:rPr>
                      <m:sty m:val="p"/>
                    </m:rPr>
                    <w:rPr>
                      <w:rFonts w:ascii="Cambria Math" w:hAnsi="Cambria Math"/>
                    </w:rPr>
                    <m:t>fy*</m:t>
                  </m:r>
                  <m:d>
                    <m:dPr>
                      <m:ctrlPr>
                        <w:rPr>
                          <w:rFonts w:ascii="Cambria Math" w:hAnsi="Cambria Math"/>
                        </w:rPr>
                      </m:ctrlPr>
                    </m:dPr>
                    <m:e>
                      <m:r>
                        <m:rPr>
                          <m:sty m:val="p"/>
                        </m:rPr>
                        <w:rPr>
                          <w:rFonts w:ascii="Cambria Math" w:hAnsi="Cambria Math"/>
                        </w:rPr>
                        <m:t>H-y˚</m:t>
                      </m:r>
                    </m:e>
                  </m:d>
                  <m:ctrlPr>
                    <w:rPr>
                      <w:rFonts w:ascii="Cambria Math" w:hAnsi="Cambria Math"/>
                    </w:rPr>
                  </m:ctrlPr>
                </m:num>
                <m:den>
                  <m:r>
                    <m:rPr>
                      <m:sty m:val="p"/>
                    </m:rPr>
                    <w:rPr>
                      <w:rFonts w:ascii="Cambria Math" w:hAnsi="Cambria Math"/>
                    </w:rPr>
                    <m:t>fy+</m:t>
                  </m:r>
                  <m:d>
                    <m:dPr>
                      <m:ctrlPr>
                        <w:rPr>
                          <w:rFonts w:ascii="Cambria Math" w:hAnsi="Cambria Math"/>
                        </w:rPr>
                      </m:ctrlPr>
                    </m:dPr>
                    <m:e>
                      <m:r>
                        <m:rPr>
                          <m:sty m:val="p"/>
                        </m:rPr>
                        <w:rPr>
                          <w:rFonts w:ascii="Cambria Math" w:hAnsi="Cambria Math"/>
                        </w:rPr>
                        <m:t>H-y˚</m:t>
                      </m:r>
                    </m:e>
                  </m:d>
                </m:den>
              </m:f>
            </m:den>
          </m:f>
        </m:oMath>
      </m:oMathPara>
    </w:p>
    <w:p w14:paraId="6C7D6C95" w14:textId="4BE273B8" w:rsidR="00FE33B3" w:rsidRDefault="00130241" w:rsidP="00130241">
      <w:pPr>
        <w:ind w:firstLine="420"/>
      </w:pPr>
      <w:r>
        <w:rPr>
          <w:rFonts w:hint="eastAsia"/>
        </w:rPr>
        <w:t>负坐标像素的等式也</w:t>
      </w:r>
      <w:r w:rsidR="00770CEA">
        <w:rPr>
          <w:rFonts w:hint="eastAsia"/>
        </w:rPr>
        <w:t>同理可得</w:t>
      </w:r>
      <w:r>
        <w:rPr>
          <w:rFonts w:hint="eastAsia"/>
        </w:rPr>
        <w:t>。</w:t>
      </w:r>
    </w:p>
    <w:p w14:paraId="0665D01D" w14:textId="384AD943" w:rsidR="00770CEA" w:rsidRDefault="00770CEA" w:rsidP="00130241">
      <w:pPr>
        <w:ind w:firstLine="420"/>
      </w:pPr>
      <w:r w:rsidRPr="00770CEA">
        <w:rPr>
          <w:rFonts w:hint="eastAsia"/>
        </w:rPr>
        <w:t>在光照通道中，像素着色器使用</w:t>
      </w:r>
      <w:r>
        <w:rPr>
          <w:rFonts w:hint="eastAsia"/>
        </w:rPr>
        <w:t>1</w:t>
      </w:r>
      <w:r>
        <w:rPr>
          <w:rFonts w:hint="eastAsia"/>
        </w:rPr>
        <w:t>号</w:t>
      </w:r>
      <w:r w:rsidRPr="00FE33B3">
        <w:rPr>
          <w:rFonts w:hint="eastAsia"/>
        </w:rPr>
        <w:t>几何缓冲区</w:t>
      </w:r>
      <w:r w:rsidRPr="00770CEA">
        <w:rPr>
          <w:rFonts w:hint="eastAsia"/>
        </w:rPr>
        <w:t>中的信息</w:t>
      </w:r>
      <w:r>
        <w:rPr>
          <w:rFonts w:hint="eastAsia"/>
        </w:rPr>
        <w:t>，</w:t>
      </w:r>
      <w:r w:rsidRPr="00770CEA">
        <w:rPr>
          <w:rFonts w:hint="eastAsia"/>
        </w:rPr>
        <w:t>计算每个像素</w:t>
      </w:r>
      <w:r w:rsidRPr="00770CEA">
        <w:rPr>
          <w:rFonts w:hint="eastAsia"/>
        </w:rPr>
        <w:lastRenderedPageBreak/>
        <w:t>的直接和间接光照，并将结果渲染到</w:t>
      </w:r>
      <w:r>
        <w:rPr>
          <w:rFonts w:hint="eastAsia"/>
        </w:rPr>
        <w:t>2</w:t>
      </w:r>
      <w:r>
        <w:rPr>
          <w:rFonts w:hint="eastAsia"/>
        </w:rPr>
        <w:t>号几何缓冲区</w:t>
      </w:r>
      <w:r w:rsidRPr="00770CEA">
        <w:rPr>
          <w:rFonts w:hint="eastAsia"/>
        </w:rPr>
        <w:t>中。屏幕的宽度（高度）</w:t>
      </w:r>
      <w:r w:rsidR="00725714">
        <w:rPr>
          <w:rFonts w:hint="eastAsia"/>
        </w:rPr>
        <w:t>，</w:t>
      </w:r>
      <w:r w:rsidRPr="00770CEA">
        <w:rPr>
          <w:rFonts w:hint="eastAsia"/>
        </w:rPr>
        <w:t>与</w:t>
      </w:r>
      <w:r w:rsidR="00725714">
        <w:t>1</w:t>
      </w:r>
      <w:r w:rsidR="00725714">
        <w:rPr>
          <w:rFonts w:hint="eastAsia"/>
        </w:rPr>
        <w:t>、</w:t>
      </w:r>
      <w:r w:rsidR="00725714">
        <w:rPr>
          <w:rFonts w:hint="eastAsia"/>
        </w:rPr>
        <w:t>2</w:t>
      </w:r>
      <w:r w:rsidR="00725714">
        <w:rPr>
          <w:rFonts w:hint="eastAsia"/>
        </w:rPr>
        <w:t>号几何</w:t>
      </w:r>
      <w:r w:rsidRPr="00770CEA">
        <w:rPr>
          <w:rFonts w:hint="eastAsia"/>
        </w:rPr>
        <w:t>缓冲区的宽度（高度）之比为σ</w:t>
      </w:r>
      <w:r w:rsidRPr="00770CEA">
        <w:rPr>
          <w:rFonts w:hint="eastAsia"/>
        </w:rPr>
        <w:t xml:space="preserve"> = W</w:t>
      </w:r>
      <w:r>
        <w:t>/</w:t>
      </w:r>
      <w:r w:rsidRPr="00770CEA">
        <w:rPr>
          <w:rFonts w:hint="eastAsia"/>
        </w:rPr>
        <w:t>w = H</w:t>
      </w:r>
      <w:r>
        <w:t>/</w:t>
      </w:r>
      <w:r w:rsidRPr="00770CEA">
        <w:rPr>
          <w:rFonts w:hint="eastAsia"/>
        </w:rPr>
        <w:t>h</w:t>
      </w:r>
      <w:r w:rsidRPr="00770CEA">
        <w:rPr>
          <w:rFonts w:hint="eastAsia"/>
        </w:rPr>
        <w:t>。着色成本与需要着色的像素数量呈线性关系。传统的延迟着色管道会着色</w:t>
      </w:r>
      <w:r w:rsidRPr="00770CEA">
        <w:rPr>
          <w:rFonts w:hint="eastAsia"/>
        </w:rPr>
        <w:t xml:space="preserve"> W </w:t>
      </w:r>
      <w:r w:rsidRPr="00770CEA">
        <w:rPr>
          <w:rFonts w:hint="eastAsia"/>
        </w:rPr>
        <w:t>×</w:t>
      </w:r>
      <w:r w:rsidRPr="00770CEA">
        <w:rPr>
          <w:rFonts w:hint="eastAsia"/>
        </w:rPr>
        <w:t xml:space="preserve"> H </w:t>
      </w:r>
      <w:r w:rsidRPr="00770CEA">
        <w:rPr>
          <w:rFonts w:hint="eastAsia"/>
        </w:rPr>
        <w:t>像素，而</w:t>
      </w:r>
      <w:r w:rsidR="00725714">
        <w:rPr>
          <w:rFonts w:hint="eastAsia"/>
        </w:rPr>
        <w:t>经过像素在矩形内部的映射，本渲染管线</w:t>
      </w:r>
      <w:r w:rsidRPr="00770CEA">
        <w:rPr>
          <w:rFonts w:hint="eastAsia"/>
        </w:rPr>
        <w:t>会着色</w:t>
      </w:r>
      <w:r w:rsidRPr="00770CEA">
        <w:rPr>
          <w:rFonts w:hint="eastAsia"/>
        </w:rPr>
        <w:t xml:space="preserve"> w</w:t>
      </w:r>
      <w:r w:rsidRPr="00770CEA">
        <w:rPr>
          <w:rFonts w:hint="eastAsia"/>
        </w:rPr>
        <w:t>×</w:t>
      </w:r>
      <w:r w:rsidRPr="00770CEA">
        <w:rPr>
          <w:rFonts w:hint="eastAsia"/>
        </w:rPr>
        <w:t xml:space="preserve">h </w:t>
      </w:r>
      <w:r w:rsidRPr="00770CEA">
        <w:rPr>
          <w:rFonts w:hint="eastAsia"/>
        </w:rPr>
        <w:t>像素。因此，</w:t>
      </w:r>
      <w:r w:rsidRPr="00770CEA">
        <w:rPr>
          <w:rFonts w:hint="eastAsia"/>
        </w:rPr>
        <w:t xml:space="preserve">RMFR </w:t>
      </w:r>
      <w:r w:rsidRPr="00770CEA">
        <w:rPr>
          <w:rFonts w:hint="eastAsia"/>
        </w:rPr>
        <w:t>在着色步骤中的理论提速</w:t>
      </w:r>
      <w:r w:rsidRPr="00770CEA">
        <w:rPr>
          <w:rFonts w:hint="eastAsia"/>
        </w:rPr>
        <w:t xml:space="preserve"> S </w:t>
      </w:r>
      <w:r w:rsidRPr="00770CEA">
        <w:rPr>
          <w:rFonts w:hint="eastAsia"/>
        </w:rPr>
        <w:t>为</w:t>
      </w:r>
    </w:p>
    <w:p w14:paraId="11802304" w14:textId="7BCC1948" w:rsidR="000E3B24" w:rsidRPr="000E3B24" w:rsidRDefault="000E3B24" w:rsidP="000E3B24">
      <w:pPr>
        <w:ind w:firstLine="420"/>
        <w:jc w:val="center"/>
        <w:rPr>
          <w:rStyle w:val="ab"/>
          <w:color w:val="auto"/>
        </w:rPr>
      </w:pPr>
      <m:oMathPara>
        <m:oMath>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W*H</m:t>
              </m:r>
            </m:num>
            <m:den>
              <m:r>
                <w:rPr>
                  <w:rFonts w:ascii="Cambria Math" w:hAnsi="Cambria Math"/>
                </w:rPr>
                <m:t>w*h</m:t>
              </m:r>
            </m:den>
          </m:f>
          <m:r>
            <w:rPr>
              <w:rStyle w:val="ab"/>
              <w:rFonts w:ascii="Cambria Math" w:hAnsi="Cambria Math"/>
              <w:color w:val="auto"/>
            </w:rPr>
            <m:t>=</m:t>
          </m:r>
          <m:sSup>
            <m:sSupPr>
              <m:ctrlPr>
                <w:rPr>
                  <w:rStyle w:val="ab"/>
                  <w:rFonts w:ascii="Cambria Math" w:hAnsi="Cambria Math"/>
                  <w:i/>
                  <w:color w:val="auto"/>
                </w:rPr>
              </m:ctrlPr>
            </m:sSupPr>
            <m:e>
              <m:r>
                <w:rPr>
                  <w:rStyle w:val="ab"/>
                  <w:rFonts w:ascii="Cambria Math" w:hAnsi="Cambria Math" w:hint="eastAsia"/>
                  <w:color w:val="auto"/>
                </w:rPr>
                <m:t>σ</m:t>
              </m:r>
            </m:e>
            <m:sup>
              <m:r>
                <w:rPr>
                  <w:rStyle w:val="ab"/>
                  <w:rFonts w:ascii="Cambria Math" w:hAnsi="Cambria Math"/>
                  <w:color w:val="auto"/>
                </w:rPr>
                <m:t>2</m:t>
              </m:r>
            </m:sup>
          </m:sSup>
        </m:oMath>
      </m:oMathPara>
    </w:p>
    <w:p w14:paraId="1D730FDD" w14:textId="5DB3CB83" w:rsidR="000E3B24" w:rsidRDefault="000E3B24" w:rsidP="000E3B24">
      <w:pPr>
        <w:ind w:firstLine="420"/>
        <w:jc w:val="left"/>
        <w:rPr>
          <w:rStyle w:val="ab"/>
          <w:color w:val="auto"/>
        </w:rPr>
      </w:pPr>
      <w:r w:rsidRPr="000E3B24">
        <w:rPr>
          <w:rStyle w:val="ab"/>
          <w:rFonts w:hint="eastAsia"/>
          <w:color w:val="auto"/>
        </w:rPr>
        <w:t>最后，渲染器将</w:t>
      </w:r>
      <w:r>
        <w:rPr>
          <w:rStyle w:val="ab"/>
          <w:color w:val="auto"/>
        </w:rPr>
        <w:t>2</w:t>
      </w:r>
      <w:r>
        <w:rPr>
          <w:rStyle w:val="ab"/>
          <w:rFonts w:hint="eastAsia"/>
          <w:color w:val="auto"/>
        </w:rPr>
        <w:t>号几何</w:t>
      </w:r>
      <w:r w:rsidRPr="000E3B24">
        <w:rPr>
          <w:rStyle w:val="ab"/>
          <w:rFonts w:hint="eastAsia"/>
          <w:color w:val="auto"/>
        </w:rPr>
        <w:t>缓冲区中的渲染场景映射到全分辨率屏幕上，这正是上述过程的逆过程。具体来说，</w:t>
      </w:r>
      <w:r>
        <w:rPr>
          <w:rStyle w:val="ab"/>
          <w:color w:val="auto"/>
        </w:rPr>
        <w:t>2</w:t>
      </w:r>
      <w:r>
        <w:rPr>
          <w:rStyle w:val="ab"/>
          <w:rFonts w:hint="eastAsia"/>
          <w:color w:val="auto"/>
        </w:rPr>
        <w:t>号几何</w:t>
      </w:r>
      <w:r w:rsidRPr="000E3B24">
        <w:rPr>
          <w:rStyle w:val="ab"/>
          <w:rFonts w:hint="eastAsia"/>
          <w:color w:val="auto"/>
        </w:rPr>
        <w:t>缓冲区中坐标为（</w:t>
      </w:r>
      <w:r w:rsidRPr="000E3B24">
        <w:rPr>
          <w:rStyle w:val="ab"/>
          <w:rFonts w:hint="eastAsia"/>
          <w:color w:val="auto"/>
        </w:rPr>
        <w:t>u, v</w:t>
      </w:r>
      <w:r w:rsidRPr="000E3B24">
        <w:rPr>
          <w:rStyle w:val="ab"/>
          <w:rFonts w:hint="eastAsia"/>
          <w:color w:val="auto"/>
        </w:rPr>
        <w:t>）的像素通过</w:t>
      </w:r>
      <w:r>
        <w:rPr>
          <w:rStyle w:val="ab"/>
          <w:rFonts w:hint="eastAsia"/>
          <w:color w:val="auto"/>
        </w:rPr>
        <w:t>下面的</w:t>
      </w:r>
      <w:r w:rsidRPr="000E3B24">
        <w:rPr>
          <w:rStyle w:val="ab"/>
          <w:rFonts w:hint="eastAsia"/>
          <w:color w:val="auto"/>
        </w:rPr>
        <w:t>公式转换回笛卡尔坐标中的（</w:t>
      </w:r>
      <w:r w:rsidRPr="000E3B24">
        <w:rPr>
          <w:rStyle w:val="ab"/>
          <w:rFonts w:hint="eastAsia"/>
          <w:color w:val="auto"/>
        </w:rPr>
        <w:t>x, y</w:t>
      </w:r>
      <w:r w:rsidRPr="000E3B24">
        <w:rPr>
          <w:rStyle w:val="ab"/>
          <w:rFonts w:hint="eastAsia"/>
          <w:color w:val="auto"/>
        </w:rPr>
        <w:t>）。</w:t>
      </w:r>
    </w:p>
    <w:p w14:paraId="0DBF962A" w14:textId="192971F7" w:rsidR="000E3B24" w:rsidRPr="005D5D8A" w:rsidRDefault="00000000" w:rsidP="005D5D8A">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hint="eastAsia"/>
                  <w:color w:val="auto"/>
                </w:rPr>
                <m:t>x</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num>
            <m:den>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den>
          </m:f>
        </m:oMath>
      </m:oMathPara>
    </w:p>
    <w:p w14:paraId="2F545CFC" w14:textId="05CFB854" w:rsidR="005D5D8A" w:rsidRPr="005D5D8A" w:rsidRDefault="00000000" w:rsidP="005D5D8A">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color w:val="auto"/>
                </w:rPr>
                <m:t>y</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num>
            <m:den>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den>
          </m:f>
        </m:oMath>
      </m:oMathPara>
    </w:p>
    <w:p w14:paraId="50298E33" w14:textId="25704E16" w:rsidR="005D5D8A" w:rsidRDefault="005D5D8A" w:rsidP="005D5D8A">
      <w:pPr>
        <w:ind w:firstLine="420"/>
        <w:jc w:val="left"/>
        <w:rPr>
          <w:rStyle w:val="ab"/>
          <w:color w:val="auto"/>
        </w:rPr>
      </w:pPr>
      <w:r>
        <w:rPr>
          <w:rStyle w:val="ab"/>
          <w:rFonts w:hint="eastAsia"/>
          <w:color w:val="auto"/>
        </w:rPr>
        <w:t>此时</w:t>
      </w:r>
      <w:r>
        <w:rPr>
          <w:rStyle w:val="ab"/>
          <w:rFonts w:hint="eastAsia"/>
          <w:color w:val="auto"/>
        </w:rPr>
        <w:t>NU(</w:t>
      </w:r>
      <w:r>
        <w:rPr>
          <w:rStyle w:val="ab"/>
          <w:color w:val="auto"/>
        </w:rPr>
        <w:t>)</w:t>
      </w:r>
      <w:r>
        <w:rPr>
          <w:rStyle w:val="ab"/>
          <w:rFonts w:hint="eastAsia"/>
          <w:color w:val="auto"/>
        </w:rPr>
        <w:t>和</w:t>
      </w:r>
      <w:r>
        <w:rPr>
          <w:rStyle w:val="ab"/>
          <w:rFonts w:hint="eastAsia"/>
          <w:color w:val="auto"/>
        </w:rPr>
        <w:t>NV</w:t>
      </w:r>
      <w:r>
        <w:rPr>
          <w:rStyle w:val="ab"/>
          <w:color w:val="auto"/>
        </w:rPr>
        <w:t>()</w:t>
      </w:r>
      <w:r>
        <w:rPr>
          <w:rStyle w:val="ab"/>
          <w:rFonts w:hint="eastAsia"/>
          <w:color w:val="auto"/>
        </w:rPr>
        <w:t>的定义如下：</w:t>
      </w:r>
    </w:p>
    <w:p w14:paraId="50B9AC32" w14:textId="73063DB5" w:rsidR="005D5D8A" w:rsidRPr="005D5D8A" w:rsidRDefault="005D5D8A" w:rsidP="005D5D8A">
      <w:pPr>
        <w:spacing w:before="720" w:after="720"/>
        <w:ind w:firstLine="420"/>
        <w:jc w:val="center"/>
        <w:rPr>
          <w:rStyle w:val="ab"/>
          <w:color w:val="auto"/>
        </w:rPr>
      </w:pPr>
      <m:oMathPara>
        <m:oMath>
          <m:r>
            <w:rPr>
              <w:rStyle w:val="ab"/>
              <w:rFonts w:ascii="Cambria Math" w:hAnsi="Cambria Math" w:hint="eastAsia"/>
              <w:color w:val="auto"/>
            </w:rPr>
            <m:t>NU</m:t>
          </m:r>
          <m:d>
            <m:dPr>
              <m:ctrlPr>
                <w:rPr>
                  <w:rStyle w:val="ab"/>
                  <w:rFonts w:ascii="Cambria Math" w:hAnsi="Cambria Math"/>
                  <w:i/>
                  <w:color w:val="auto"/>
                </w:rPr>
              </m:ctrlPr>
            </m:dPr>
            <m:e>
              <m:r>
                <w:rPr>
                  <w:rStyle w:val="ab"/>
                  <w:rFonts w:ascii="Cambria Math" w:hAnsi="Cambria Math"/>
                  <w:color w:val="auto"/>
                </w:rPr>
                <m:t>u</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u-</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r>
                <w:rPr>
                  <w:rStyle w:val="ab"/>
                  <w:rFonts w:ascii="Cambria Math" w:hAnsi="Cambria Math"/>
                  <w:color w:val="auto"/>
                </w:rPr>
                <m:t>*w</m:t>
              </m:r>
            </m:num>
            <m:den>
              <m:r>
                <w:rPr>
                  <w:rStyle w:val="ab"/>
                  <w:rFonts w:ascii="Cambria Math" w:hAnsi="Cambria Math"/>
                  <w:color w:val="auto"/>
                </w:rPr>
                <m:t>w</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num>
            <m:den>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den>
          </m:f>
        </m:oMath>
      </m:oMathPara>
    </w:p>
    <w:p w14:paraId="2DD8736E" w14:textId="4FE7D4C5" w:rsidR="005D5D8A" w:rsidRPr="005D5D8A" w:rsidRDefault="005D5D8A" w:rsidP="005D5D8A">
      <w:pPr>
        <w:spacing w:before="960" w:after="720"/>
        <w:ind w:firstLine="420"/>
        <w:jc w:val="center"/>
        <w:rPr>
          <w:rStyle w:val="ab"/>
          <w:color w:val="auto"/>
        </w:rPr>
      </w:pPr>
      <m:oMathPara>
        <m:oMath>
          <m:r>
            <w:rPr>
              <w:rStyle w:val="ab"/>
              <w:rFonts w:ascii="Cambria Math" w:hAnsi="Cambria Math" w:hint="eastAsia"/>
              <w:color w:val="auto"/>
            </w:rPr>
            <m:t>N</m:t>
          </m:r>
          <m:r>
            <w:rPr>
              <w:rStyle w:val="ab"/>
              <w:rFonts w:ascii="Cambria Math" w:hAnsi="Cambria Math"/>
              <w:color w:val="auto"/>
            </w:rPr>
            <m:t>V</m:t>
          </m:r>
          <m:d>
            <m:dPr>
              <m:ctrlPr>
                <w:rPr>
                  <w:rStyle w:val="ab"/>
                  <w:rFonts w:ascii="Cambria Math" w:hAnsi="Cambria Math"/>
                  <w:i/>
                  <w:color w:val="auto"/>
                </w:rPr>
              </m:ctrlPr>
            </m:dPr>
            <m:e>
              <m:r>
                <w:rPr>
                  <w:rStyle w:val="ab"/>
                  <w:rFonts w:ascii="Cambria Math" w:hAnsi="Cambria Math"/>
                  <w:color w:val="auto"/>
                </w:rPr>
                <m:t>v</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v-</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r>
                <w:rPr>
                  <w:rStyle w:val="ab"/>
                  <w:rFonts w:ascii="Cambria Math" w:hAnsi="Cambria Math"/>
                  <w:color w:val="auto"/>
                </w:rPr>
                <m:t>*h</m:t>
              </m:r>
            </m:num>
            <m:den>
              <m:r>
                <w:rPr>
                  <w:rStyle w:val="ab"/>
                  <w:rFonts w:ascii="Cambria Math" w:hAnsi="Cambria Math"/>
                  <w:color w:val="auto"/>
                </w:rPr>
                <m:t>h</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num>
            <m:den>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den>
          </m:f>
        </m:oMath>
      </m:oMathPara>
    </w:p>
    <w:p w14:paraId="63D0260C" w14:textId="77777777" w:rsidR="005D5D8A" w:rsidRPr="005D5D8A" w:rsidRDefault="005D5D8A" w:rsidP="00047728">
      <w:pPr>
        <w:ind w:firstLine="420"/>
        <w:jc w:val="left"/>
        <w:rPr>
          <w:rStyle w:val="ab"/>
          <w:color w:val="auto"/>
        </w:rPr>
      </w:pPr>
    </w:p>
    <w:p w14:paraId="2211B326" w14:textId="77777777" w:rsidR="005D5D8A" w:rsidRPr="005D5D8A" w:rsidRDefault="005D5D8A" w:rsidP="00047728">
      <w:pPr>
        <w:ind w:firstLine="420"/>
        <w:jc w:val="left"/>
        <w:rPr>
          <w:rStyle w:val="ab"/>
          <w:color w:val="auto"/>
        </w:rPr>
      </w:pPr>
    </w:p>
    <w:p w14:paraId="41D1AA30" w14:textId="77777777" w:rsidR="005D5D8A" w:rsidRPr="005D5D8A" w:rsidRDefault="005D5D8A" w:rsidP="005D5D8A">
      <w:pPr>
        <w:ind w:firstLine="420"/>
        <w:jc w:val="left"/>
        <w:rPr>
          <w:rStyle w:val="ab"/>
          <w:color w:val="auto"/>
        </w:rPr>
      </w:pPr>
    </w:p>
    <w:p w14:paraId="3DF77F53" w14:textId="1F304941" w:rsidR="00655C8F" w:rsidRDefault="00655C8F" w:rsidP="00655C8F">
      <w:pPr>
        <w:pStyle w:val="2"/>
      </w:pPr>
      <w:bookmarkStart w:id="29" w:name="_Toc149754974"/>
      <w:r>
        <w:rPr>
          <w:rFonts w:hint="eastAsia"/>
        </w:rPr>
        <w:lastRenderedPageBreak/>
        <w:t>3.</w:t>
      </w:r>
      <w:r>
        <w:t xml:space="preserve">2 </w:t>
      </w:r>
      <w:r>
        <w:rPr>
          <w:rFonts w:hint="eastAsia"/>
        </w:rPr>
        <w:t>矩形</w:t>
      </w:r>
      <w:r w:rsidR="003203CA">
        <w:rPr>
          <w:rFonts w:hint="eastAsia"/>
        </w:rPr>
        <w:t>与</w:t>
      </w:r>
      <w:r>
        <w:rPr>
          <w:rFonts w:hint="eastAsia"/>
        </w:rPr>
        <w:t>圆盘</w:t>
      </w:r>
      <w:r w:rsidR="003203CA">
        <w:rPr>
          <w:rFonts w:hint="eastAsia"/>
        </w:rPr>
        <w:t>的区域</w:t>
      </w:r>
      <w:r>
        <w:rPr>
          <w:rFonts w:hint="eastAsia"/>
        </w:rPr>
        <w:t>映射</w:t>
      </w:r>
      <w:bookmarkEnd w:id="29"/>
    </w:p>
    <w:p w14:paraId="7E4A54A5" w14:textId="61482B8B" w:rsidR="003203CA" w:rsidRDefault="003203CA" w:rsidP="003203CA">
      <w:pPr>
        <w:pStyle w:val="3"/>
      </w:pPr>
      <w:bookmarkStart w:id="30" w:name="_Toc149754975"/>
      <w:r>
        <w:rPr>
          <w:rFonts w:hint="eastAsia"/>
        </w:rPr>
        <w:t>3.</w:t>
      </w:r>
      <w:r>
        <w:t>2</w:t>
      </w:r>
      <w:r>
        <w:rPr>
          <w:rFonts w:hint="eastAsia"/>
        </w:rPr>
        <w:t>.</w:t>
      </w:r>
      <w:r>
        <w:t xml:space="preserve">1 </w:t>
      </w:r>
      <w:r w:rsidR="00E30626">
        <w:rPr>
          <w:rFonts w:hint="eastAsia"/>
        </w:rPr>
        <w:t>矩形内部映射存在的问题</w:t>
      </w:r>
      <w:bookmarkEnd w:id="30"/>
    </w:p>
    <w:p w14:paraId="1F049BA6" w14:textId="77777777" w:rsidR="00BC6214" w:rsidRDefault="005E08D7" w:rsidP="005E08D7">
      <w:r>
        <w:tab/>
      </w:r>
      <w:r>
        <w:rPr>
          <w:rFonts w:hint="eastAsia"/>
        </w:rPr>
        <w:t>上一节中的矩形内部映射，有若干出色的性质。其可以有效地将</w:t>
      </w:r>
      <w:r>
        <w:rPr>
          <w:rFonts w:hint="eastAsia"/>
        </w:rPr>
        <w:t>XY</w:t>
      </w:r>
      <w:r>
        <w:rPr>
          <w:rFonts w:hint="eastAsia"/>
        </w:rPr>
        <w:t>轴的操作解耦。因为其图像变换具有一定的保角性，可以很大程度上的避免锯齿的产生。</w:t>
      </w:r>
    </w:p>
    <w:p w14:paraId="07C66C13" w14:textId="0A947B91" w:rsidR="00BC6214" w:rsidRDefault="00BC6214" w:rsidP="00BC6214">
      <w:pPr>
        <w:ind w:firstLine="420"/>
      </w:pPr>
      <w:r>
        <w:rPr>
          <w:noProof/>
        </w:rPr>
        <w:drawing>
          <wp:anchor distT="0" distB="0" distL="114300" distR="114300" simplePos="0" relativeHeight="251648000" behindDoc="0" locked="0" layoutInCell="1" allowOverlap="1" wp14:anchorId="552C61ED" wp14:editId="44A90401">
            <wp:simplePos x="0" y="0"/>
            <wp:positionH relativeFrom="column">
              <wp:posOffset>1005803</wp:posOffset>
            </wp:positionH>
            <wp:positionV relativeFrom="paragraph">
              <wp:posOffset>1949803</wp:posOffset>
            </wp:positionV>
            <wp:extent cx="3545840" cy="3107690"/>
            <wp:effectExtent l="0" t="0" r="0" b="0"/>
            <wp:wrapTopAndBottom/>
            <wp:docPr id="262189562" name="图片 6"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9562" name="图片 6" descr="图表, 表面图&#10;&#10;描述已自动生成"/>
                    <pic:cNvPicPr/>
                  </pic:nvPicPr>
                  <pic:blipFill rotWithShape="1">
                    <a:blip r:embed="rId8">
                      <a:extLst>
                        <a:ext uri="{28A0092B-C50C-407E-A947-70E740481C1C}">
                          <a14:useLocalDpi xmlns:a14="http://schemas.microsoft.com/office/drawing/2010/main" val="0"/>
                        </a:ext>
                      </a:extLst>
                    </a:blip>
                    <a:srcRect l="21849" t="15097" r="10910" b="6335"/>
                    <a:stretch/>
                  </pic:blipFill>
                  <pic:spPr bwMode="auto">
                    <a:xfrm>
                      <a:off x="0" y="0"/>
                      <a:ext cx="3545840" cy="310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8D7">
        <w:rPr>
          <w:rFonts w:hint="eastAsia"/>
        </w:rPr>
        <w:t>但是如果研究其变换后的图像，对原图像像素的采样密度。则会发现，相比于缓冲区的对角线方向，其在</w:t>
      </w:r>
      <w:r w:rsidR="005E08D7">
        <w:rPr>
          <w:rFonts w:hint="eastAsia"/>
        </w:rPr>
        <w:t>XY</w:t>
      </w:r>
      <w:r w:rsidR="005E08D7">
        <w:rPr>
          <w:rFonts w:hint="eastAsia"/>
        </w:rPr>
        <w:t>轴方向上有明显的过采样现象。</w:t>
      </w:r>
      <w:r>
        <w:rPr>
          <w:rFonts w:hint="eastAsia"/>
        </w:rPr>
        <w:t>如果我们在几何缓冲区上画一个以注视点为圆心的圆，作为辅助线。可以计算得出相同的偏心率</w:t>
      </w:r>
      <w:r w:rsidR="00E30626">
        <w:rPr>
          <w:rFonts w:hint="eastAsia"/>
        </w:rPr>
        <w:t>、相同的</w:t>
      </w:r>
      <w:r w:rsidR="00E30626">
        <w:rPr>
          <w:rFonts w:hint="eastAsia"/>
        </w:rPr>
        <w:t>fx</w:t>
      </w:r>
      <w:r w:rsidR="00E30626">
        <w:rPr>
          <w:rFonts w:hint="eastAsia"/>
        </w:rPr>
        <w:t>与</w:t>
      </w:r>
      <w:r w:rsidR="00E30626">
        <w:rPr>
          <w:rFonts w:hint="eastAsia"/>
        </w:rPr>
        <w:t>fy</w:t>
      </w:r>
      <w:r>
        <w:rPr>
          <w:rFonts w:hint="eastAsia"/>
        </w:rPr>
        <w:t>下，</w:t>
      </w:r>
      <w:r>
        <w:rPr>
          <w:rFonts w:hint="eastAsia"/>
        </w:rPr>
        <w:t>XY</w:t>
      </w:r>
      <w:r>
        <w:rPr>
          <w:rFonts w:hint="eastAsia"/>
        </w:rPr>
        <w:t>轴向的采样密度为</w:t>
      </w:r>
      <w:r>
        <w:rPr>
          <w:rFonts w:hint="eastAsia"/>
        </w:rPr>
        <w:t>0.</w:t>
      </w:r>
      <w:r>
        <w:t>6</w:t>
      </w:r>
      <w:r>
        <w:rPr>
          <w:rFonts w:hint="eastAsia"/>
        </w:rPr>
        <w:t>，而</w:t>
      </w:r>
      <w:r w:rsidR="00E30626">
        <w:rPr>
          <w:rFonts w:hint="eastAsia"/>
        </w:rPr>
        <w:t>对角线方向的采样密度为</w:t>
      </w:r>
      <w:r w:rsidR="00E30626">
        <w:rPr>
          <w:rFonts w:hint="eastAsia"/>
        </w:rPr>
        <w:t>0.</w:t>
      </w:r>
      <w:r w:rsidR="00E30626">
        <w:t>29</w:t>
      </w:r>
      <w:r w:rsidR="00E30626">
        <w:rPr>
          <w:rFonts w:hint="eastAsia"/>
        </w:rPr>
        <w:t>。这样的各向异性显然与任何一种视觉敏锐度都是不相符的，势必会因为局部过采样，导致全局的无效计算变多。</w:t>
      </w:r>
    </w:p>
    <w:p w14:paraId="72147FCD" w14:textId="355E0754" w:rsidR="00BC6214" w:rsidRDefault="00E30626" w:rsidP="00BC6214">
      <w:pPr>
        <w:ind w:firstLine="420"/>
        <w:jc w:val="center"/>
      </w:pPr>
      <w:r>
        <w:rPr>
          <w:rFonts w:hint="eastAsia"/>
        </w:rPr>
        <w:t>图：</w:t>
      </w:r>
      <w:r w:rsidR="00BC6214">
        <w:rPr>
          <w:rFonts w:hint="eastAsia"/>
        </w:rPr>
        <w:t>矩形内部映射后愿图像像素的采样密度（临时）</w:t>
      </w:r>
    </w:p>
    <w:p w14:paraId="62C753B8" w14:textId="74276592" w:rsidR="00BC6214" w:rsidRDefault="00E30626" w:rsidP="00BC6214">
      <w:pPr>
        <w:ind w:firstLine="420"/>
      </w:pPr>
      <w:r>
        <w:rPr>
          <w:noProof/>
        </w:rPr>
        <w:lastRenderedPageBreak/>
        <w:drawing>
          <wp:anchor distT="0" distB="0" distL="114300" distR="114300" simplePos="0" relativeHeight="251656192" behindDoc="0" locked="0" layoutInCell="1" allowOverlap="1" wp14:anchorId="3347B72A" wp14:editId="4C6A18CC">
            <wp:simplePos x="0" y="0"/>
            <wp:positionH relativeFrom="column">
              <wp:posOffset>789940</wp:posOffset>
            </wp:positionH>
            <wp:positionV relativeFrom="paragraph">
              <wp:posOffset>368300</wp:posOffset>
            </wp:positionV>
            <wp:extent cx="3990340" cy="2167255"/>
            <wp:effectExtent l="0" t="0" r="0" b="0"/>
            <wp:wrapTopAndBottom/>
            <wp:docPr id="93744023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0234" name="图片 1" descr="图示, 示意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990340" cy="2167255"/>
                    </a:xfrm>
                    <a:prstGeom prst="rect">
                      <a:avLst/>
                    </a:prstGeom>
                  </pic:spPr>
                </pic:pic>
              </a:graphicData>
            </a:graphic>
            <wp14:sizeRelH relativeFrom="margin">
              <wp14:pctWidth>0</wp14:pctWidth>
            </wp14:sizeRelH>
            <wp14:sizeRelV relativeFrom="margin">
              <wp14:pctHeight>0</wp14:pctHeight>
            </wp14:sizeRelV>
          </wp:anchor>
        </w:drawing>
      </w:r>
    </w:p>
    <w:p w14:paraId="1FECCC7C" w14:textId="3D4417D7" w:rsidR="00BC6214" w:rsidRDefault="00E30626" w:rsidP="00E30626">
      <w:pPr>
        <w:ind w:firstLine="420"/>
        <w:jc w:val="center"/>
      </w:pPr>
      <w:r>
        <w:rPr>
          <w:rFonts w:hint="eastAsia"/>
        </w:rPr>
        <w:t>图：人眼的视觉敏锐度模型</w:t>
      </w:r>
    </w:p>
    <w:p w14:paraId="7E29CD38" w14:textId="3DBC3992" w:rsidR="00E30626" w:rsidRDefault="00E30626" w:rsidP="00E30626">
      <w:pPr>
        <w:pStyle w:val="3"/>
      </w:pPr>
      <w:bookmarkStart w:id="31" w:name="_Toc149754976"/>
      <w:r>
        <w:rPr>
          <w:rFonts w:hint="eastAsia"/>
        </w:rPr>
        <w:t>3.</w:t>
      </w:r>
      <w:r>
        <w:t>2</w:t>
      </w:r>
      <w:r>
        <w:rPr>
          <w:rFonts w:hint="eastAsia"/>
        </w:rPr>
        <w:t>.</w:t>
      </w:r>
      <w:r>
        <w:t>2</w:t>
      </w:r>
      <w:r>
        <w:rPr>
          <w:rFonts w:hint="eastAsia"/>
        </w:rPr>
        <w:t>矩形</w:t>
      </w:r>
      <w:r w:rsidR="009E082E">
        <w:rPr>
          <w:rFonts w:hint="eastAsia"/>
        </w:rPr>
        <w:t>-</w:t>
      </w:r>
      <w:r>
        <w:rPr>
          <w:rFonts w:hint="eastAsia"/>
        </w:rPr>
        <w:t>圆盘映射的作用与所需性质</w:t>
      </w:r>
      <w:bookmarkEnd w:id="31"/>
    </w:p>
    <w:p w14:paraId="7FFD004E" w14:textId="1F16836A" w:rsidR="001F5AA4" w:rsidRDefault="001F5AA4" w:rsidP="001F5AA4">
      <w:pPr>
        <w:ind w:firstLine="420"/>
      </w:pPr>
      <w:r>
        <w:rPr>
          <w:rFonts w:hint="eastAsia"/>
        </w:rPr>
        <w:t>为了取得更好的效果，并且保持矩形内部映射的良好性质，本文的解决方法是，加入一个矩形</w:t>
      </w:r>
      <w:r w:rsidR="009E082E">
        <w:rPr>
          <w:rFonts w:hint="eastAsia"/>
        </w:rPr>
        <w:t>-</w:t>
      </w:r>
      <w:r>
        <w:rPr>
          <w:rFonts w:hint="eastAsia"/>
        </w:rPr>
        <w:t>圆盘映射的中间模块，使变换后的几何缓冲区的采样密度，更符合真实人眼的视觉敏锐度。</w:t>
      </w:r>
    </w:p>
    <w:p w14:paraId="6F39E189" w14:textId="400F7C88" w:rsidR="003203CA" w:rsidRDefault="001F5AA4" w:rsidP="00E63766">
      <w:r>
        <w:tab/>
      </w:r>
      <w:r w:rsidR="009E082E">
        <w:rPr>
          <w:rFonts w:hint="eastAsia"/>
        </w:rPr>
        <w:t>矩形</w:t>
      </w:r>
      <w:r w:rsidR="009E082E">
        <w:rPr>
          <w:rFonts w:hint="eastAsia"/>
        </w:rPr>
        <w:t>-</w:t>
      </w:r>
      <w:r w:rsidR="009E082E">
        <w:rPr>
          <w:rFonts w:hint="eastAsia"/>
        </w:rPr>
        <w:t>圆盘映射，指的是正方形区域和圆盘区域的正向和逆向映射，在渲染管线中的体现是，几何缓冲区在矩形内部映射结束后，进行一次正向的矩形</w:t>
      </w:r>
      <w:r w:rsidR="009E082E">
        <w:rPr>
          <w:rFonts w:hint="eastAsia"/>
        </w:rPr>
        <w:t>-</w:t>
      </w:r>
      <w:r w:rsidR="009E082E">
        <w:rPr>
          <w:rFonts w:hint="eastAsia"/>
        </w:rPr>
        <w:t>圆盘映射。在着色阶段完成后，矩形内部映射前，再进行一次逆向的矩形</w:t>
      </w:r>
      <w:r w:rsidR="009E082E">
        <w:rPr>
          <w:rFonts w:hint="eastAsia"/>
        </w:rPr>
        <w:t>-</w:t>
      </w:r>
      <w:r w:rsidR="009E082E">
        <w:rPr>
          <w:rFonts w:hint="eastAsia"/>
        </w:rPr>
        <w:t>圆盘映射。因为着色器的处理单元是有待变换的每一个像素，所以，我们用关于</w:t>
      </w:r>
      <w:r w:rsidR="009E082E">
        <w:rPr>
          <w:rFonts w:hint="eastAsia"/>
        </w:rPr>
        <w:t>x</w:t>
      </w:r>
      <w:r w:rsidR="009E082E">
        <w:rPr>
          <w:rFonts w:hint="eastAsia"/>
        </w:rPr>
        <w:t>、</w:t>
      </w:r>
      <w:r w:rsidR="009E082E">
        <w:t>y</w:t>
      </w:r>
      <w:r w:rsidR="009E082E">
        <w:rPr>
          <w:rFonts w:hint="eastAsia"/>
        </w:rPr>
        <w:t>、</w:t>
      </w:r>
      <w:r w:rsidR="009E082E">
        <w:t>u</w:t>
      </w:r>
      <w:r w:rsidR="009E082E">
        <w:rPr>
          <w:rFonts w:hint="eastAsia"/>
        </w:rPr>
        <w:t>、</w:t>
      </w:r>
      <w:r w:rsidR="009E082E">
        <w:t>v</w:t>
      </w:r>
      <w:r w:rsidR="009E082E">
        <w:rPr>
          <w:rFonts w:hint="eastAsia"/>
        </w:rPr>
        <w:t>的解析表达式来描述，圆盘上的点</w:t>
      </w:r>
      <w:r w:rsidR="009E082E">
        <w:rPr>
          <w:rFonts w:hint="eastAsia"/>
        </w:rPr>
        <w:t>(</w:t>
      </w:r>
      <w:r w:rsidR="009E082E">
        <w:t>u,v)</w:t>
      </w:r>
      <w:r w:rsidR="009E082E">
        <w:rPr>
          <w:rFonts w:hint="eastAsia"/>
        </w:rPr>
        <w:t>是如何被映射到正方形区域上的点</w:t>
      </w:r>
      <w:r w:rsidR="009E082E">
        <w:t>(x,y)</w:t>
      </w:r>
      <w:r w:rsidR="009E082E">
        <w:rPr>
          <w:rFonts w:hint="eastAsia"/>
        </w:rPr>
        <w:t>的。</w:t>
      </w:r>
    </w:p>
    <w:p w14:paraId="5ADA18CA" w14:textId="565F833A" w:rsidR="0043734E" w:rsidRDefault="009E082E" w:rsidP="00B00BA4">
      <w:r>
        <w:tab/>
      </w:r>
      <w:r>
        <w:rPr>
          <w:rFonts w:hint="eastAsia"/>
        </w:rPr>
        <w:t>使用这个模块，</w:t>
      </w:r>
      <w:r w:rsidR="0043734E">
        <w:rPr>
          <w:rFonts w:hint="eastAsia"/>
        </w:rPr>
        <w:t>需要先讨论</w:t>
      </w:r>
      <w:r>
        <w:rPr>
          <w:rFonts w:hint="eastAsia"/>
        </w:rPr>
        <w:t>一些特性</w:t>
      </w:r>
      <w:r w:rsidR="0043734E">
        <w:rPr>
          <w:rFonts w:hint="eastAsia"/>
        </w:rPr>
        <w:t>。在我们的映射中，我们希望尽量与原图相似，减少图像扭曲。微分几何中有两个度量标准是形状失真和尺寸失真。形状失真以变换前后的局部角度变化来衡量，而尺寸失真以变换前后的局部面积变化来衡量。在微分几何术语中，保持角度的变换特性成为</w:t>
      </w:r>
      <w:r>
        <w:rPr>
          <w:rFonts w:hint="eastAsia"/>
        </w:rPr>
        <w:t>保角性（</w:t>
      </w:r>
      <w:r w:rsidRPr="009E082E">
        <w:t>conformal</w:t>
      </w:r>
      <w:r>
        <w:rPr>
          <w:rFonts w:hint="eastAsia"/>
        </w:rPr>
        <w:t>）</w:t>
      </w:r>
      <w:r w:rsidR="0043734E">
        <w:rPr>
          <w:rFonts w:hint="eastAsia"/>
        </w:rPr>
        <w:t>，保持尺寸的变换特性称为</w:t>
      </w:r>
      <w:r>
        <w:rPr>
          <w:rFonts w:hint="eastAsia"/>
        </w:rPr>
        <w:t>保面性（</w:t>
      </w:r>
      <w:r w:rsidRPr="009E082E">
        <w:t>equiareal</w:t>
      </w:r>
      <w:r>
        <w:rPr>
          <w:rFonts w:hint="eastAsia"/>
        </w:rPr>
        <w:t>）</w:t>
      </w:r>
      <w:r w:rsidR="0043734E">
        <w:rPr>
          <w:rFonts w:hint="eastAsia"/>
        </w:rPr>
        <w:t>。</w:t>
      </w:r>
    </w:p>
    <w:p w14:paraId="258466E2" w14:textId="6B37CE19" w:rsidR="0043734E" w:rsidRDefault="00B00BA4" w:rsidP="0043734E">
      <w:pPr>
        <w:jc w:val="center"/>
      </w:pPr>
      <w:r>
        <w:rPr>
          <w:rFonts w:hint="eastAsia"/>
        </w:rPr>
        <w:lastRenderedPageBreak/>
        <w:t>图：保角映射与保面映射的例子。</w:t>
      </w:r>
      <w:r>
        <w:rPr>
          <w:noProof/>
        </w:rPr>
        <w:drawing>
          <wp:anchor distT="0" distB="0" distL="114300" distR="114300" simplePos="0" relativeHeight="251672576" behindDoc="0" locked="0" layoutInCell="1" allowOverlap="1" wp14:anchorId="36D32C3B" wp14:editId="39DDE4C9">
            <wp:simplePos x="0" y="0"/>
            <wp:positionH relativeFrom="column">
              <wp:posOffset>19685</wp:posOffset>
            </wp:positionH>
            <wp:positionV relativeFrom="paragraph">
              <wp:posOffset>0</wp:posOffset>
            </wp:positionV>
            <wp:extent cx="5274310" cy="3265805"/>
            <wp:effectExtent l="0" t="0" r="0" b="0"/>
            <wp:wrapTopAndBottom/>
            <wp:docPr id="758341992"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1992" name="图片 1" descr="图示&#10;&#10;中度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3265805"/>
                    </a:xfrm>
                    <a:prstGeom prst="rect">
                      <a:avLst/>
                    </a:prstGeom>
                  </pic:spPr>
                </pic:pic>
              </a:graphicData>
            </a:graphic>
          </wp:anchor>
        </w:drawing>
      </w:r>
    </w:p>
    <w:p w14:paraId="724EA8DD" w14:textId="2D1EC7EA" w:rsidR="0043734E" w:rsidRDefault="0043734E" w:rsidP="00BC5EA0">
      <w:pPr>
        <w:jc w:val="left"/>
      </w:pPr>
      <w:r>
        <w:tab/>
      </w:r>
      <w:r w:rsidR="00BC5EA0">
        <w:rPr>
          <w:rFonts w:hint="eastAsia"/>
        </w:rPr>
        <w:t>还有一个映射的理想特性是径向性。直观地说，就是点在映射过程中只能沿着圆盘中心的径向线移动。用数学语言来表达，</w:t>
      </w:r>
      <w:r w:rsidR="004A4983">
        <w:rPr>
          <w:rFonts w:hint="eastAsia"/>
        </w:rPr>
        <w:t>即</w:t>
      </w:r>
      <w:r w:rsidR="00BC5EA0">
        <w:rPr>
          <w:rFonts w:hint="eastAsia"/>
        </w:rPr>
        <w:t>点（</w:t>
      </w:r>
      <w:r w:rsidR="00BC5EA0">
        <w:rPr>
          <w:rFonts w:hint="eastAsia"/>
        </w:rPr>
        <w:t>u,v</w:t>
      </w:r>
      <w:r w:rsidR="00BC5EA0">
        <w:rPr>
          <w:rFonts w:hint="eastAsia"/>
        </w:rPr>
        <w:t>）与</w:t>
      </w:r>
      <w:r w:rsidR="00BC5EA0">
        <w:rPr>
          <w:rFonts w:hint="eastAsia"/>
        </w:rPr>
        <w:t xml:space="preserve"> x </w:t>
      </w:r>
      <w:r w:rsidR="00BC5EA0">
        <w:rPr>
          <w:rFonts w:hint="eastAsia"/>
        </w:rPr>
        <w:t>轴的夹角与点（</w:t>
      </w:r>
      <w:r w:rsidR="00BC5EA0">
        <w:rPr>
          <w:rFonts w:hint="eastAsia"/>
        </w:rPr>
        <w:t>x,y</w:t>
      </w:r>
      <w:r w:rsidR="00BC5EA0">
        <w:rPr>
          <w:rFonts w:hint="eastAsia"/>
        </w:rPr>
        <w:t>）的夹角相同。</w:t>
      </w:r>
    </w:p>
    <w:p w14:paraId="0BAEFC86" w14:textId="04C8B9B6" w:rsidR="00B00BA4" w:rsidRDefault="002D17B2" w:rsidP="0043734E">
      <w:pPr>
        <w:jc w:val="left"/>
      </w:pPr>
      <w:r>
        <w:tab/>
      </w:r>
      <w:r w:rsidR="0016606A">
        <w:rPr>
          <w:rFonts w:hint="eastAsia"/>
        </w:rPr>
        <w:t>在本文的场景中，我们希望所使用的变换具有良好的保形性和径向性，而在对角线方向和</w:t>
      </w:r>
      <w:r w:rsidR="0016606A">
        <w:rPr>
          <w:rFonts w:hint="eastAsia"/>
        </w:rPr>
        <w:t>XY</w:t>
      </w:r>
      <w:r w:rsidR="0016606A">
        <w:rPr>
          <w:rFonts w:hint="eastAsia"/>
        </w:rPr>
        <w:t>轴向上，其保面性应具有差异。</w:t>
      </w:r>
      <w:r w:rsidR="00A30DA5">
        <w:rPr>
          <w:rFonts w:hint="eastAsia"/>
        </w:rPr>
        <w:t>这样才能在保持图像较小的扭曲的同时，对上一模块中过采样的</w:t>
      </w:r>
      <w:r w:rsidR="00404618">
        <w:rPr>
          <w:rFonts w:hint="eastAsia"/>
        </w:rPr>
        <w:t>局部</w:t>
      </w:r>
      <w:r w:rsidR="007A6E32">
        <w:rPr>
          <w:rFonts w:hint="eastAsia"/>
        </w:rPr>
        <w:t>区域</w:t>
      </w:r>
      <w:r w:rsidR="00A30DA5">
        <w:rPr>
          <w:rFonts w:hint="eastAsia"/>
        </w:rPr>
        <w:t>进行压缩。</w:t>
      </w:r>
    </w:p>
    <w:p w14:paraId="6464ABC1" w14:textId="39A08EF7" w:rsidR="003203CA" w:rsidRDefault="003203CA" w:rsidP="003203CA">
      <w:pPr>
        <w:pStyle w:val="3"/>
      </w:pPr>
      <w:bookmarkStart w:id="32" w:name="_Toc149754977"/>
      <w:r>
        <w:rPr>
          <w:rFonts w:hint="eastAsia"/>
        </w:rPr>
        <w:t>3.</w:t>
      </w:r>
      <w:r>
        <w:t>2</w:t>
      </w:r>
      <w:r>
        <w:rPr>
          <w:rFonts w:hint="eastAsia"/>
        </w:rPr>
        <w:t>.</w:t>
      </w:r>
      <w:r>
        <w:t xml:space="preserve">3 </w:t>
      </w:r>
      <w:r>
        <w:rPr>
          <w:rFonts w:hint="eastAsia"/>
        </w:rPr>
        <w:t>基于费尔南德斯圆角矩形的映射</w:t>
      </w:r>
      <w:bookmarkEnd w:id="32"/>
    </w:p>
    <w:p w14:paraId="12EC1850" w14:textId="644CC555" w:rsidR="008E7990" w:rsidRPr="008E7990" w:rsidRDefault="008E7990" w:rsidP="008E7990">
      <w:pPr>
        <w:pStyle w:val="4"/>
      </w:pPr>
      <w:r>
        <w:rPr>
          <w:rFonts w:hint="eastAsia"/>
        </w:rPr>
        <w:t>3.</w:t>
      </w:r>
      <w:r>
        <w:t>2</w:t>
      </w:r>
      <w:r>
        <w:rPr>
          <w:rFonts w:hint="eastAsia"/>
        </w:rPr>
        <w:t>.</w:t>
      </w:r>
      <w:r>
        <w:t>3</w:t>
      </w:r>
      <w:r>
        <w:rPr>
          <w:rFonts w:hint="eastAsia"/>
        </w:rPr>
        <w:t>.</w:t>
      </w:r>
      <w:r>
        <w:t xml:space="preserve">1 </w:t>
      </w:r>
      <w:r>
        <w:rPr>
          <w:rFonts w:hint="eastAsia"/>
        </w:rPr>
        <w:t>圆角矩形的解析式</w:t>
      </w:r>
    </w:p>
    <w:p w14:paraId="0FE38AB6" w14:textId="734A91E0" w:rsidR="00375DBD" w:rsidRDefault="00375DBD" w:rsidP="00375DBD">
      <w:pPr>
        <w:ind w:firstLine="420"/>
        <w:rPr>
          <w:rFonts w:ascii="等线" w:hAnsi="等线"/>
          <w:sz w:val="21"/>
          <w:szCs w:val="21"/>
        </w:rPr>
      </w:pPr>
      <w:r>
        <w:rPr>
          <w:rFonts w:ascii="宋体" w:hAnsi="宋体" w:hint="eastAsia"/>
        </w:rPr>
        <w:t>这里需要引入一种新的几何图形——圆角方形。</w:t>
      </w:r>
      <w:r w:rsidR="00300532" w:rsidRPr="00300532">
        <w:rPr>
          <w:rFonts w:ascii="宋体" w:hAnsi="宋体" w:hint="eastAsia"/>
        </w:rPr>
        <w:t>用于表示介于圆形和方形之间的形状</w:t>
      </w:r>
      <w:r w:rsidR="00300532">
        <w:rPr>
          <w:rFonts w:ascii="宋体" w:hAnsi="宋体" w:hint="eastAsia"/>
        </w:rPr>
        <w:t>。</w:t>
      </w:r>
    </w:p>
    <w:p w14:paraId="274D13CD" w14:textId="77777777" w:rsidR="00375DBD" w:rsidRDefault="00375DBD" w:rsidP="00375DBD">
      <w:pPr>
        <w:ind w:firstLine="420"/>
        <w:rPr>
          <w:rFonts w:ascii="宋体" w:hAnsi="宋体"/>
        </w:rPr>
      </w:pPr>
      <w:r>
        <w:rPr>
          <w:rFonts w:ascii="宋体" w:hAnsi="宋体" w:hint="eastAsia"/>
        </w:rPr>
        <w:t>最经典的圆角方形是拉美曲线，是法国科学家拉梅（</w:t>
      </w:r>
      <w:r>
        <w:rPr>
          <w:rFonts w:eastAsia="等线" w:hint="eastAsia"/>
        </w:rPr>
        <w:t>Gabriel Lame</w:t>
      </w:r>
      <w:r>
        <w:rPr>
          <w:rFonts w:ascii="宋体" w:hAnsi="宋体" w:hint="eastAsia"/>
        </w:rPr>
        <w:t>）首先发现和提出的，所以也叫拉梅曲线。拉梅曲线的数学方程如下：</w:t>
      </w:r>
    </w:p>
    <w:p w14:paraId="61596AC3" w14:textId="2082DE3E" w:rsidR="00765790" w:rsidRPr="00765790" w:rsidRDefault="00765790" w:rsidP="00765790">
      <w:pPr>
        <w:ind w:firstLine="420"/>
        <w:jc w:val="center"/>
        <w:rPr>
          <w:rFonts w:ascii="宋体" w:hAnsi="宋体"/>
        </w:rPr>
      </w:pPr>
      <m:oMathPara>
        <m:oMath>
          <m:r>
            <w:rPr>
              <w:rFonts w:ascii="Cambria Math" w:hAnsi="Cambria Math" w:hint="eastAsia"/>
            </w:rPr>
            <m:t>abs</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p</m:t>
              </m:r>
            </m:sup>
          </m:sSup>
          <m:r>
            <w:rPr>
              <w:rFonts w:ascii="Cambria Math" w:hAnsi="Cambria Math"/>
            </w:rPr>
            <m:t>+abs</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8B6A96" w14:textId="77777777" w:rsidR="00375DBD" w:rsidRDefault="00375DBD" w:rsidP="00375DBD">
      <w:pPr>
        <w:ind w:firstLine="420"/>
        <w:jc w:val="left"/>
        <w:rPr>
          <w:rFonts w:ascii="宋体" w:hAnsi="宋体"/>
        </w:rPr>
      </w:pPr>
      <w:r>
        <w:rPr>
          <w:rFonts w:ascii="宋体" w:hAnsi="宋体" w:hint="eastAsia"/>
        </w:rPr>
        <w:t>用参数方程来表示则如下：</w:t>
      </w:r>
    </w:p>
    <w:p w14:paraId="15B68400" w14:textId="741258BC" w:rsidR="00F92C5C" w:rsidRPr="00F92C5C" w:rsidRDefault="00F92C5C" w:rsidP="00F92C5C">
      <w:pPr>
        <w:ind w:firstLine="420"/>
        <w:jc w:val="center"/>
        <w:rPr>
          <w:i/>
        </w:rPr>
      </w:pPr>
      <m:oMathPara>
        <m:oMath>
          <m:r>
            <w:rPr>
              <w:rFonts w:ascii="Cambria Math" w:hAnsi="Cambria Math"/>
            </w:rPr>
            <w:lastRenderedPageBreak/>
            <m:t>x=a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5F84F07B" w14:textId="6A01969B" w:rsidR="00375DBD" w:rsidRPr="009B4602" w:rsidRDefault="009B4602" w:rsidP="009B4602">
      <w:pPr>
        <w:ind w:firstLine="420"/>
        <w:jc w:val="center"/>
        <w:rPr>
          <w:i/>
        </w:rPr>
      </w:pPr>
      <m:oMathPara>
        <m:oMath>
          <m:r>
            <w:rPr>
              <w:rFonts w:ascii="Cambria Math" w:hAnsi="Cambria Math"/>
            </w:rPr>
            <m:t>y=a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4FC6F274" w14:textId="22DDAC7E" w:rsidR="00375DBD" w:rsidRDefault="00765790" w:rsidP="00765790">
      <w:pPr>
        <w:ind w:firstLineChars="200" w:firstLine="480"/>
        <w:jc w:val="center"/>
      </w:pPr>
      <w:r>
        <w:rPr>
          <w:noProof/>
        </w:rPr>
        <w:drawing>
          <wp:anchor distT="0" distB="0" distL="114300" distR="114300" simplePos="0" relativeHeight="251664384" behindDoc="0" locked="0" layoutInCell="1" allowOverlap="1" wp14:anchorId="67330FDD" wp14:editId="500DA36E">
            <wp:simplePos x="0" y="0"/>
            <wp:positionH relativeFrom="column">
              <wp:posOffset>1017905</wp:posOffset>
            </wp:positionH>
            <wp:positionV relativeFrom="paragraph">
              <wp:posOffset>148755</wp:posOffset>
            </wp:positionV>
            <wp:extent cx="3546475" cy="2019300"/>
            <wp:effectExtent l="0" t="0" r="0" b="0"/>
            <wp:wrapTopAndBottom/>
            <wp:docPr id="2048077031" name="图片 204807703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84399" name="图片 16" descr="图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6475" cy="2019300"/>
                    </a:xfrm>
                    <a:prstGeom prst="rect">
                      <a:avLst/>
                    </a:prstGeom>
                    <a:noFill/>
                    <a:ln>
                      <a:noFill/>
                    </a:ln>
                  </pic:spPr>
                </pic:pic>
              </a:graphicData>
            </a:graphic>
          </wp:anchor>
        </w:drawing>
      </w:r>
      <w:r w:rsidR="00375DBD">
        <w:rPr>
          <w:rFonts w:ascii="微软雅黑" w:hAnsi="微软雅黑" w:hint="eastAsia"/>
        </w:rPr>
        <w:t>图、不同</w:t>
      </w:r>
      <w:r w:rsidR="00375DBD">
        <w:rPr>
          <w:rFonts w:eastAsia="等线" w:hint="eastAsia"/>
        </w:rPr>
        <w:t>n</w:t>
      </w:r>
      <w:r w:rsidR="00375DBD">
        <w:rPr>
          <w:rFonts w:ascii="微软雅黑" w:hAnsi="微软雅黑" w:hint="eastAsia"/>
        </w:rPr>
        <w:t>值（指数值）下的拉美曲线</w:t>
      </w:r>
    </w:p>
    <w:p w14:paraId="73721D9D" w14:textId="6656F9BD" w:rsidR="00300532" w:rsidRDefault="00375DBD" w:rsidP="00375DBD">
      <w:pPr>
        <w:ind w:firstLineChars="200" w:firstLine="480"/>
      </w:pPr>
      <w:r>
        <w:rPr>
          <w:rFonts w:ascii="宋体" w:hAnsi="宋体" w:hint="eastAsia"/>
        </w:rPr>
        <w:t>但是求解析解十分困难，相比之下费尔南德斯圆角方形方程就更具有代数简洁性。</w:t>
      </w:r>
      <w:r w:rsidR="00300532" w:rsidRPr="00300532">
        <w:rPr>
          <w:rFonts w:hint="eastAsia"/>
        </w:rPr>
        <w:t>他的方程包含一个参数</w:t>
      </w:r>
      <w:r w:rsidR="00300532" w:rsidRPr="00300532">
        <w:rPr>
          <w:rFonts w:hint="eastAsia"/>
        </w:rPr>
        <w:t xml:space="preserve"> s</w:t>
      </w:r>
      <w:r w:rsidR="00300532" w:rsidRPr="00300532">
        <w:rPr>
          <w:rFonts w:hint="eastAsia"/>
        </w:rPr>
        <w:t>，可用来平滑地混合圆形和方形。</w:t>
      </w:r>
      <w:r w:rsidR="00300532">
        <w:rPr>
          <w:rFonts w:hint="eastAsia"/>
        </w:rPr>
        <w:t>其方程表示如下：</w:t>
      </w:r>
    </w:p>
    <w:p w14:paraId="65E8F9A3" w14:textId="77777777" w:rsidR="00300532" w:rsidRDefault="00300532" w:rsidP="00300532">
      <w:pPr>
        <w:ind w:firstLineChars="200" w:firstLine="480"/>
        <w:jc w:val="center"/>
      </w:pPr>
    </w:p>
    <w:p w14:paraId="046918E0" w14:textId="7BE6F243" w:rsidR="00375DBD" w:rsidRDefault="00375DBD" w:rsidP="00375DBD">
      <w:pPr>
        <w:ind w:firstLineChars="200" w:firstLine="480"/>
        <w:rPr>
          <w:rFonts w:ascii="宋体" w:hAnsi="宋体"/>
        </w:rPr>
      </w:pPr>
      <w:r>
        <w:rPr>
          <w:rFonts w:ascii="宋体" w:hAnsi="宋体" w:hint="eastAsia"/>
        </w:rPr>
        <w:t>通过首先观察到可以使用两个二项式平方根项的乘积来表示正方形，从而推导出了圆角方形方程。具体来说，首先：</w:t>
      </w:r>
    </w:p>
    <w:p w14:paraId="4EEC040B" w14:textId="38F287CE" w:rsidR="00375DBD" w:rsidRDefault="00000000" w:rsidP="000E1A86">
      <w:pPr>
        <w:spacing w:before="240" w:after="240"/>
        <w:ind w:firstLineChars="200" w:firstLine="480"/>
        <w:jc w:val="center"/>
      </w:pPr>
      <m:oMathPara>
        <m:oMath>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=0</m:t>
          </m:r>
        </m:oMath>
      </m:oMathPara>
    </w:p>
    <w:p w14:paraId="4F63FC74" w14:textId="77777777" w:rsidR="00375DBD" w:rsidRDefault="00375DBD" w:rsidP="00375DBD">
      <w:pPr>
        <w:ind w:firstLineChars="200" w:firstLine="480"/>
        <w:rPr>
          <w:rFonts w:ascii="宋体" w:hAnsi="宋体"/>
        </w:rPr>
      </w:pPr>
      <w:r>
        <w:rPr>
          <w:rFonts w:ascii="宋体" w:hAnsi="宋体" w:hint="eastAsia"/>
        </w:rPr>
        <w:t>代表</w:t>
      </w:r>
      <w:r>
        <w:rPr>
          <w:rFonts w:eastAsia="等线" w:hint="eastAsia"/>
        </w:rPr>
        <w:t>x=1</w:t>
      </w:r>
      <w:r>
        <w:rPr>
          <w:rFonts w:ascii="宋体" w:hAnsi="宋体" w:hint="eastAsia"/>
        </w:rPr>
        <w:t>和</w:t>
      </w:r>
      <w:r>
        <w:rPr>
          <w:rFonts w:eastAsia="等线" w:hint="eastAsia"/>
        </w:rPr>
        <w:t>x=-1</w:t>
      </w:r>
      <w:r>
        <w:rPr>
          <w:rFonts w:ascii="宋体" w:hAnsi="宋体" w:hint="eastAsia"/>
        </w:rPr>
        <w:t>两条直线。</w:t>
      </w:r>
    </w:p>
    <w:p w14:paraId="49D8BB8B" w14:textId="56AE8409" w:rsidR="00375DBD" w:rsidRDefault="00000000" w:rsidP="000E1A86">
      <w:pPr>
        <w:spacing w:before="360" w:after="240"/>
        <w:ind w:firstLineChars="200" w:firstLine="480"/>
        <w:jc w:val="center"/>
      </w:pPr>
      <m:oMathPara>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=0 </m:t>
          </m:r>
        </m:oMath>
      </m:oMathPara>
    </w:p>
    <w:p w14:paraId="1A9F8F53" w14:textId="77777777" w:rsidR="00375DBD" w:rsidRDefault="00375DBD" w:rsidP="00375DBD">
      <w:pPr>
        <w:ind w:firstLineChars="200" w:firstLine="48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时，可以绘制成笛卡尔平面中的正方形。然后简化方程式，得到：</w:t>
      </w:r>
    </w:p>
    <w:p w14:paraId="764A3618" w14:textId="0DFF6A16" w:rsidR="00375DBD" w:rsidRDefault="00000000" w:rsidP="000B6903">
      <w:pPr>
        <w:spacing w:before="360" w:after="240"/>
        <w:ind w:firstLineChars="200" w:firstLine="480"/>
        <w:jc w:val="center"/>
      </w:pPr>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e>
        </m:rad>
        <m:r>
          <w:rPr>
            <w:rFonts w:ascii="Cambria Math" w:hAnsi="Cambria Math"/>
          </w:rPr>
          <m:t>=0</m:t>
        </m:r>
      </m:oMath>
      <w:r w:rsidR="000B6903">
        <w:t xml:space="preserve"> </w:t>
      </w:r>
    </w:p>
    <w:p w14:paraId="180A39D9" w14:textId="4D52DDF3" w:rsidR="00375DBD" w:rsidRPr="000B6903" w:rsidRDefault="00375DBD" w:rsidP="000B6903">
      <w:pPr>
        <w:ind w:firstLineChars="200" w:firstLine="480"/>
        <w:jc w:val="center"/>
        <w:rPr>
          <w:rFonts w:ascii="宋体" w:hAnsi="宋体"/>
        </w:rPr>
      </w:pPr>
      <w:r>
        <w:rPr>
          <w:rFonts w:ascii="宋体" w:hAnsi="宋体" w:hint="eastAsia"/>
        </w:rPr>
        <w:t>即：</w:t>
      </w:r>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w:p>
    <w:p w14:paraId="5B59E883" w14:textId="56A9F0A3" w:rsidR="00375DBD" w:rsidRDefault="00375DBD" w:rsidP="002E0224">
      <w:pPr>
        <w:ind w:firstLine="42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 xml:space="preserve">时，这是笛卡尔平面中正方形的有效多项式表示。通过在方程中引入方形参数 </w:t>
      </w:r>
      <w:r>
        <w:rPr>
          <w:rFonts w:eastAsia="等线" w:hint="eastAsia"/>
        </w:rPr>
        <w:t>s</w:t>
      </w:r>
      <w:r w:rsidR="008E7990">
        <w:rPr>
          <w:rFonts w:eastAsia="等线" w:hint="eastAsia"/>
        </w:rPr>
        <w:t>（取值区间为</w:t>
      </w:r>
      <w:r w:rsidR="008E7990">
        <w:rPr>
          <w:rFonts w:eastAsia="等线" w:hint="eastAsia"/>
        </w:rPr>
        <w:t>[</w:t>
      </w:r>
      <w:r w:rsidR="008E7990">
        <w:rPr>
          <w:rFonts w:eastAsia="等线"/>
        </w:rPr>
        <w:t>0,1]</w:t>
      </w:r>
      <w:r w:rsidR="008E7990">
        <w:rPr>
          <w:rFonts w:eastAsia="等线" w:hint="eastAsia"/>
        </w:rPr>
        <w:t>）</w:t>
      </w:r>
      <w:r>
        <w:rPr>
          <w:rFonts w:ascii="宋体" w:hAnsi="宋体" w:hint="eastAsia"/>
        </w:rPr>
        <w:t>，可以生成在正方形和</w:t>
      </w:r>
      <w:r>
        <w:rPr>
          <w:rFonts w:ascii="宋体" w:hAnsi="宋体" w:hint="eastAsia"/>
        </w:rPr>
        <w:lastRenderedPageBreak/>
        <w:t>圆形之间插值的形状：</w:t>
      </w:r>
    </w:p>
    <w:p w14:paraId="2339C9A6" w14:textId="09ACBC7F" w:rsidR="00375DBD" w:rsidRDefault="00000000" w:rsidP="00300532">
      <w:pPr>
        <w:spacing w:before="240"/>
        <w:ind w:firstLine="420"/>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m:oMathPara>
    </w:p>
    <w:p w14:paraId="595D892A" w14:textId="6BA329DC" w:rsidR="00375DBD" w:rsidRDefault="0018489D" w:rsidP="008E7990">
      <w:pPr>
        <w:spacing w:before="240"/>
        <w:ind w:firstLineChars="200" w:firstLine="480"/>
        <w:jc w:val="center"/>
      </w:pPr>
      <w:r>
        <w:rPr>
          <w:rFonts w:hint="eastAsia"/>
        </w:rPr>
        <w:t>即：</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089F7E93" w14:textId="77777777" w:rsidR="009F32E5" w:rsidRDefault="009F32E5" w:rsidP="009F32E5">
      <w:pPr>
        <w:ind w:firstLine="420"/>
      </w:pPr>
      <w:r>
        <w:rPr>
          <w:rFonts w:ascii="宋体" w:hAnsi="宋体" w:hint="eastAsia"/>
        </w:rPr>
        <w:t>尽管莱姆曲线与费尔南德斯曲线在质量上有相似之处，但两者之间存在一个主要区别。</w:t>
      </w:r>
    </w:p>
    <w:p w14:paraId="577D9A91" w14:textId="28B8C61B" w:rsidR="009F32E5" w:rsidRPr="008E7990" w:rsidRDefault="009F32E5" w:rsidP="009F32E5">
      <w:pPr>
        <w:ind w:firstLine="420"/>
      </w:pPr>
      <w:r>
        <w:rPr>
          <w:rFonts w:ascii="宋体" w:hAnsi="宋体" w:hint="eastAsia"/>
        </w:rPr>
        <w:t>莱姆曲线只能逼近正方形。此外，由于莱姆曲线的多项式方程具有无界指数，因此它难以代数操作。相反，费尔南德斯曲线是低阶四次曲线。此外，由于其多项式方程中没有三次项或线性项，因此费尔南德斯曲线本质上是一条更简单的双二次曲线。这使得它更适合代数操作和简化。</w:t>
      </w:r>
    </w:p>
    <w:p w14:paraId="77324F34" w14:textId="23ACDE9D" w:rsidR="008E7990" w:rsidRDefault="008E7990" w:rsidP="008E7990">
      <w:pPr>
        <w:pStyle w:val="4"/>
      </w:pPr>
      <w:r>
        <w:rPr>
          <w:rFonts w:hint="eastAsia"/>
        </w:rPr>
        <w:t>3.</w:t>
      </w:r>
      <w:r>
        <w:t>2</w:t>
      </w:r>
      <w:r>
        <w:rPr>
          <w:rFonts w:hint="eastAsia"/>
        </w:rPr>
        <w:t>.</w:t>
      </w:r>
      <w:r>
        <w:t>3</w:t>
      </w:r>
      <w:r>
        <w:rPr>
          <w:rFonts w:hint="eastAsia"/>
        </w:rPr>
        <w:t>.</w:t>
      </w:r>
      <w:r>
        <w:t xml:space="preserve">2 </w:t>
      </w:r>
      <w:r>
        <w:rPr>
          <w:rFonts w:hint="eastAsia"/>
        </w:rPr>
        <w:t>连续体之间的映射</w:t>
      </w:r>
    </w:p>
    <w:p w14:paraId="3B46EF9D" w14:textId="32E90C0A" w:rsidR="0018489D" w:rsidRPr="0018489D" w:rsidRDefault="0018489D" w:rsidP="0018489D">
      <w:pPr>
        <w:ind w:firstLine="420"/>
        <w:jc w:val="left"/>
        <w:rPr>
          <w:rFonts w:ascii="宋体" w:hAnsi="宋体"/>
        </w:rPr>
      </w:pPr>
      <w:r>
        <w:rPr>
          <w:rFonts w:hint="eastAsia"/>
        </w:rPr>
        <w:t>对于上文得到的圆角矩形表达式，我们可以了令</w:t>
      </w:r>
      <w:r>
        <w:rPr>
          <w:rFonts w:eastAsia="等线" w:hint="eastAsia"/>
        </w:rPr>
        <w:t>s</w:t>
      </w:r>
      <w:r>
        <w:rPr>
          <w:rFonts w:hint="eastAsia"/>
        </w:rPr>
        <w:t xml:space="preserve"> = </w:t>
      </w:r>
      <w:r>
        <w:rPr>
          <w:rFonts w:eastAsia="等线" w:hint="eastAsia"/>
        </w:rPr>
        <w:t>r</w:t>
      </w:r>
      <w:r>
        <w:rPr>
          <w:rFonts w:hint="eastAsia"/>
        </w:rPr>
        <w:t xml:space="preserve"> </w:t>
      </w:r>
      <w:r>
        <w:rPr>
          <w:rFonts w:ascii="宋体" w:hAnsi="宋体" w:hint="eastAsia"/>
        </w:rPr>
        <w:t>，可以得到:</w:t>
      </w:r>
    </w:p>
    <w:p w14:paraId="69240639" w14:textId="29D7D0EC" w:rsidR="0018489D" w:rsidRDefault="00000000" w:rsidP="00363FD8">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20E6EF37" w14:textId="7D79F55A" w:rsidR="008E7990" w:rsidRDefault="00870CFD" w:rsidP="00870CFD">
      <w:pPr>
        <w:ind w:firstLine="420"/>
      </w:pPr>
      <w:r>
        <w:rPr>
          <w:rFonts w:hint="eastAsia"/>
        </w:rPr>
        <w:t>在这个等式中。我们有一个</w:t>
      </w:r>
      <w:r w:rsidR="00D752C3">
        <w:rPr>
          <w:rFonts w:hint="eastAsia"/>
        </w:rPr>
        <w:t>参数</w:t>
      </w:r>
      <w:r>
        <w:rPr>
          <w:rFonts w:hint="eastAsia"/>
        </w:rPr>
        <w:t>s</w:t>
      </w:r>
      <w:r>
        <w:rPr>
          <w:rFonts w:hint="eastAsia"/>
        </w:rPr>
        <w:t>，可以控制圆角矩形的正方形程度和大小。</w:t>
      </w:r>
      <w:r w:rsidR="00387295">
        <w:rPr>
          <w:rFonts w:hint="eastAsia"/>
        </w:rPr>
        <w:t>从</w:t>
      </w:r>
      <w:r w:rsidR="00387295" w:rsidRPr="00387295">
        <w:rPr>
          <w:rFonts w:hint="eastAsia"/>
        </w:rPr>
        <w:t>视觉上</w:t>
      </w:r>
      <w:r w:rsidR="00387295">
        <w:rPr>
          <w:rFonts w:hint="eastAsia"/>
        </w:rPr>
        <w:t>说</w:t>
      </w:r>
      <w:r w:rsidR="00387295" w:rsidRPr="00387295">
        <w:rPr>
          <w:rFonts w:hint="eastAsia"/>
        </w:rPr>
        <w:t>，我们可以看到一系列不断</w:t>
      </w:r>
      <w:r w:rsidR="00387295">
        <w:rPr>
          <w:rFonts w:hint="eastAsia"/>
        </w:rPr>
        <w:t>“变大”“变方”</w:t>
      </w:r>
      <w:r w:rsidR="00387295" w:rsidRPr="00387295">
        <w:rPr>
          <w:rFonts w:hint="eastAsia"/>
        </w:rPr>
        <w:t>的形状，它们在</w:t>
      </w:r>
      <w:r w:rsidR="00387295" w:rsidRPr="00387295">
        <w:rPr>
          <w:rFonts w:hint="eastAsia"/>
        </w:rPr>
        <w:t xml:space="preserve"> s=0 </w:t>
      </w:r>
      <w:r w:rsidR="00387295" w:rsidRPr="00387295">
        <w:rPr>
          <w:rFonts w:hint="eastAsia"/>
        </w:rPr>
        <w:t>时以一个点开始，在</w:t>
      </w:r>
      <w:r w:rsidR="00387295" w:rsidRPr="00387295">
        <w:rPr>
          <w:rFonts w:hint="eastAsia"/>
        </w:rPr>
        <w:t xml:space="preserve"> s=1 </w:t>
      </w:r>
      <w:r w:rsidR="00387295" w:rsidRPr="00387295">
        <w:rPr>
          <w:rFonts w:hint="eastAsia"/>
        </w:rPr>
        <w:t>时以一个正方形结束。</w:t>
      </w:r>
    </w:p>
    <w:p w14:paraId="277F4096" w14:textId="3A1E7901" w:rsidR="00870CFD" w:rsidRDefault="00870CFD" w:rsidP="008E7990">
      <w:r>
        <w:tab/>
      </w:r>
      <w:r w:rsidR="006B7549">
        <w:rPr>
          <w:rFonts w:hint="eastAsia"/>
        </w:rPr>
        <w:t>我们</w:t>
      </w:r>
      <w:r w:rsidR="006D5840">
        <w:rPr>
          <w:rFonts w:hint="eastAsia"/>
        </w:rPr>
        <w:t>将</w:t>
      </w:r>
      <w:r w:rsidR="006B7549">
        <w:rPr>
          <w:rFonts w:hint="eastAsia"/>
        </w:rPr>
        <w:t>这一系列变化的形状组成</w:t>
      </w:r>
      <w:r w:rsidR="006D5840">
        <w:rPr>
          <w:rFonts w:hint="eastAsia"/>
        </w:rPr>
        <w:t>一个</w:t>
      </w:r>
      <w:r w:rsidR="006B7549">
        <w:rPr>
          <w:rFonts w:hint="eastAsia"/>
        </w:rPr>
        <w:t>正方形区域。</w:t>
      </w:r>
      <w:r w:rsidR="006D5840">
        <w:rPr>
          <w:rFonts w:hint="eastAsia"/>
        </w:rPr>
        <w:t>记为：</w:t>
      </w:r>
    </w:p>
    <w:p w14:paraId="079DD520" w14:textId="31030C65" w:rsidR="006D5840" w:rsidRDefault="006D5840" w:rsidP="006D5840">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45DE9440" w14:textId="6A8AA5C3" w:rsidR="006D5840" w:rsidRDefault="006D5840" w:rsidP="006D5840">
      <w:pPr>
        <w:jc w:val="left"/>
      </w:pPr>
      <w:r>
        <w:tab/>
      </w:r>
      <w:r w:rsidR="00B46C62">
        <w:rPr>
          <w:rFonts w:hint="eastAsia"/>
        </w:rPr>
        <w:t>而对于我们需要的单位圆盘区域，可以看作是半径从</w:t>
      </w:r>
      <w:r w:rsidR="00B46C62">
        <w:t>0</w:t>
      </w:r>
      <w:r w:rsidR="00B46C62">
        <w:rPr>
          <w:rFonts w:hint="eastAsia"/>
        </w:rPr>
        <w:t>到</w:t>
      </w:r>
      <w:r w:rsidR="00B46C62">
        <w:rPr>
          <w:rFonts w:hint="eastAsia"/>
        </w:rPr>
        <w:t>1</w:t>
      </w:r>
      <w:r w:rsidR="00B46C62">
        <w:rPr>
          <w:rFonts w:hint="eastAsia"/>
        </w:rPr>
        <w:t>的同心圆组成的连续体，从而，可以将单位圆盘记为：</w:t>
      </w:r>
    </w:p>
    <w:p w14:paraId="3479F268" w14:textId="37ED4176" w:rsidR="00B46C62" w:rsidRDefault="00B46C62" w:rsidP="00B46C62">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hint="eastAsia"/>
                        </w:rPr>
                        <m:t>u,v</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228F9616" w14:textId="7FA29D69" w:rsidR="004471E4" w:rsidRDefault="004471E4" w:rsidP="004471E4">
      <w:pPr>
        <w:jc w:val="left"/>
      </w:pPr>
      <w:r>
        <w:tab/>
      </w:r>
      <w:r>
        <w:rPr>
          <w:rFonts w:hint="eastAsia"/>
        </w:rPr>
        <w:t>这里，</w:t>
      </w:r>
      <w:r>
        <w:rPr>
          <w:rFonts w:hint="eastAsia"/>
        </w:rPr>
        <w:t>t</w:t>
      </w:r>
      <w:r>
        <w:rPr>
          <w:rFonts w:hint="eastAsia"/>
        </w:rPr>
        <w:t>的意义为点（</w:t>
      </w:r>
      <w:r>
        <w:rPr>
          <w:rFonts w:hint="eastAsia"/>
        </w:rPr>
        <w:t>u,v</w:t>
      </w:r>
      <w:r>
        <w:rPr>
          <w:rFonts w:hint="eastAsia"/>
        </w:rPr>
        <w:t>）到原点的距离。</w:t>
      </w:r>
    </w:p>
    <w:p w14:paraId="61767168" w14:textId="273234EA" w:rsidR="004471E4" w:rsidRDefault="004471E4" w:rsidP="004471E4">
      <w:pPr>
        <w:jc w:val="left"/>
      </w:pPr>
      <w:r>
        <w:tab/>
      </w:r>
      <w:r w:rsidRPr="004471E4">
        <w:rPr>
          <w:rFonts w:hint="eastAsia"/>
        </w:rPr>
        <w:t>我们可以通过将单位圆盘内部的每一个圆形轮廓</w:t>
      </w:r>
      <w:r>
        <w:rPr>
          <w:rFonts w:hint="eastAsia"/>
        </w:rPr>
        <w:t>，</w:t>
      </w:r>
      <w:r w:rsidRPr="004471E4">
        <w:rPr>
          <w:rFonts w:hint="eastAsia"/>
        </w:rPr>
        <w:t>映射到正方形内部的每一个</w:t>
      </w:r>
      <w:r>
        <w:rPr>
          <w:rFonts w:hint="eastAsia"/>
        </w:rPr>
        <w:t>圆角矩形</w:t>
      </w:r>
      <w:r w:rsidRPr="004471E4">
        <w:rPr>
          <w:rFonts w:hint="eastAsia"/>
        </w:rPr>
        <w:t>轮廓，来建立单位圆盘和正方形区域之间的对应关系。</w:t>
      </w:r>
      <w:r>
        <w:rPr>
          <w:rFonts w:hint="eastAsia"/>
        </w:rPr>
        <w:t>我们令两组参数</w:t>
      </w:r>
      <w:r>
        <w:rPr>
          <w:rFonts w:hint="eastAsia"/>
        </w:rPr>
        <w:t>t</w:t>
      </w:r>
      <w:r>
        <w:rPr>
          <w:rFonts w:hint="eastAsia"/>
        </w:rPr>
        <w:t>相等，即可得到等式：</w:t>
      </w:r>
    </w:p>
    <w:p w14:paraId="3A19C033" w14:textId="14924C34" w:rsidR="004471E4" w:rsidRDefault="00000000" w:rsidP="004471E4">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37C1D34D" w14:textId="4D9AC5A3" w:rsidR="004471E4" w:rsidRDefault="004471E4" w:rsidP="004471E4">
      <w:pPr>
        <w:jc w:val="left"/>
      </w:pPr>
      <w:r>
        <w:lastRenderedPageBreak/>
        <w:tab/>
      </w:r>
      <w:r>
        <w:rPr>
          <w:rFonts w:hint="eastAsia"/>
        </w:rPr>
        <w:t>这个方程</w:t>
      </w:r>
      <w:r w:rsidR="00CE7002">
        <w:rPr>
          <w:rFonts w:hint="eastAsia"/>
        </w:rPr>
        <w:t>将作为求解</w:t>
      </w:r>
      <w:r>
        <w:rPr>
          <w:rFonts w:hint="eastAsia"/>
        </w:rPr>
        <w:t>圆盘</w:t>
      </w:r>
      <w:r>
        <w:rPr>
          <w:rFonts w:hint="eastAsia"/>
        </w:rPr>
        <w:t>-</w:t>
      </w:r>
      <w:r>
        <w:rPr>
          <w:rFonts w:hint="eastAsia"/>
        </w:rPr>
        <w:t>矩形映射</w:t>
      </w:r>
      <w:r w:rsidR="00CE7002">
        <w:rPr>
          <w:rFonts w:hint="eastAsia"/>
        </w:rPr>
        <w:t>的</w:t>
      </w:r>
      <w:r>
        <w:rPr>
          <w:rFonts w:hint="eastAsia"/>
        </w:rPr>
        <w:t>条件</w:t>
      </w:r>
      <w:r w:rsidR="00CE7002">
        <w:rPr>
          <w:rFonts w:hint="eastAsia"/>
        </w:rPr>
        <w:t>之一</w:t>
      </w:r>
      <w:r>
        <w:rPr>
          <w:rFonts w:hint="eastAsia"/>
        </w:rPr>
        <w:t>。</w:t>
      </w:r>
    </w:p>
    <w:p w14:paraId="1FF54F51" w14:textId="2999AE42" w:rsidR="008E7990" w:rsidRPr="008E7990" w:rsidRDefault="008E7990" w:rsidP="008E7990">
      <w:pPr>
        <w:pStyle w:val="4"/>
      </w:pPr>
      <w:r>
        <w:rPr>
          <w:rFonts w:hint="eastAsia"/>
        </w:rPr>
        <w:t>3.</w:t>
      </w:r>
      <w:r>
        <w:t>2</w:t>
      </w:r>
      <w:r>
        <w:rPr>
          <w:rFonts w:hint="eastAsia"/>
        </w:rPr>
        <w:t>.</w:t>
      </w:r>
      <w:r>
        <w:t>3</w:t>
      </w:r>
      <w:r>
        <w:rPr>
          <w:rFonts w:hint="eastAsia"/>
        </w:rPr>
        <w:t>.</w:t>
      </w:r>
      <w:r>
        <w:t xml:space="preserve">3 </w:t>
      </w:r>
      <w:r w:rsidR="00CE073C">
        <w:rPr>
          <w:rFonts w:hint="eastAsia"/>
        </w:rPr>
        <w:t>圆盘到矩形的</w:t>
      </w:r>
      <w:r>
        <w:rPr>
          <w:rFonts w:hint="eastAsia"/>
        </w:rPr>
        <w:t>映射表达式的求解</w:t>
      </w:r>
    </w:p>
    <w:p w14:paraId="350E9F65" w14:textId="37D9CB6B" w:rsidR="008E7990" w:rsidRDefault="00314879" w:rsidP="00314879">
      <w:pPr>
        <w:ind w:firstLine="420"/>
        <w:jc w:val="left"/>
      </w:pPr>
      <w:r>
        <w:rPr>
          <w:rFonts w:hint="eastAsia"/>
        </w:rPr>
        <w:t>求解圆盘</w:t>
      </w:r>
      <w:r>
        <w:rPr>
          <w:rFonts w:hint="eastAsia"/>
        </w:rPr>
        <w:t>-</w:t>
      </w:r>
      <w:r>
        <w:rPr>
          <w:rFonts w:hint="eastAsia"/>
        </w:rPr>
        <w:t>矩形映射表达式需要的另一个条件是径向约束：</w:t>
      </w:r>
    </w:p>
    <w:p w14:paraId="27DFAE7A" w14:textId="3E41BF3E" w:rsidR="00314879" w:rsidRPr="00314879" w:rsidRDefault="00314879" w:rsidP="00314879">
      <w:pPr>
        <w:spacing w:before="240" w:after="240"/>
        <w:ind w:firstLine="420"/>
        <w:jc w:val="center"/>
        <w:rPr>
          <w:rFonts w:ascii="宋体" w:hAnsi="宋体"/>
        </w:rPr>
      </w:pPr>
      <m:oMathPara>
        <m:oMath>
          <m:r>
            <w:rPr>
              <w:rFonts w:ascii="Cambria Math" w:hAnsi="Cambria Math"/>
            </w:rPr>
            <m:t>u=t*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21E7B200" w14:textId="45A46D72" w:rsidR="00314879" w:rsidRDefault="00314879" w:rsidP="00314879">
      <w:pPr>
        <w:spacing w:before="240" w:after="240"/>
        <w:ind w:firstLine="420"/>
        <w:jc w:val="center"/>
        <w:rPr>
          <w:rFonts w:ascii="宋体" w:hAnsi="宋体"/>
        </w:rPr>
      </w:pPr>
      <m:oMathPara>
        <m:oMath>
          <m:r>
            <w:rPr>
              <w:rFonts w:ascii="Cambria Math" w:hAnsi="Cambria Math"/>
            </w:rPr>
            <m:t>v=t*</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881AD71" w14:textId="2A481C96" w:rsidR="00314879" w:rsidRDefault="00197ADC" w:rsidP="00197ADC">
      <w:pPr>
        <w:spacing w:before="240" w:after="240"/>
        <w:ind w:firstLine="420"/>
        <w:jc w:val="left"/>
        <w:rPr>
          <w:rFonts w:ascii="宋体" w:hAnsi="宋体"/>
        </w:rPr>
      </w:pPr>
      <w:r>
        <w:rPr>
          <w:rFonts w:ascii="宋体" w:hAnsi="宋体" w:hint="eastAsia"/>
        </w:rPr>
        <w:t>将t代换，可以得到：</w:t>
      </w:r>
    </w:p>
    <w:p w14:paraId="3B95D008" w14:textId="17569ADA" w:rsidR="00197ADC" w:rsidRPr="00314879" w:rsidRDefault="00197ADC" w:rsidP="00197ADC">
      <w:pPr>
        <w:spacing w:before="360" w:after="240"/>
        <w:ind w:firstLine="42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D5A8D88" w14:textId="4D2AABE5" w:rsidR="00197ADC" w:rsidRDefault="00197ADC" w:rsidP="00197ADC">
      <w:pPr>
        <w:spacing w:before="480" w:after="360"/>
        <w:ind w:firstLine="420"/>
        <w:jc w:val="center"/>
        <w:rPr>
          <w:rFonts w:ascii="宋体" w:hAnsi="宋体"/>
        </w:rPr>
      </w:pPr>
      <m:oMathPara>
        <m:oMath>
          <m:r>
            <w:rPr>
              <w:rFonts w:ascii="Cambria Math" w:hAnsi="Cambria Math"/>
            </w:rPr>
            <m:t>v=</m:t>
          </m:r>
          <m:f>
            <m:fPr>
              <m:ctrlPr>
                <w:rPr>
                  <w:rFonts w:ascii="Cambria Math" w:hAnsi="Cambria Math"/>
                  <w:i/>
                </w:rPr>
              </m:ctrlPr>
            </m:fPr>
            <m:num>
              <m:r>
                <w:rPr>
                  <w:rFonts w:ascii="Cambria Math" w:hAnsi="Cambria Math"/>
                </w:rPr>
                <m:t>y</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5702BFE5" w14:textId="6D3AA6D9" w:rsidR="00314879" w:rsidRDefault="00993F87" w:rsidP="008E7990">
      <w:pPr>
        <w:ind w:firstLine="420"/>
        <w:jc w:val="left"/>
        <w:rPr>
          <w:rFonts w:ascii="宋体" w:hAnsi="宋体"/>
        </w:rPr>
      </w:pPr>
      <w:r>
        <w:rPr>
          <w:rFonts w:ascii="宋体" w:hAnsi="宋体" w:hint="eastAsia"/>
        </w:rPr>
        <w:t>这就是从圆盘到矩形的映射表达式。具有良好的径向特性和保形性。</w:t>
      </w:r>
    </w:p>
    <w:p w14:paraId="1F681018" w14:textId="7DF4F097" w:rsidR="00CE073C" w:rsidRPr="008E7990" w:rsidRDefault="00CE073C" w:rsidP="00CE073C">
      <w:pPr>
        <w:pStyle w:val="4"/>
      </w:pPr>
      <w:r>
        <w:rPr>
          <w:rFonts w:hint="eastAsia"/>
        </w:rPr>
        <w:t>3.</w:t>
      </w:r>
      <w:r>
        <w:t>2</w:t>
      </w:r>
      <w:r>
        <w:rPr>
          <w:rFonts w:hint="eastAsia"/>
        </w:rPr>
        <w:t>.</w:t>
      </w:r>
      <w:r>
        <w:t>3</w:t>
      </w:r>
      <w:r>
        <w:rPr>
          <w:rFonts w:hint="eastAsia"/>
        </w:rPr>
        <w:t>.</w:t>
      </w:r>
      <w:r>
        <w:t>3</w:t>
      </w:r>
      <w:r>
        <w:rPr>
          <w:rFonts w:hint="eastAsia"/>
        </w:rPr>
        <w:t>矩形到圆盘的映射表达式的求解</w:t>
      </w:r>
    </w:p>
    <w:p w14:paraId="0C9A10E6" w14:textId="5D1C4725" w:rsidR="00375DBD" w:rsidRDefault="008152E3" w:rsidP="00CE073C">
      <w:pPr>
        <w:ind w:firstLineChars="200" w:firstLine="480"/>
      </w:pPr>
      <w:r>
        <w:rPr>
          <w:rFonts w:hint="eastAsia"/>
        </w:rPr>
        <w:t>现在来推导逆向的映射表达式，即从矩形映射到圆盘。</w:t>
      </w:r>
      <w:r w:rsidR="00514230">
        <w:rPr>
          <w:rFonts w:hint="eastAsia"/>
        </w:rPr>
        <w:t>首先使用径向约束，我们可以得到一个</w:t>
      </w:r>
      <w:r w:rsidR="00514230">
        <w:rPr>
          <w:rFonts w:hint="eastAsia"/>
        </w:rPr>
        <w:t>x</w:t>
      </w:r>
      <w:r w:rsidR="00514230">
        <w:rPr>
          <w:rFonts w:hint="eastAsia"/>
        </w:rPr>
        <w:t>与</w:t>
      </w:r>
      <w:r w:rsidR="00514230">
        <w:rPr>
          <w:rFonts w:hint="eastAsia"/>
        </w:rPr>
        <w:t>y</w:t>
      </w:r>
      <w:r w:rsidR="00514230">
        <w:rPr>
          <w:rFonts w:hint="eastAsia"/>
        </w:rPr>
        <w:t>的关系式。</w:t>
      </w:r>
    </w:p>
    <w:p w14:paraId="1FBC5355" w14:textId="4FBE640C" w:rsidR="00514230" w:rsidRDefault="00514230" w:rsidP="00CE073C">
      <w:pPr>
        <w:ind w:firstLineChars="200" w:firstLine="480"/>
      </w:pPr>
      <m:oMathPara>
        <m:oMath>
          <m:r>
            <w:rPr>
              <w:rFonts w:ascii="Cambria Math" w:hAnsi="Cambria Math" w:hint="eastAsia"/>
            </w:rPr>
            <m:t>tanθ</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x</m:t>
              </m:r>
            </m:den>
          </m:f>
        </m:oMath>
      </m:oMathPara>
    </w:p>
    <w:p w14:paraId="0D86F8A3" w14:textId="03334374" w:rsidR="00375DBD" w:rsidRPr="00514230" w:rsidRDefault="00514230" w:rsidP="00514230">
      <w:pPr>
        <w:spacing w:before="240"/>
        <w:ind w:firstLineChars="200" w:firstLine="480"/>
        <w:jc w:val="center"/>
      </w:pPr>
      <w:r>
        <w:rPr>
          <w:rFonts w:hint="eastAsia"/>
        </w:rPr>
        <w:t>即：</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p>
    <w:p w14:paraId="5C300123" w14:textId="3411B943" w:rsidR="00514230" w:rsidRDefault="00514230" w:rsidP="00514230">
      <w:pPr>
        <w:ind w:firstLineChars="200" w:firstLine="480"/>
        <w:jc w:val="left"/>
      </w:pPr>
      <w:r>
        <w:rPr>
          <w:rFonts w:hint="eastAsia"/>
        </w:rPr>
        <w:t>将其带入另一个表达式条件：</w:t>
      </w:r>
    </w:p>
    <w:p w14:paraId="032FE88B" w14:textId="7547821F" w:rsidR="00514230" w:rsidRDefault="00000000" w:rsidP="0051423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18AAA026" w14:textId="35F89183" w:rsidR="00514230" w:rsidRDefault="00000000" w:rsidP="00514230">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oMath>
      </m:oMathPara>
    </w:p>
    <w:p w14:paraId="595BC31C" w14:textId="401DCEE0" w:rsidR="00514230" w:rsidRDefault="00514230" w:rsidP="00514230">
      <w:pPr>
        <w:spacing w:before="240"/>
        <w:ind w:firstLineChars="200" w:firstLine="480"/>
        <w:jc w:val="left"/>
        <w:rPr>
          <w:rFonts w:ascii="宋体" w:hAnsi="宋体"/>
        </w:rPr>
      </w:pPr>
      <m:oMathPara>
        <m:oMath>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5D0E5F91" w14:textId="35C65925" w:rsidR="00E94D18" w:rsidRDefault="00E94D18" w:rsidP="00E94D18">
      <w:pPr>
        <w:spacing w:before="240"/>
        <w:ind w:firstLineChars="200" w:firstLine="480"/>
        <w:jc w:val="left"/>
        <w:rPr>
          <w:rFonts w:ascii="宋体" w:hAnsi="宋体"/>
        </w:rPr>
      </w:pPr>
      <m:oMathPara>
        <m:oMath>
          <m:r>
            <w:rPr>
              <w:rFonts w:ascii="Cambria Math" w:hAnsi="Cambria Math" w:hint="eastAsia"/>
            </w:rPr>
            <m:t>=</m:t>
          </m:r>
          <m:r>
            <w:rPr>
              <w:rFonts w:ascii="Cambria Math" w:hAnsi="Cambria Math"/>
            </w:rPr>
            <m:t>(1+</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603169EB" w14:textId="77777777" w:rsidR="00281A37" w:rsidRPr="00281A37" w:rsidRDefault="00E94D18" w:rsidP="00281A37">
      <w:pPr>
        <w:ind w:firstLine="420"/>
        <w:jc w:val="left"/>
      </w:pPr>
      <w:r>
        <w:rPr>
          <w:rFonts w:hint="eastAsia"/>
        </w:rPr>
        <w:t>整理成</w:t>
      </w:r>
      <w:r>
        <w:rPr>
          <w:rFonts w:hint="eastAsia"/>
        </w:rPr>
        <w:t>x</w:t>
      </w:r>
      <w:r>
        <w:rPr>
          <w:rFonts w:hint="eastAsia"/>
        </w:rPr>
        <w:t>的多项式</w:t>
      </w:r>
      <w:r w:rsidR="00281A37">
        <w:rPr>
          <w:rFonts w:hint="eastAsia"/>
        </w:rPr>
        <w:t>即</w:t>
      </w:r>
      <w:r>
        <w:rPr>
          <w:rFonts w:hint="eastAsia"/>
        </w:rPr>
        <w:t>：</w:t>
      </w:r>
    </w:p>
    <w:p w14:paraId="427021A8" w14:textId="4A4F5309" w:rsidR="00E94D18" w:rsidRDefault="00000000" w:rsidP="00281A37">
      <w:pPr>
        <w:ind w:firstLineChars="200" w:firstLine="480"/>
        <w:jc w:val="left"/>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r>
            <w:rPr>
              <w:rFonts w:ascii="Cambria Math" w:hAnsi="Cambria Math"/>
            </w:rPr>
            <m:t xml:space="preserve">=0 </m:t>
          </m:r>
        </m:oMath>
      </m:oMathPara>
    </w:p>
    <w:p w14:paraId="4ED2726B" w14:textId="59B64F8D" w:rsidR="00514230" w:rsidRDefault="00281A37" w:rsidP="00281A37">
      <w:pPr>
        <w:ind w:firstLine="420"/>
        <w:jc w:val="left"/>
      </w:pPr>
      <w:r>
        <w:rPr>
          <w:rFonts w:hint="eastAsia"/>
        </w:rPr>
        <w:t>在这个关于</w:t>
      </w:r>
      <w:r>
        <w:rPr>
          <w:rFonts w:hint="eastAsia"/>
        </w:rPr>
        <w:t>x</w:t>
      </w:r>
      <w:r>
        <w:rPr>
          <w:rFonts w:hint="eastAsia"/>
        </w:rPr>
        <w:t>的四次方程中，没有三次项和线性项。所以可以作为关于</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的二元方程求解。</w:t>
      </w:r>
    </w:p>
    <w:p w14:paraId="7E004C60" w14:textId="6212F61E" w:rsidR="00281A37" w:rsidRPr="00281A37" w:rsidRDefault="00281A37" w:rsidP="00281A37">
      <w:pPr>
        <w:jc w:val="center"/>
        <w:rPr>
          <w:i/>
        </w:rPr>
      </w:pPr>
      <m:oMathPara>
        <m:oMath>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11018C7A" w14:textId="53B99B66" w:rsidR="00514230" w:rsidRPr="00281A37" w:rsidRDefault="00281A37" w:rsidP="00514230">
      <w:pPr>
        <w:ind w:firstLineChars="200" w:firstLine="480"/>
        <w:jc w:val="center"/>
      </w:pPr>
      <m:oMathPara>
        <m:oMath>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04F66294" w14:textId="6A0EB923" w:rsidR="00281A37" w:rsidRPr="00281A37" w:rsidRDefault="00281A37" w:rsidP="00514230">
      <w:pPr>
        <w:ind w:firstLineChars="200" w:firstLine="480"/>
        <w:jc w:val="center"/>
      </w:pPr>
      <m:oMathPara>
        <m:oMath>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oMath>
      </m:oMathPara>
    </w:p>
    <w:p w14:paraId="4C71865C" w14:textId="5274FB7E" w:rsidR="00281A37" w:rsidRPr="00281A37" w:rsidRDefault="00000000" w:rsidP="00281A37">
      <w:pPr>
        <w:spacing w:before="360" w:after="360"/>
        <w:ind w:left="357" w:firstLineChars="200" w:firstLine="480"/>
        <w:jc w:val="center"/>
        <w:rPr>
          <w:i/>
        </w:rPr>
      </w:pPr>
      <m:oMathPara>
        <m:oMathParaPr>
          <m:jc m:val="center"/>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3A2E158E" w14:textId="21CCE428" w:rsidR="001E04CD" w:rsidRPr="00281A37" w:rsidRDefault="001E04CD" w:rsidP="001E04CD">
      <w:pPr>
        <w:spacing w:before="480" w:after="360"/>
        <w:ind w:left="357" w:firstLineChars="200" w:firstLine="480"/>
        <w:jc w:val="center"/>
        <w:rPr>
          <w:i/>
        </w:rPr>
      </w:pPr>
      <m:oMathPara>
        <m:oMathParaPr>
          <m:jc m:val="center"/>
        </m:oMathParaPr>
        <m:oMath>
          <m:r>
            <w:rPr>
              <w:rFonts w:ascii="Cambria Math" w:hAnsi="Cambria Math" w:hint="eastAsia"/>
            </w:rPr>
            <m:t>x</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v</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1E9CE693" w14:textId="3EF405B0" w:rsidR="003203CA" w:rsidRDefault="000D50BC" w:rsidP="000D50BC">
      <w:pPr>
        <w:jc w:val="left"/>
      </w:pPr>
      <w:r>
        <w:rPr>
          <w:rFonts w:hint="eastAsia"/>
        </w:rPr>
        <w:t>用径向约束条件的</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r>
        <w:rPr>
          <w:rFonts w:hint="eastAsia"/>
        </w:rPr>
        <w:t>替换</w:t>
      </w:r>
      <w:r>
        <w:rPr>
          <w:rFonts w:hint="eastAsia"/>
        </w:rPr>
        <w:t>x</w:t>
      </w:r>
      <w:r>
        <w:rPr>
          <w:rFonts w:hint="eastAsia"/>
        </w:rPr>
        <w:t>，得到</w:t>
      </w:r>
      <w:r>
        <w:rPr>
          <w:rFonts w:hint="eastAsia"/>
        </w:rPr>
        <w:t>y</w:t>
      </w:r>
      <w:r>
        <w:rPr>
          <w:rFonts w:hint="eastAsia"/>
        </w:rPr>
        <w:t>的表达式：</w:t>
      </w:r>
    </w:p>
    <w:p w14:paraId="1029E75D" w14:textId="2E358641" w:rsidR="000D50BC" w:rsidRPr="00281A37" w:rsidRDefault="000D50BC" w:rsidP="000D50BC">
      <w:pPr>
        <w:spacing w:before="480" w:after="360"/>
        <w:ind w:left="357" w:firstLineChars="200" w:firstLine="480"/>
        <w:jc w:val="center"/>
        <w:rPr>
          <w:i/>
        </w:rPr>
      </w:pPr>
      <m:oMathPara>
        <m:oMathParaPr>
          <m:jc m:val="center"/>
        </m:oMathParaPr>
        <m:oMath>
          <m:r>
            <w:rPr>
              <w:rFonts w:ascii="Cambria Math" w:hAnsi="Cambria Math" w:hint="eastAsia"/>
            </w:rPr>
            <m:t>y</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u</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1BF55CC9" w14:textId="77777777" w:rsidR="000D50BC" w:rsidRDefault="000D50BC" w:rsidP="000D50BC">
      <w:pPr>
        <w:jc w:val="center"/>
      </w:pPr>
    </w:p>
    <w:p w14:paraId="17EAEB77" w14:textId="72714569" w:rsidR="003203CA" w:rsidRPr="003203CA" w:rsidRDefault="003203CA" w:rsidP="003203CA">
      <w:pPr>
        <w:pStyle w:val="3"/>
      </w:pPr>
      <w:bookmarkStart w:id="33" w:name="_Toc149754978"/>
      <w:r>
        <w:rPr>
          <w:rFonts w:hint="eastAsia"/>
        </w:rPr>
        <w:t>3.</w:t>
      </w:r>
      <w:r>
        <w:t>2</w:t>
      </w:r>
      <w:r>
        <w:rPr>
          <w:rFonts w:hint="eastAsia"/>
        </w:rPr>
        <w:t>.</w:t>
      </w:r>
      <w:r>
        <w:t xml:space="preserve">4 </w:t>
      </w:r>
      <w:r>
        <w:rPr>
          <w:rFonts w:hint="eastAsia"/>
        </w:rPr>
        <w:t>计算优化</w:t>
      </w:r>
      <w:bookmarkEnd w:id="33"/>
    </w:p>
    <w:p w14:paraId="2EA4A4EA" w14:textId="77777777" w:rsidR="00154AF7" w:rsidRDefault="00E07E4E" w:rsidP="007A7A75">
      <w:pPr>
        <w:ind w:firstLine="420"/>
        <w:rPr>
          <w:rFonts w:ascii="宋体" w:hAnsi="宋体"/>
        </w:rPr>
      </w:pPr>
      <w:r>
        <w:rPr>
          <w:rFonts w:ascii="宋体" w:hAnsi="宋体" w:hint="eastAsia"/>
        </w:rPr>
        <w:t>上一节中，我们在圆角矩形方程中，</w:t>
      </w:r>
    </w:p>
    <w:p w14:paraId="1D09A647" w14:textId="795F6CCA" w:rsidR="00154AF7" w:rsidRPr="00154AF7" w:rsidRDefault="00000000" w:rsidP="00154AF7">
      <w:pPr>
        <w:spacing w:before="240"/>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305F67B7" w14:textId="7D5766A4" w:rsidR="002B34DF" w:rsidRDefault="00E07E4E" w:rsidP="007A7A75">
      <w:pPr>
        <w:ind w:firstLine="420"/>
        <w:rPr>
          <w:rFonts w:ascii="宋体" w:hAnsi="宋体"/>
        </w:rPr>
      </w:pPr>
      <w:r>
        <w:rPr>
          <w:rFonts w:ascii="宋体" w:hAnsi="宋体" w:hint="eastAsia"/>
        </w:rPr>
        <w:t>令s</w:t>
      </w:r>
      <w:r>
        <w:rPr>
          <w:rFonts w:ascii="宋体" w:hAnsi="宋体"/>
        </w:rPr>
        <w:t>=t</w:t>
      </w:r>
      <w:r>
        <w:rPr>
          <w:rFonts w:ascii="宋体" w:hAnsi="宋体" w:hint="eastAsia"/>
        </w:rPr>
        <w:t>，</w:t>
      </w:r>
      <w:r w:rsidR="002B34DF">
        <w:rPr>
          <w:rFonts w:ascii="宋体" w:hAnsi="宋体" w:hint="eastAsia"/>
        </w:rPr>
        <w:t>得到了描述如下的正方形：</w:t>
      </w:r>
    </w:p>
    <w:p w14:paraId="326292E2" w14:textId="14B1E6AA" w:rsidR="002B34DF" w:rsidRDefault="00154AF7" w:rsidP="00154AF7">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69A2DBF9" w14:textId="07EAD191" w:rsidR="002B34DF" w:rsidRDefault="002B34DF" w:rsidP="00154AF7">
      <w:pPr>
        <w:ind w:firstLine="420"/>
        <w:rPr>
          <w:rFonts w:ascii="宋体" w:hAnsi="宋体"/>
        </w:rPr>
      </w:pPr>
      <w:r>
        <w:rPr>
          <w:rFonts w:ascii="宋体" w:hAnsi="宋体" w:hint="eastAsia"/>
        </w:rPr>
        <w:t>而这</w:t>
      </w:r>
      <w:r w:rsidR="00E07E4E">
        <w:rPr>
          <w:rFonts w:ascii="宋体" w:hAnsi="宋体" w:hint="eastAsia"/>
        </w:rPr>
        <w:t>只是一种特例，其绝非此类圆角矩形的唯一映射方式。</w:t>
      </w:r>
    </w:p>
    <w:p w14:paraId="06D45829" w14:textId="334FE7ED" w:rsidR="00375DBD" w:rsidRDefault="00375DBD" w:rsidP="007A7A75">
      <w:pPr>
        <w:ind w:firstLine="420"/>
        <w:rPr>
          <w:rFonts w:ascii="等线" w:hAnsi="等线"/>
          <w:sz w:val="21"/>
          <w:szCs w:val="21"/>
        </w:rPr>
      </w:pPr>
      <w:r>
        <w:rPr>
          <w:rFonts w:ascii="宋体" w:hAnsi="宋体" w:hint="eastAsia"/>
        </w:rPr>
        <w:t>我们发现，费尔南德斯</w:t>
      </w:r>
      <w:r w:rsidR="00154AF7">
        <w:rPr>
          <w:rFonts w:ascii="宋体" w:hAnsi="宋体" w:hint="eastAsia"/>
        </w:rPr>
        <w:t>圆角矩形</w:t>
      </w:r>
      <w:r>
        <w:rPr>
          <w:rFonts w:ascii="宋体" w:hAnsi="宋体" w:hint="eastAsia"/>
        </w:rPr>
        <w:t>可以在圆形与正方形之间插值的关键是，在</w:t>
      </w:r>
      <w:r>
        <w:rPr>
          <w:rFonts w:eastAsia="等线" w:hint="eastAsia"/>
        </w:rPr>
        <w:t>r</w:t>
      </w:r>
      <w:r>
        <w:rPr>
          <w:rFonts w:ascii="宋体" w:hAnsi="宋体" w:hint="eastAsia"/>
        </w:rPr>
        <w:t>接近</w:t>
      </w:r>
      <w:r>
        <w:rPr>
          <w:rFonts w:eastAsia="等线" w:hint="eastAsia"/>
        </w:rPr>
        <w:t>0</w:t>
      </w:r>
      <w:r>
        <w:rPr>
          <w:rFonts w:ascii="宋体" w:hAnsi="宋体" w:hint="eastAsia"/>
        </w:rPr>
        <w:t>的时候，</w:t>
      </w:r>
      <w:r>
        <w:rPr>
          <w:rFonts w:eastAsia="等线" w:hint="eastAsia"/>
        </w:rPr>
        <w:t>s</w:t>
      </w:r>
      <w:r>
        <w:rPr>
          <w:rFonts w:ascii="宋体" w:hAnsi="宋体" w:hint="eastAsia"/>
        </w:rPr>
        <w:t>也接近</w:t>
      </w:r>
      <w:r>
        <w:rPr>
          <w:rFonts w:eastAsia="等线" w:hint="eastAsia"/>
        </w:rPr>
        <w:t>0</w:t>
      </w:r>
      <w:r>
        <w:rPr>
          <w:rFonts w:ascii="宋体" w:hAnsi="宋体" w:hint="eastAsia"/>
        </w:rPr>
        <w:t>；在</w:t>
      </w:r>
      <w:r>
        <w:rPr>
          <w:rFonts w:eastAsia="等线" w:hint="eastAsia"/>
        </w:rPr>
        <w:t>r</w:t>
      </w:r>
      <w:r>
        <w:rPr>
          <w:rFonts w:ascii="宋体" w:hAnsi="宋体" w:hint="eastAsia"/>
        </w:rPr>
        <w:t>接近</w:t>
      </w:r>
      <w:r>
        <w:rPr>
          <w:rFonts w:eastAsia="等线" w:hint="eastAsia"/>
        </w:rPr>
        <w:t>1</w:t>
      </w:r>
      <w:r>
        <w:rPr>
          <w:rFonts w:ascii="宋体" w:hAnsi="宋体" w:hint="eastAsia"/>
        </w:rPr>
        <w:t>的时候，</w:t>
      </w:r>
      <w:r>
        <w:rPr>
          <w:rFonts w:eastAsia="等线" w:hint="eastAsia"/>
        </w:rPr>
        <w:t>s</w:t>
      </w:r>
      <w:r>
        <w:rPr>
          <w:rFonts w:ascii="宋体" w:hAnsi="宋体" w:hint="eastAsia"/>
        </w:rPr>
        <w:t>也接近</w:t>
      </w:r>
      <w:r>
        <w:rPr>
          <w:rFonts w:eastAsia="等线" w:hint="eastAsia"/>
        </w:rPr>
        <w:t>1</w:t>
      </w:r>
      <w:r>
        <w:rPr>
          <w:rFonts w:ascii="宋体" w:hAnsi="宋体" w:hint="eastAsia"/>
        </w:rPr>
        <w:t>。得到这样性质的关键在于，</w:t>
      </w:r>
      <m:oMath>
        <m:r>
          <m:rPr>
            <m:sty m:val="p"/>
          </m:rPr>
          <w:rPr>
            <w:rFonts w:ascii="Cambria Math" w:eastAsia="等线" w:hAnsi="Cambria Math" w:hint="eastAsia"/>
          </w:rPr>
          <m:t>s=f(r)</m:t>
        </m:r>
      </m:oMath>
      <w:r>
        <w:rPr>
          <w:rFonts w:ascii="宋体" w:hAnsi="宋体" w:hint="eastAsia"/>
        </w:rPr>
        <w:t>是一条过（</w:t>
      </w:r>
      <w:r>
        <w:rPr>
          <w:rFonts w:eastAsia="等线" w:hint="eastAsia"/>
        </w:rPr>
        <w:t>0,0</w:t>
      </w:r>
      <w:r>
        <w:rPr>
          <w:rFonts w:ascii="宋体" w:hAnsi="宋体" w:hint="eastAsia"/>
        </w:rPr>
        <w:t>）和（</w:t>
      </w:r>
      <w:r>
        <w:rPr>
          <w:rFonts w:eastAsia="等线" w:hint="eastAsia"/>
        </w:rPr>
        <w:t>1,1</w:t>
      </w:r>
      <w:r>
        <w:rPr>
          <w:rFonts w:ascii="宋体" w:hAnsi="宋体" w:hint="eastAsia"/>
        </w:rPr>
        <w:t>）点的单调增函数。</w:t>
      </w:r>
    </w:p>
    <w:p w14:paraId="1B46CEB9" w14:textId="650F6062" w:rsidR="00375DBD" w:rsidRDefault="00375DBD" w:rsidP="00375DBD">
      <w:pPr>
        <w:snapToGrid w:val="0"/>
        <w:spacing w:line="300" w:lineRule="auto"/>
        <w:ind w:firstLineChars="200" w:firstLine="480"/>
        <w:rPr>
          <w:rFonts w:ascii="宋体" w:hAnsi="宋体"/>
        </w:rPr>
      </w:pPr>
      <w:r>
        <w:rPr>
          <w:rFonts w:ascii="宋体" w:hAnsi="宋体" w:hint="eastAsia"/>
        </w:rPr>
        <w:t>令</w:t>
      </w:r>
      <w:r>
        <w:rPr>
          <w:rFonts w:hint="eastAsia"/>
        </w:rPr>
        <w:t xml:space="preserve"> </w:t>
      </w:r>
      <w:r>
        <w:rPr>
          <w:rFonts w:eastAsia="等线" w:hint="eastAsia"/>
        </w:rPr>
        <w:t>s</w:t>
      </w:r>
      <w:r>
        <w:rPr>
          <w:rFonts w:hint="eastAsia"/>
        </w:rPr>
        <w:t xml:space="preserve"> = </w:t>
      </w:r>
      <m:oMath>
        <m:r>
          <w:rPr>
            <w:rFonts w:ascii="Cambria Math" w:hAnsi="Cambria Math"/>
          </w:rPr>
          <m:t xml:space="preserve"> </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w:r>
        <w:rPr>
          <w:rFonts w:ascii="宋体" w:hAnsi="宋体" w:hint="eastAsia"/>
        </w:rPr>
        <w:t>，此时的映射方程为：</w:t>
      </w:r>
    </w:p>
    <w:p w14:paraId="0633BF23" w14:textId="58D4334B" w:rsidR="00154AF7" w:rsidRPr="001A3558" w:rsidRDefault="00000000" w:rsidP="00154AF7">
      <w:pPr>
        <w:snapToGrid w:val="0"/>
        <w:spacing w:line="300" w:lineRule="auto"/>
        <w:ind w:firstLineChars="200" w:firstLine="480"/>
        <w:jc w:val="center"/>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D247B67" w14:textId="551F7E97" w:rsidR="001A3558" w:rsidRDefault="001A3558" w:rsidP="00375DBD">
      <w:pPr>
        <w:snapToGrid w:val="0"/>
        <w:spacing w:line="300" w:lineRule="auto"/>
        <w:ind w:firstLineChars="200" w:firstLine="480"/>
        <w:rPr>
          <w:rFonts w:ascii="宋体" w:hAnsi="宋体"/>
        </w:rPr>
      </w:pPr>
      <w:r>
        <w:rPr>
          <w:rFonts w:ascii="宋体" w:hAnsi="宋体" w:hint="eastAsia"/>
        </w:rPr>
        <w:lastRenderedPageBreak/>
        <w:t>将</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Pr>
          <w:rFonts w:ascii="宋体" w:hAnsi="宋体" w:hint="eastAsia"/>
        </w:rPr>
        <w:t>分离到等式的一边并开根号：</w:t>
      </w:r>
    </w:p>
    <w:p w14:paraId="440FC20D" w14:textId="75AE9386" w:rsidR="001A3558" w:rsidRPr="001A3558" w:rsidRDefault="001A3558" w:rsidP="001A3558">
      <w:pPr>
        <w:snapToGrid w:val="0"/>
        <w:spacing w:line="300" w:lineRule="auto"/>
        <w:ind w:firstLineChars="200" w:firstLine="480"/>
        <w:jc w:val="center"/>
        <w:rPr>
          <w:rFonts w:ascii="宋体" w:hAnsi="宋体"/>
          <w:i/>
        </w:rPr>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oMath>
      </m:oMathPara>
    </w:p>
    <w:p w14:paraId="0E5BB406" w14:textId="43A62AB1" w:rsidR="001A3558" w:rsidRDefault="001A3558" w:rsidP="00375DBD">
      <w:pPr>
        <w:snapToGrid w:val="0"/>
        <w:spacing w:line="300" w:lineRule="auto"/>
        <w:ind w:firstLineChars="200" w:firstLine="480"/>
        <w:rPr>
          <w:rFonts w:ascii="宋体" w:hAnsi="宋体"/>
        </w:rPr>
      </w:pPr>
      <w:r>
        <w:rPr>
          <w:rFonts w:ascii="宋体" w:hAnsi="宋体" w:hint="eastAsia"/>
        </w:rPr>
        <w:t>将t带入表达径向映射的参数方程：</w:t>
      </w:r>
    </w:p>
    <w:p w14:paraId="397D2A08" w14:textId="0E3B8C94" w:rsidR="001A3558" w:rsidRPr="001A3558" w:rsidRDefault="001A3558" w:rsidP="001A3558">
      <w:pPr>
        <w:snapToGrid w:val="0"/>
        <w:spacing w:line="300" w:lineRule="auto"/>
        <w:ind w:firstLineChars="200" w:firstLine="480"/>
        <w:jc w:val="center"/>
        <w:rPr>
          <w:rFonts w:ascii="宋体" w:hAnsi="宋体"/>
        </w:rPr>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69935536" w14:textId="04B85C2F" w:rsidR="001A3558" w:rsidRDefault="001A3558" w:rsidP="001A3558">
      <w:pPr>
        <w:snapToGrid w:val="0"/>
        <w:spacing w:line="300" w:lineRule="auto"/>
        <w:ind w:firstLineChars="200" w:firstLine="480"/>
        <w:jc w:val="center"/>
        <w:rPr>
          <w:rFonts w:ascii="宋体" w:hAnsi="宋体"/>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14B2D072" w14:textId="059DBEA3" w:rsidR="001A3558" w:rsidRDefault="001A3558" w:rsidP="001A3558">
      <w:pPr>
        <w:snapToGrid w:val="0"/>
        <w:spacing w:line="300" w:lineRule="auto"/>
        <w:ind w:firstLineChars="200" w:firstLine="480"/>
        <w:jc w:val="left"/>
        <w:rPr>
          <w:rFonts w:ascii="宋体" w:hAnsi="宋体"/>
        </w:rPr>
      </w:pPr>
      <w:r>
        <w:rPr>
          <w:rFonts w:ascii="宋体" w:hAnsi="宋体" w:hint="eastAsia"/>
        </w:rPr>
        <w:t>化简可得u、v分别关于x、y的表达式，即正方形域到圆域的映射：</w:t>
      </w:r>
    </w:p>
    <w:p w14:paraId="2878F3A1" w14:textId="3955F9D3" w:rsidR="001A3558" w:rsidRPr="001A3558" w:rsidRDefault="001A3558" w:rsidP="001A3558">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050ED3FD" w14:textId="185A8402" w:rsidR="001A3558" w:rsidRPr="001A3558" w:rsidRDefault="001A3558" w:rsidP="001A3558">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6113F5EE" w14:textId="0E83FD46" w:rsidR="001A3558" w:rsidRDefault="001A3558" w:rsidP="001A3558">
      <w:pPr>
        <w:snapToGrid w:val="0"/>
        <w:spacing w:line="300" w:lineRule="auto"/>
        <w:ind w:firstLineChars="200" w:firstLine="480"/>
        <w:jc w:val="left"/>
        <w:rPr>
          <w:rFonts w:ascii="宋体" w:hAnsi="宋体"/>
        </w:rPr>
      </w:pPr>
      <w:r>
        <w:rPr>
          <w:rFonts w:ascii="宋体" w:hAnsi="宋体" w:hint="eastAsia"/>
        </w:rPr>
        <w:t>对于逆向的映射，</w:t>
      </w:r>
      <w:r w:rsidR="00BF03E0">
        <w:rPr>
          <w:rFonts w:ascii="宋体" w:hAnsi="宋体" w:hint="eastAsia"/>
        </w:rPr>
        <w:t>与上一节中的计算类似，也是先得到一个以u、v为参数的，关于</w:t>
      </w:r>
      <w:r w:rsidR="00BF03E0">
        <w:rPr>
          <w:rFonts w:ascii="宋体" w:hAnsi="宋体"/>
        </w:rPr>
        <w:t>x</w:t>
      </w:r>
      <w:r w:rsidR="00BF03E0">
        <w:rPr>
          <w:rFonts w:ascii="宋体" w:hAnsi="宋体" w:hint="eastAsia"/>
        </w:rPr>
        <w:t>的四次方程：</w:t>
      </w:r>
    </w:p>
    <w:p w14:paraId="12673BA8" w14:textId="3F1E404F" w:rsidR="00BF03E0" w:rsidRPr="00BF03E0" w:rsidRDefault="00000000" w:rsidP="00BF03E0">
      <w:pPr>
        <w:snapToGrid w:val="0"/>
        <w:spacing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=0</m:t>
          </m:r>
        </m:oMath>
      </m:oMathPara>
    </w:p>
    <w:p w14:paraId="65E0CC3B" w14:textId="0229C537" w:rsidR="001A3558" w:rsidRDefault="00BF03E0" w:rsidP="00375DBD">
      <w:pPr>
        <w:snapToGrid w:val="0"/>
        <w:spacing w:line="300" w:lineRule="auto"/>
        <w:ind w:firstLineChars="200" w:firstLine="480"/>
        <w:rPr>
          <w:rFonts w:ascii="宋体" w:hAnsi="宋体"/>
        </w:rPr>
      </w:pPr>
      <w:r>
        <w:rPr>
          <w:rFonts w:ascii="宋体" w:hAnsi="宋体" w:hint="eastAsia"/>
        </w:rPr>
        <w:t>同样是没有三次项和</w:t>
      </w:r>
      <w:r w:rsidR="005D2417">
        <w:rPr>
          <w:rFonts w:ascii="宋体" w:hAnsi="宋体" w:hint="eastAsia"/>
        </w:rPr>
        <w:t xml:space="preserve"> </w:t>
      </w:r>
      <w:r w:rsidR="005D2417">
        <w:rPr>
          <w:rFonts w:ascii="宋体" w:hAnsi="宋体"/>
        </w:rPr>
        <w:t xml:space="preserve">     </w:t>
      </w:r>
    </w:p>
    <w:p w14:paraId="663A56B5" w14:textId="749C5CD9" w:rsidR="00170CF3" w:rsidRPr="00170CF3" w:rsidRDefault="00000000" w:rsidP="00170CF3">
      <w:pPr>
        <w:snapToGrid w:val="0"/>
        <w:spacing w:before="240" w:after="240"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5E731E89" w14:textId="30DDD064" w:rsidR="00170CF3" w:rsidRDefault="00170CF3" w:rsidP="00375DBD">
      <w:pPr>
        <w:snapToGrid w:val="0"/>
        <w:spacing w:line="300" w:lineRule="auto"/>
        <w:ind w:firstLineChars="200" w:firstLine="480"/>
        <w:rPr>
          <w:rFonts w:ascii="宋体" w:hAnsi="宋体"/>
        </w:rPr>
      </w:pPr>
      <w:r>
        <w:rPr>
          <w:rFonts w:ascii="宋体" w:hAnsi="宋体" w:hint="eastAsia"/>
        </w:rPr>
        <w:t>最终得到圆域到正方形域的映射表达式：</w:t>
      </w:r>
    </w:p>
    <w:p w14:paraId="643F6D3A" w14:textId="1B6523D2" w:rsidR="00170CF3" w:rsidRPr="00170CF3" w:rsidRDefault="00170CF3" w:rsidP="00170CF3">
      <w:pPr>
        <w:snapToGrid w:val="0"/>
        <w:spacing w:before="240" w:after="240" w:line="300" w:lineRule="auto"/>
        <w:ind w:firstLineChars="200" w:firstLine="480"/>
        <w:jc w:val="center"/>
        <w:rPr>
          <w:rFonts w:ascii="宋体" w:hAnsi="宋体"/>
        </w:rPr>
      </w:pPr>
      <m:oMathPara>
        <m:oMath>
          <m:r>
            <w:rPr>
              <w:rFonts w:ascii="Cambria Math" w:hAnsi="Cambria Math"/>
            </w:rPr>
            <m:t>x=</m:t>
          </m:r>
          <m:f>
            <m:fPr>
              <m:ctrlPr>
                <w:rPr>
                  <w:rFonts w:ascii="Cambria Math" w:hAnsi="Cambria Math"/>
                  <w:i/>
                </w:rPr>
              </m:ctrlPr>
            </m:fPr>
            <m:num>
              <m:r>
                <w:rPr>
                  <w:rFonts w:ascii="Cambria Math" w:hAnsi="Cambria Math"/>
                </w:rPr>
                <m:t>sgn(uv)</m:t>
              </m:r>
            </m:num>
            <m:den>
              <m:r>
                <w:rPr>
                  <w:rFonts w:ascii="Cambria Math" w:hAnsi="Cambria Math"/>
                </w:rPr>
                <m:t>v</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143CB68A" w14:textId="0078964B" w:rsidR="00170CF3" w:rsidRDefault="00170CF3" w:rsidP="008B54FE">
      <w:pPr>
        <w:snapToGrid w:val="0"/>
        <w:spacing w:before="240" w:after="240" w:line="300" w:lineRule="auto"/>
        <w:ind w:firstLineChars="200" w:firstLine="480"/>
        <w:jc w:val="center"/>
        <w:rPr>
          <w:rFonts w:ascii="宋体" w:hAnsi="宋体"/>
        </w:rPr>
      </w:pPr>
      <m:oMathPara>
        <m:oMath>
          <m:r>
            <w:rPr>
              <w:rFonts w:ascii="Cambria Math" w:hAnsi="Cambria Math"/>
            </w:rPr>
            <m:t>y=</m:t>
          </m:r>
          <m:f>
            <m:fPr>
              <m:ctrlPr>
                <w:rPr>
                  <w:rFonts w:ascii="Cambria Math" w:hAnsi="Cambria Math"/>
                  <w:i/>
                </w:rPr>
              </m:ctrlPr>
            </m:fPr>
            <m:num>
              <m:r>
                <w:rPr>
                  <w:rFonts w:ascii="Cambria Math" w:hAnsi="Cambria Math"/>
                </w:rPr>
                <m:t>sgn(uv)</m:t>
              </m:r>
            </m:num>
            <m:den>
              <m:r>
                <w:rPr>
                  <w:rFonts w:ascii="Cambria Math" w:hAnsi="Cambria Math"/>
                </w:rPr>
                <m:t>u</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69D5A9D8" w14:textId="4F031F43" w:rsidR="00606E57" w:rsidRDefault="00375DBD" w:rsidP="00586D2B">
      <w:pPr>
        <w:snapToGrid w:val="0"/>
        <w:spacing w:line="300" w:lineRule="auto"/>
        <w:ind w:firstLineChars="200" w:firstLine="480"/>
      </w:pPr>
      <w:r>
        <w:rPr>
          <w:rFonts w:ascii="宋体" w:hAnsi="宋体" w:hint="eastAsia"/>
        </w:rPr>
        <w:t>因为</w:t>
      </w:r>
      <w:r w:rsidR="00A851E1">
        <w:rPr>
          <w:rFonts w:ascii="宋体" w:hAnsi="宋体" w:hint="eastAsia"/>
        </w:rPr>
        <w:t>是上一节中</w:t>
      </w:r>
      <w:r w:rsidR="00202F3B">
        <w:rPr>
          <w:rFonts w:ascii="宋体" w:hAnsi="宋体" w:hint="eastAsia"/>
        </w:rPr>
        <w:t>圆域</w:t>
      </w:r>
      <w:r w:rsidR="005F4C4C">
        <w:rPr>
          <w:rFonts w:ascii="宋体" w:hAnsi="宋体" w:hint="eastAsia"/>
        </w:rPr>
        <w:t>-</w:t>
      </w:r>
      <w:r w:rsidR="00202F3B">
        <w:rPr>
          <w:rFonts w:ascii="宋体" w:hAnsi="宋体" w:hint="eastAsia"/>
        </w:rPr>
        <w:t>正方形域</w:t>
      </w:r>
      <w:r w:rsidR="00A851E1">
        <w:rPr>
          <w:rFonts w:ascii="宋体" w:hAnsi="宋体" w:hint="eastAsia"/>
        </w:rPr>
        <w:t>映射</w:t>
      </w:r>
      <w:r w:rsidR="00E042F7">
        <w:rPr>
          <w:rFonts w:ascii="宋体" w:hAnsi="宋体" w:hint="eastAsia"/>
        </w:rPr>
        <w:t>方程</w:t>
      </w:r>
      <w:r>
        <w:rPr>
          <w:rFonts w:ascii="宋体" w:hAnsi="宋体" w:hint="eastAsia"/>
        </w:rPr>
        <w:t>的变形版本，所以</w:t>
      </w:r>
      <w:r w:rsidR="00DD3822">
        <w:rPr>
          <w:rFonts w:ascii="宋体" w:hAnsi="宋体" w:hint="eastAsia"/>
        </w:rPr>
        <w:t>其性质与</w:t>
      </w:r>
      <w:r>
        <w:rPr>
          <w:rFonts w:ascii="宋体" w:hAnsi="宋体" w:hint="eastAsia"/>
        </w:rPr>
        <w:t>结果类似，</w:t>
      </w:r>
      <w:r w:rsidR="00DD3822">
        <w:rPr>
          <w:rFonts w:ascii="宋体" w:hAnsi="宋体" w:hint="eastAsia"/>
        </w:rPr>
        <w:t>仅凭人眼无法直观地区分两种映射的效果，</w:t>
      </w:r>
      <w:r>
        <w:rPr>
          <w:rFonts w:ascii="宋体" w:hAnsi="宋体" w:hint="eastAsia"/>
        </w:rPr>
        <w:t>但是其解在计算上更简单。</w:t>
      </w:r>
    </w:p>
    <w:p w14:paraId="2EDC9ADF" w14:textId="77777777" w:rsidR="003203CA" w:rsidRPr="00E63766" w:rsidRDefault="003203CA" w:rsidP="00E63766"/>
    <w:p w14:paraId="3A34835E" w14:textId="3E5E83ED" w:rsidR="00655C8F" w:rsidRDefault="00655C8F" w:rsidP="00655C8F">
      <w:pPr>
        <w:pStyle w:val="2"/>
      </w:pPr>
      <w:bookmarkStart w:id="34" w:name="_Toc149754979"/>
      <w:r>
        <w:rPr>
          <w:rFonts w:hint="eastAsia"/>
        </w:rPr>
        <w:t>3.</w:t>
      </w:r>
      <w:r>
        <w:t xml:space="preserve">3 </w:t>
      </w:r>
      <w:r>
        <w:rPr>
          <w:rFonts w:hint="eastAsia"/>
        </w:rPr>
        <w:t>帧间反走样</w:t>
      </w:r>
      <w:bookmarkEnd w:id="34"/>
    </w:p>
    <w:p w14:paraId="7373E83B" w14:textId="61C815B2" w:rsidR="00B8320D" w:rsidRPr="003024E6" w:rsidRDefault="003024E6" w:rsidP="003024E6">
      <w:pPr>
        <w:ind w:firstLine="420"/>
      </w:pPr>
      <w:r w:rsidRPr="003024E6">
        <w:rPr>
          <w:rFonts w:hint="eastAsia"/>
        </w:rPr>
        <w:t>因为</w:t>
      </w:r>
      <w:r w:rsidRPr="003024E6">
        <w:t>人眼对闪烁的高度敏感性</w:t>
      </w:r>
      <w:r w:rsidRPr="003024E6">
        <w:rPr>
          <w:rFonts w:hint="eastAsia"/>
        </w:rPr>
        <w:t>，</w:t>
      </w:r>
      <w:r w:rsidRPr="003024E6">
        <w:t>和人眼视觉外围对模糊的低敏感性，我们独特地设计了一种改进</w:t>
      </w:r>
      <w:r w:rsidRPr="003024E6">
        <w:rPr>
          <w:rFonts w:hint="eastAsia"/>
        </w:rPr>
        <w:t>帧间凡走样</w:t>
      </w:r>
      <w:r w:rsidRPr="003024E6">
        <w:t>算法，该算法通过使用方差</w:t>
      </w:r>
      <w:r w:rsidRPr="003024E6">
        <w:rPr>
          <w:rFonts w:hint="eastAsia"/>
        </w:rPr>
        <w:t>采样</w:t>
      </w:r>
      <w:r w:rsidRPr="003024E6">
        <w:t>及其它一些创新策略，提供了更好的视觉体验。</w:t>
      </w:r>
    </w:p>
    <w:p w14:paraId="020A0E3C" w14:textId="797615E7" w:rsidR="003024E6" w:rsidRPr="003024E6" w:rsidRDefault="003024E6" w:rsidP="003024E6">
      <w:pPr>
        <w:ind w:firstLine="420"/>
      </w:pPr>
      <w:r w:rsidRPr="003024E6">
        <w:t>首先，高光闪烁问题的出现主要是由于光线在物体表面反射产生</w:t>
      </w:r>
      <w:r w:rsidR="007B2E26">
        <w:rPr>
          <w:rFonts w:hint="eastAsia"/>
        </w:rPr>
        <w:t>的</w:t>
      </w:r>
      <w:r w:rsidRPr="003024E6">
        <w:t>亮斑，</w:t>
      </w:r>
      <w:r w:rsidR="007B2E26">
        <w:rPr>
          <w:rFonts w:hint="eastAsia"/>
        </w:rPr>
        <w:t>具有高频率和高对比度的特性。</w:t>
      </w:r>
      <w:r w:rsidRPr="003024E6">
        <w:t>在</w:t>
      </w:r>
      <w:r w:rsidR="008B0A0C">
        <w:rPr>
          <w:rFonts w:hint="eastAsia"/>
        </w:rPr>
        <w:t>光栅化</w:t>
      </w:r>
      <w:r w:rsidRPr="003024E6">
        <w:t>显示时</w:t>
      </w:r>
      <w:r w:rsidR="008B0A0C">
        <w:rPr>
          <w:rFonts w:hint="eastAsia"/>
        </w:rPr>
        <w:t>，因为较低的采样率（尤其是上一节中经过映射后的</w:t>
      </w:r>
      <w:r w:rsidR="007F7EBC">
        <w:rPr>
          <w:rFonts w:hint="eastAsia"/>
        </w:rPr>
        <w:t>几何缓冲区</w:t>
      </w:r>
      <w:r w:rsidR="008B0A0C">
        <w:rPr>
          <w:rFonts w:hint="eastAsia"/>
        </w:rPr>
        <w:t>，其</w:t>
      </w:r>
      <w:r w:rsidR="00397FA6">
        <w:rPr>
          <w:rFonts w:hint="eastAsia"/>
        </w:rPr>
        <w:t>使得</w:t>
      </w:r>
      <w:r w:rsidR="008B0A0C">
        <w:rPr>
          <w:rFonts w:hint="eastAsia"/>
        </w:rPr>
        <w:t>外围像素对场景的采样率更低），所以会</w:t>
      </w:r>
      <w:r w:rsidRPr="003024E6">
        <w:t>出现</w:t>
      </w:r>
      <w:r w:rsidR="008B0A0C">
        <w:rPr>
          <w:rFonts w:hint="eastAsia"/>
        </w:rPr>
        <w:t>高光</w:t>
      </w:r>
      <w:r w:rsidRPr="003024E6">
        <w:t>闪烁</w:t>
      </w:r>
      <w:r w:rsidR="008B0A0C">
        <w:rPr>
          <w:rFonts w:hint="eastAsia"/>
        </w:rPr>
        <w:t>的现象</w:t>
      </w:r>
      <w:r w:rsidRPr="003024E6">
        <w:t>。传统的</w:t>
      </w:r>
      <w:r w:rsidR="00473F66">
        <w:rPr>
          <w:rFonts w:hint="eastAsia"/>
        </w:rPr>
        <w:t>各类反走样和滤波的</w:t>
      </w:r>
      <w:r w:rsidRPr="003024E6">
        <w:t>方法提供了一种四舍五入的解决方案，这在消除锯齿和一些细微的闪烁上是有效的。但是，当应对更</w:t>
      </w:r>
      <w:r w:rsidR="00611B47">
        <w:rPr>
          <w:rFonts w:hint="eastAsia"/>
        </w:rPr>
        <w:t>具有强对比度和高频率</w:t>
      </w:r>
      <w:r w:rsidRPr="003024E6">
        <w:t>的闪烁问题时，其效果难以满足。对于高光闪烁，</w:t>
      </w:r>
      <w:r w:rsidR="00D16427">
        <w:rPr>
          <w:rFonts w:hint="eastAsia"/>
        </w:rPr>
        <w:t>最大程度的</w:t>
      </w:r>
      <w:r w:rsidRPr="003024E6">
        <w:t>消除闪烁效果是我们</w:t>
      </w:r>
      <w:r w:rsidR="00D16427">
        <w:rPr>
          <w:rFonts w:hint="eastAsia"/>
        </w:rPr>
        <w:t>所</w:t>
      </w:r>
      <w:r w:rsidRPr="003024E6">
        <w:t>需要的。</w:t>
      </w:r>
    </w:p>
    <w:p w14:paraId="30A83AB8" w14:textId="307676F5" w:rsidR="003024E6" w:rsidRDefault="003024E6" w:rsidP="00960B32">
      <w:pPr>
        <w:ind w:firstLine="420"/>
        <w:rPr>
          <w:rFonts w:hint="eastAsia"/>
        </w:rPr>
      </w:pPr>
      <w:r w:rsidRPr="003024E6">
        <w:t>我们所提出的</w:t>
      </w:r>
      <w:r w:rsidRPr="003024E6">
        <w:t>TAA</w:t>
      </w:r>
      <w:r w:rsidRPr="003024E6">
        <w:t>算法，通过当前帧与前一帧的图像信息计算，合并产生新的帧，独特的是，在标准</w:t>
      </w:r>
      <w:r w:rsidRPr="003024E6">
        <w:t>TAA</w:t>
      </w:r>
      <w:r w:rsidRPr="003024E6">
        <w:t>计算中并入了方巧优化，尽可能地减少图像的尾影效果。</w:t>
      </w:r>
    </w:p>
    <w:p w14:paraId="7BF7B39F" w14:textId="25C2C2CA" w:rsidR="00B8320D" w:rsidRDefault="00B8320D" w:rsidP="006839CD">
      <w:pPr>
        <w:ind w:firstLine="420"/>
        <w:rPr>
          <w:rFonts w:hint="eastAsia"/>
        </w:rPr>
      </w:pPr>
      <w:r>
        <w:rPr>
          <w:rFonts w:hint="eastAsia"/>
        </w:rPr>
        <w:t>我们的新算法</w:t>
      </w:r>
      <w:r>
        <w:rPr>
          <w:rFonts w:hint="eastAsia"/>
        </w:rPr>
        <w:t xml:space="preserve"> "</w:t>
      </w:r>
      <w:r>
        <w:rPr>
          <w:rFonts w:hint="eastAsia"/>
        </w:rPr>
        <w:t>方差采样</w:t>
      </w:r>
      <w:r>
        <w:rPr>
          <w:rFonts w:hint="eastAsia"/>
        </w:rPr>
        <w:t xml:space="preserve"> "</w:t>
      </w:r>
      <w:r>
        <w:rPr>
          <w:rFonts w:hint="eastAsia"/>
        </w:rPr>
        <w:t>源自</w:t>
      </w:r>
      <w:r>
        <w:rPr>
          <w:rFonts w:hint="eastAsia"/>
        </w:rPr>
        <w:t xml:space="preserve"> Karis [2014] </w:t>
      </w:r>
      <w:r>
        <w:rPr>
          <w:rFonts w:hint="eastAsia"/>
        </w:rPr>
        <w:t>所描述的算法，但引入了可变大小</w:t>
      </w:r>
      <w:r w:rsidR="009F5FE0">
        <w:rPr>
          <w:rFonts w:hint="eastAsia"/>
        </w:rPr>
        <w:t>的</w:t>
      </w:r>
      <w:r>
        <w:rPr>
          <w:rFonts w:hint="eastAsia"/>
        </w:rPr>
        <w:t>采样和</w:t>
      </w:r>
      <w:r w:rsidR="00C714BA">
        <w:rPr>
          <w:rFonts w:hint="eastAsia"/>
        </w:rPr>
        <w:t>对历史帧更</w:t>
      </w:r>
      <w:r w:rsidR="00C15ED6">
        <w:rPr>
          <w:rFonts w:hint="eastAsia"/>
        </w:rPr>
        <w:t>为</w:t>
      </w:r>
      <w:r w:rsidR="00C714BA">
        <w:rPr>
          <w:rFonts w:hint="eastAsia"/>
        </w:rPr>
        <w:t>严格的纠正</w:t>
      </w:r>
      <w:r>
        <w:rPr>
          <w:rFonts w:hint="eastAsia"/>
        </w:rPr>
        <w:t>。</w:t>
      </w:r>
      <w:r w:rsidR="00D636C2" w:rsidRPr="003024E6">
        <w:t>以此来消除高光闪烁。</w:t>
      </w:r>
      <w:r w:rsidR="001549EF" w:rsidRPr="003024E6">
        <w:t>同时，利用人眼的生理特性，使得轻微的模糊在外围视觉中不会产生显著的不适感。</w:t>
      </w:r>
    </w:p>
    <w:p w14:paraId="68B2C4B5" w14:textId="2804A06E" w:rsidR="00B8320D" w:rsidRDefault="006839CD" w:rsidP="006839CD">
      <w:pPr>
        <w:pStyle w:val="3"/>
      </w:pPr>
      <w:r>
        <w:rPr>
          <w:rFonts w:hint="eastAsia"/>
        </w:rPr>
        <w:t>3.</w:t>
      </w:r>
      <w:r>
        <w:t>3</w:t>
      </w:r>
      <w:r>
        <w:rPr>
          <w:rFonts w:hint="eastAsia"/>
        </w:rPr>
        <w:t>.</w:t>
      </w:r>
      <w:r>
        <w:t>1</w:t>
      </w:r>
      <w:r w:rsidR="00B8320D">
        <w:rPr>
          <w:rFonts w:hint="eastAsia"/>
        </w:rPr>
        <w:t>背景介绍</w:t>
      </w:r>
      <w:r w:rsidR="00B8320D">
        <w:rPr>
          <w:rFonts w:hint="eastAsia"/>
        </w:rPr>
        <w:t xml:space="preserve"> </w:t>
      </w:r>
    </w:p>
    <w:p w14:paraId="5788BA05" w14:textId="1A089A68" w:rsidR="00B8320D" w:rsidRDefault="00B8320D" w:rsidP="008F530B">
      <w:pPr>
        <w:ind w:firstLine="420"/>
        <w:rPr>
          <w:rFonts w:hint="eastAsia"/>
        </w:rPr>
      </w:pPr>
      <w:r>
        <w:rPr>
          <w:rFonts w:hint="eastAsia"/>
        </w:rPr>
        <w:t>重复使用先前帧的样本需要进行时间重投影，以保持图像的稳定性。</w:t>
      </w:r>
      <w:r>
        <w:rPr>
          <w:rFonts w:hint="eastAsia"/>
        </w:rPr>
        <w:t xml:space="preserve">Guenter </w:t>
      </w:r>
      <w:r>
        <w:rPr>
          <w:rFonts w:hint="eastAsia"/>
        </w:rPr>
        <w:t>等人的研究</w:t>
      </w:r>
      <w:r>
        <w:rPr>
          <w:rFonts w:hint="eastAsia"/>
        </w:rPr>
        <w:t>[2012]</w:t>
      </w:r>
      <w:r>
        <w:rPr>
          <w:rFonts w:hint="eastAsia"/>
        </w:rPr>
        <w:t>依赖于这种投影。最先进的时间抗锯齿（</w:t>
      </w:r>
      <w:r>
        <w:rPr>
          <w:rFonts w:hint="eastAsia"/>
        </w:rPr>
        <w:t>TAA</w:t>
      </w:r>
      <w:r>
        <w:rPr>
          <w:rFonts w:hint="eastAsia"/>
        </w:rPr>
        <w:t>）变体</w:t>
      </w:r>
      <w:r>
        <w:rPr>
          <w:rFonts w:hint="eastAsia"/>
        </w:rPr>
        <w:t>[Karis 2014</w:t>
      </w:r>
      <w:r>
        <w:rPr>
          <w:rFonts w:hint="eastAsia"/>
        </w:rPr>
        <w:t>；</w:t>
      </w:r>
      <w:r>
        <w:rPr>
          <w:rFonts w:hint="eastAsia"/>
        </w:rPr>
        <w:t xml:space="preserve">Jimenez </w:t>
      </w:r>
      <w:r>
        <w:rPr>
          <w:rFonts w:hint="eastAsia"/>
        </w:rPr>
        <w:t>等人，</w:t>
      </w:r>
      <w:r>
        <w:rPr>
          <w:rFonts w:hint="eastAsia"/>
        </w:rPr>
        <w:t>2012]</w:t>
      </w:r>
      <w:r>
        <w:rPr>
          <w:rFonts w:hint="eastAsia"/>
        </w:rPr>
        <w:t>具有最小的计算和内存开销，并能显著改善图像质量。</w:t>
      </w:r>
      <w:r>
        <w:rPr>
          <w:rFonts w:hint="eastAsia"/>
        </w:rPr>
        <w:t xml:space="preserve">TAA </w:t>
      </w:r>
      <w:r>
        <w:rPr>
          <w:rFonts w:hint="eastAsia"/>
        </w:rPr>
        <w:t>可以进行调整，以减少各种噪声和混叠，包括镜面混叠、几何混叠、着色器混叠和随机噪声。作为减少混叠的交换条件，它往往会去除高频细节或引入重影，因为前一帧的细节在可以正确再投影后仍然存在。</w:t>
      </w:r>
    </w:p>
    <w:p w14:paraId="335541FC" w14:textId="77777777" w:rsidR="00B8320D" w:rsidRDefault="00B8320D" w:rsidP="008F530B">
      <w:pPr>
        <w:ind w:firstLine="420"/>
      </w:pPr>
      <w:r>
        <w:rPr>
          <w:rFonts w:hint="eastAsia"/>
        </w:rPr>
        <w:t>持续整合前一帧的色彩样本是摊销超采样成本的常用方法</w:t>
      </w:r>
      <w:r>
        <w:rPr>
          <w:rFonts w:hint="eastAsia"/>
        </w:rPr>
        <w:t xml:space="preserve">[Yang </w:t>
      </w:r>
      <w:r>
        <w:rPr>
          <w:rFonts w:hint="eastAsia"/>
        </w:rPr>
        <w:t>等人，</w:t>
      </w:r>
      <w:r>
        <w:rPr>
          <w:rFonts w:hint="eastAsia"/>
        </w:rPr>
        <w:t>2009]</w:t>
      </w:r>
      <w:r>
        <w:rPr>
          <w:rFonts w:hint="eastAsia"/>
        </w:rPr>
        <w:t>，但在使用陈旧样本时很容易产生重影走样。</w:t>
      </w:r>
      <w:r>
        <w:rPr>
          <w:rFonts w:hint="eastAsia"/>
        </w:rPr>
        <w:t xml:space="preserve">Karis [2014] </w:t>
      </w:r>
      <w:r>
        <w:rPr>
          <w:rFonts w:hint="eastAsia"/>
        </w:rPr>
        <w:t>的</w:t>
      </w:r>
      <w:r>
        <w:rPr>
          <w:rFonts w:hint="eastAsia"/>
        </w:rPr>
        <w:t xml:space="preserve"> TAA </w:t>
      </w:r>
      <w:r>
        <w:rPr>
          <w:rFonts w:hint="eastAsia"/>
        </w:rPr>
        <w:t>技术通过调节与</w:t>
      </w:r>
      <w:r>
        <w:rPr>
          <w:rFonts w:hint="eastAsia"/>
        </w:rPr>
        <w:lastRenderedPageBreak/>
        <w:t>当前帧样本不一致的前一帧色彩样本来减少重影。</w:t>
      </w:r>
    </w:p>
    <w:p w14:paraId="3A97E2E9" w14:textId="0DB40EFC" w:rsidR="004C0FAF" w:rsidRDefault="00B8320D" w:rsidP="008F530B">
      <w:pPr>
        <w:ind w:firstLine="420"/>
      </w:pPr>
      <w:r>
        <w:rPr>
          <w:rFonts w:hint="eastAsia"/>
        </w:rPr>
        <w:t>首先，该方法在色彩空间中计算出一个轴对齐的边界框，其中包含当前帧中局部</w:t>
      </w:r>
      <w:r>
        <w:rPr>
          <w:rFonts w:hint="eastAsia"/>
        </w:rPr>
        <w:t>3</w:t>
      </w:r>
      <w:r>
        <w:rPr>
          <w:rFonts w:hint="eastAsia"/>
        </w:rPr>
        <w:t>×</w:t>
      </w:r>
      <w:r>
        <w:rPr>
          <w:rFonts w:hint="eastAsia"/>
        </w:rPr>
        <w:t>3</w:t>
      </w:r>
      <w:r>
        <w:rPr>
          <w:rFonts w:hint="eastAsia"/>
        </w:rPr>
        <w:t>像素窗口内的所有色彩样本。</w:t>
      </w:r>
      <w:r>
        <w:rPr>
          <w:rFonts w:hint="eastAsia"/>
        </w:rPr>
        <w:t>3</w:t>
      </w:r>
      <w:r>
        <w:rPr>
          <w:rFonts w:hint="eastAsia"/>
        </w:rPr>
        <w:t>×</w:t>
      </w:r>
      <w:r>
        <w:rPr>
          <w:rFonts w:hint="eastAsia"/>
        </w:rPr>
        <w:t xml:space="preserve">3 </w:t>
      </w:r>
      <w:r>
        <w:rPr>
          <w:rFonts w:hint="eastAsia"/>
        </w:rPr>
        <w:t>窗口以当前像素为中心，颜色为</w:t>
      </w:r>
      <w:r>
        <w:rPr>
          <w:rFonts w:hint="eastAsia"/>
        </w:rPr>
        <w:t xml:space="preserve"> Ct</w:t>
      </w:r>
      <w:r>
        <w:rPr>
          <w:rFonts w:hint="eastAsia"/>
        </w:rPr>
        <w:t>。其次，将上一帧的反向投影和重新采样的颜色</w:t>
      </w:r>
      <w:r>
        <w:rPr>
          <w:rFonts w:hint="eastAsia"/>
        </w:rPr>
        <w:t xml:space="preserve"> Ct-1 </w:t>
      </w:r>
      <w:r>
        <w:rPr>
          <w:rFonts w:hint="eastAsia"/>
        </w:rPr>
        <w:t>夹在该边界框中。从上一帧重新使用的数据如果被包围在边界框内，则不会受到影响。相反，经过</w:t>
      </w:r>
      <w:r w:rsidR="008F530B">
        <w:rPr>
          <w:rFonts w:hint="eastAsia"/>
        </w:rPr>
        <w:t>截断</w:t>
      </w:r>
      <w:r>
        <w:rPr>
          <w:rFonts w:hint="eastAsia"/>
        </w:rPr>
        <w:t>操作后，重新使用的数据将位于边界框的边缘，从而与当前的色彩数据更加一致。最后，通过使用指数移动平均法对新的</w:t>
      </w:r>
      <w:r w:rsidR="008F530B">
        <w:rPr>
          <w:rFonts w:hint="eastAsia"/>
        </w:rPr>
        <w:t>着色</w:t>
      </w:r>
      <w:r>
        <w:rPr>
          <w:rFonts w:hint="eastAsia"/>
        </w:rPr>
        <w:t>数据和</w:t>
      </w:r>
      <w:r w:rsidR="008F530B">
        <w:rPr>
          <w:rFonts w:hint="eastAsia"/>
        </w:rPr>
        <w:t>截断</w:t>
      </w:r>
      <w:r>
        <w:rPr>
          <w:rFonts w:hint="eastAsia"/>
        </w:rPr>
        <w:t>后的颜色样本</w:t>
      </w:r>
      <w:r>
        <w:rPr>
          <w:rFonts w:hint="eastAsia"/>
        </w:rPr>
        <w:t xml:space="preserve"> C 0 t-1 </w:t>
      </w:r>
      <w:r>
        <w:rPr>
          <w:rFonts w:hint="eastAsia"/>
        </w:rPr>
        <w:t>进行整合，实现时间超采样：</w:t>
      </w:r>
    </w:p>
    <w:p w14:paraId="0DA83ED1" w14:textId="314F2F07" w:rsidR="00B8320D" w:rsidRDefault="00570409" w:rsidP="00B8320D">
      <m:oMathPara>
        <m:oMath>
          <m:r>
            <w:rPr>
              <w:rFonts w:ascii="Cambria Math" w:hAnsi="Cambria Math" w:hint="eastAsia"/>
            </w:rPr>
            <m:t>Ct=</m:t>
          </m:r>
        </m:oMath>
      </m:oMathPara>
    </w:p>
    <w:p w14:paraId="07D7F668" w14:textId="28596BF5" w:rsidR="00A30B5C" w:rsidRDefault="00570409" w:rsidP="00570409">
      <w:pPr>
        <w:pStyle w:val="3"/>
      </w:pPr>
      <w:r>
        <w:rPr>
          <w:rFonts w:hint="eastAsia"/>
        </w:rPr>
        <w:t>3</w:t>
      </w:r>
      <w:r>
        <w:t xml:space="preserve">.3.2 </w:t>
      </w:r>
      <w:r w:rsidR="00A30B5C">
        <w:rPr>
          <w:rFonts w:hint="eastAsia"/>
        </w:rPr>
        <w:t>方差采样</w:t>
      </w:r>
      <w:r w:rsidR="00A30B5C">
        <w:rPr>
          <w:rFonts w:hint="eastAsia"/>
        </w:rPr>
        <w:t xml:space="preserve"> </w:t>
      </w:r>
    </w:p>
    <w:p w14:paraId="0314B9B2" w14:textId="77777777" w:rsidR="00A30B5C" w:rsidRDefault="00A30B5C" w:rsidP="00A30B5C">
      <w:r>
        <w:rPr>
          <w:rFonts w:hint="eastAsia"/>
        </w:rPr>
        <w:t>上述方法在游戏开发者中广受欢迎，但仍存在明显的重影走样问题。这是由于离群的色彩样本大大扩展了边界框，使其无法很好地呈现局部色彩分布。此外，以往的注视点渲染技术也不能很好地与这种方法配合使用，因为色彩样本会被复制到许多像素上，从而削弱了我们对局部色彩分布的了解。在更大的像素窗口上计算色彩空间边界框，能显著改善我们对局部色彩分布的了解，但成本高昂。</w:t>
      </w:r>
    </w:p>
    <w:p w14:paraId="4D2480D5" w14:textId="77777777" w:rsidR="00A30B5C" w:rsidRDefault="00A30B5C" w:rsidP="00A30B5C"/>
    <w:p w14:paraId="0C6F5ACE" w14:textId="77777777" w:rsidR="00A30B5C" w:rsidRDefault="00A30B5C" w:rsidP="00A30B5C">
      <w:r>
        <w:rPr>
          <w:rFonts w:hint="eastAsia"/>
        </w:rPr>
        <w:t>我们引入了方差采样，这是一种明确计算</w:t>
      </w:r>
      <w:r>
        <w:rPr>
          <w:rFonts w:hint="eastAsia"/>
        </w:rPr>
        <w:t xml:space="preserve"> </w:t>
      </w:r>
      <w:r>
        <w:rPr>
          <w:rFonts w:hint="eastAsia"/>
        </w:rPr>
        <w:t>的前两个原始矩</w:t>
      </w:r>
      <w:r>
        <w:rPr>
          <w:rFonts w:hint="eastAsia"/>
        </w:rPr>
        <w:t xml:space="preserve"> </w:t>
      </w:r>
      <w:r>
        <w:rPr>
          <w:rFonts w:hint="eastAsia"/>
        </w:rPr>
        <w:t>颜色分量</w:t>
      </w:r>
      <w:r>
        <w:rPr>
          <w:rFonts w:hint="eastAsia"/>
        </w:rPr>
        <w:t xml:space="preserve"> i </w:t>
      </w:r>
      <w:r>
        <w:rPr>
          <w:rFonts w:hint="eastAsia"/>
        </w:rPr>
        <w:t>的前两个原始矩：</w:t>
      </w:r>
    </w:p>
    <w:p w14:paraId="26FB38C6" w14:textId="77777777" w:rsidR="00A30B5C" w:rsidRDefault="00A30B5C" w:rsidP="00A30B5C"/>
    <w:p w14:paraId="588F9F8C" w14:textId="0EBDD6A7" w:rsidR="00B8320D" w:rsidRDefault="00A30B5C" w:rsidP="00A30B5C">
      <w:r>
        <w:rPr>
          <w:rFonts w:hint="eastAsia"/>
        </w:rPr>
        <w:t>这样，我们就能得出分布均值</w:t>
      </w:r>
      <w:r>
        <w:rPr>
          <w:rFonts w:hint="eastAsia"/>
        </w:rPr>
        <w:t xml:space="preserve"> µi = m1i </w:t>
      </w:r>
      <w:r>
        <w:rPr>
          <w:rFonts w:hint="eastAsia"/>
        </w:rPr>
        <w:t>和标准偏差</w:t>
      </w:r>
      <w:r>
        <w:rPr>
          <w:rFonts w:hint="eastAsia"/>
        </w:rPr>
        <w:t xml:space="preserve"> </w:t>
      </w:r>
      <w:r>
        <w:rPr>
          <w:rFonts w:hint="eastAsia"/>
        </w:rPr>
        <w:t>σ</w:t>
      </w:r>
      <w:r>
        <w:rPr>
          <w:rFonts w:hint="eastAsia"/>
        </w:rPr>
        <w:t>i = p (m2i - m2 1i )</w:t>
      </w:r>
      <w:r>
        <w:rPr>
          <w:rFonts w:hint="eastAsia"/>
        </w:rPr>
        <w:t>，从而生成一个以</w:t>
      </w:r>
      <w:r>
        <w:rPr>
          <w:rFonts w:hint="eastAsia"/>
        </w:rPr>
        <w:t xml:space="preserve"> µi </w:t>
      </w:r>
      <w:r>
        <w:rPr>
          <w:rFonts w:hint="eastAsia"/>
        </w:rPr>
        <w:t>为中心的包围盒，包围盒的范围由</w:t>
      </w:r>
      <w:r>
        <w:rPr>
          <w:rFonts w:hint="eastAsia"/>
        </w:rPr>
        <w:t xml:space="preserve"> </w:t>
      </w:r>
      <w:r>
        <w:rPr>
          <w:rFonts w:hint="eastAsia"/>
        </w:rPr>
        <w:t>σ</w:t>
      </w:r>
      <w:r>
        <w:rPr>
          <w:rFonts w:hint="eastAsia"/>
        </w:rPr>
        <w:t xml:space="preserve">i </w:t>
      </w:r>
      <w:r>
        <w:rPr>
          <w:rFonts w:hint="eastAsia"/>
        </w:rPr>
        <w:t>确定，最大可达一个缩放因子。这种方法有两大好处。首先，我们的色彩边界框倾向于自然排除异常值，它能更好地包围当前帧色彩样本所在的色彩空间区域，与之前的方法相比，能有效减少重影走样，同时不增加计算和内存带宽成本。其次，分布的原始矩是线性量，可以在大图像区域内进行预过滤（如使用</w:t>
      </w:r>
      <w:r>
        <w:rPr>
          <w:rFonts w:hint="eastAsia"/>
        </w:rPr>
        <w:t xml:space="preserve"> mipmapping</w:t>
      </w:r>
      <w:r>
        <w:rPr>
          <w:rFonts w:hint="eastAsia"/>
        </w:rPr>
        <w:t>）。这一特性使得多尺度</w:t>
      </w:r>
      <w:r>
        <w:rPr>
          <w:rFonts w:hint="eastAsia"/>
        </w:rPr>
        <w:t xml:space="preserve"> TAA </w:t>
      </w:r>
      <w:r>
        <w:rPr>
          <w:rFonts w:hint="eastAsia"/>
        </w:rPr>
        <w:t>的实现可以有效地确定大型和采样不足的图像区域（例如使用粗像素阴影渲染的图像区域）的统计特性，并提高其时间稳定性（详见第</w:t>
      </w:r>
      <w:r>
        <w:rPr>
          <w:rFonts w:hint="eastAsia"/>
        </w:rPr>
        <w:t xml:space="preserve"> 4.3 </w:t>
      </w:r>
      <w:r>
        <w:rPr>
          <w:rFonts w:hint="eastAsia"/>
        </w:rPr>
        <w:t>节）。</w:t>
      </w:r>
    </w:p>
    <w:p w14:paraId="5B9AD841" w14:textId="16504468" w:rsidR="00A14C99" w:rsidRDefault="00A14C99">
      <w:pPr>
        <w:rPr>
          <w:rFonts w:ascii="Arial" w:eastAsia="黑体" w:hAnsi="Arial"/>
          <w:strike/>
          <w:sz w:val="30"/>
        </w:rPr>
      </w:pPr>
    </w:p>
    <w:p w14:paraId="5B61429F" w14:textId="77777777" w:rsidR="006D359D" w:rsidRDefault="006D359D">
      <w:pPr>
        <w:rPr>
          <w:rFonts w:ascii="Arial" w:eastAsia="黑体" w:hAnsi="Arial"/>
          <w:strike/>
          <w:sz w:val="30"/>
        </w:rPr>
      </w:pPr>
    </w:p>
    <w:p w14:paraId="35FBFC71" w14:textId="77777777" w:rsidR="006D359D" w:rsidRPr="006B78A8" w:rsidRDefault="006D359D">
      <w:pPr>
        <w:rPr>
          <w:strike/>
        </w:rPr>
      </w:pPr>
    </w:p>
    <w:p w14:paraId="2E2CB374" w14:textId="77777777" w:rsidR="00A14C99" w:rsidRDefault="00A14C99"/>
    <w:p w14:paraId="25438D71" w14:textId="77777777" w:rsidR="00461BE2" w:rsidRDefault="00650C5C">
      <w:pPr>
        <w:pStyle w:val="1"/>
      </w:pPr>
      <w:bookmarkStart w:id="35" w:name="_Toc149754981"/>
      <w:r>
        <w:rPr>
          <w:rFonts w:hint="eastAsia"/>
        </w:rPr>
        <w:t xml:space="preserve">4 </w:t>
      </w:r>
      <w:r>
        <w:rPr>
          <w:rFonts w:hint="eastAsia"/>
        </w:rPr>
        <w:t>系统实现</w:t>
      </w:r>
      <w:bookmarkEnd w:id="35"/>
    </w:p>
    <w:p w14:paraId="2B95E1E6" w14:textId="440B8BE8" w:rsidR="00461BE2" w:rsidRDefault="00372D57" w:rsidP="00372D57">
      <w:pPr>
        <w:pStyle w:val="2"/>
      </w:pPr>
      <w:r>
        <w:rPr>
          <w:rFonts w:hint="eastAsia"/>
        </w:rPr>
        <w:t>4</w:t>
      </w:r>
      <w:r>
        <w:t xml:space="preserve">.1 </w:t>
      </w:r>
      <w:r>
        <w:rPr>
          <w:rFonts w:hint="eastAsia"/>
        </w:rPr>
        <w:t>延迟渲染管线</w:t>
      </w:r>
    </w:p>
    <w:p w14:paraId="3635EC47" w14:textId="77777777" w:rsidR="00372D57" w:rsidRDefault="00372D57" w:rsidP="00372D57"/>
    <w:p w14:paraId="60D9A406" w14:textId="1CB3E7A2" w:rsidR="00372D57" w:rsidRDefault="00372D57" w:rsidP="00372D57">
      <w:pPr>
        <w:pStyle w:val="2"/>
      </w:pPr>
      <w:r>
        <w:rPr>
          <w:rFonts w:hint="eastAsia"/>
        </w:rPr>
        <w:t>4.</w:t>
      </w:r>
      <w:r>
        <w:t xml:space="preserve">2 </w:t>
      </w:r>
      <w:r>
        <w:rPr>
          <w:rFonts w:hint="eastAsia"/>
        </w:rPr>
        <w:t>几何缓冲区的映射</w:t>
      </w:r>
    </w:p>
    <w:p w14:paraId="29051277" w14:textId="77777777" w:rsidR="00372D57" w:rsidRDefault="00372D57" w:rsidP="00372D57"/>
    <w:p w14:paraId="6104A0C8" w14:textId="77777777" w:rsidR="00372D57" w:rsidRDefault="00372D57" w:rsidP="00372D57"/>
    <w:p w14:paraId="508C8AE8" w14:textId="03ED096F" w:rsidR="00372D57" w:rsidRDefault="00372D57" w:rsidP="00372D57">
      <w:pPr>
        <w:pStyle w:val="2"/>
      </w:pPr>
      <w:r>
        <w:rPr>
          <w:rFonts w:hint="eastAsia"/>
        </w:rPr>
        <w:t>4.</w:t>
      </w:r>
      <w:r>
        <w:t xml:space="preserve">3 </w:t>
      </w:r>
      <w:r>
        <w:rPr>
          <w:rFonts w:hint="eastAsia"/>
        </w:rPr>
        <w:t>采样密度的计算与可视化</w:t>
      </w:r>
    </w:p>
    <w:p w14:paraId="1B9437C0" w14:textId="77777777" w:rsidR="00372D57" w:rsidRDefault="00372D57" w:rsidP="00372D57"/>
    <w:p w14:paraId="40051080" w14:textId="77777777" w:rsidR="00372D57" w:rsidRDefault="00372D57" w:rsidP="00372D57"/>
    <w:p w14:paraId="24E7B39C" w14:textId="48813841" w:rsidR="00372D57" w:rsidRPr="00372D57" w:rsidRDefault="00372D57" w:rsidP="00372D57">
      <w:pPr>
        <w:pStyle w:val="2"/>
        <w:rPr>
          <w:rFonts w:hint="eastAsia"/>
        </w:rPr>
      </w:pPr>
      <w:r>
        <w:rPr>
          <w:rFonts w:hint="eastAsia"/>
        </w:rPr>
        <w:t>4.</w:t>
      </w:r>
      <w:r>
        <w:t>4</w:t>
      </w:r>
      <w:r>
        <w:rPr>
          <w:rFonts w:hint="eastAsia"/>
        </w:rPr>
        <w:t>反走样的实现</w:t>
      </w:r>
    </w:p>
    <w:p w14:paraId="39FCCE43" w14:textId="77777777" w:rsidR="00372D57" w:rsidRDefault="00372D57" w:rsidP="00372D57">
      <w:pPr>
        <w:rPr>
          <w:rFonts w:hint="eastAsia"/>
        </w:rPr>
      </w:pPr>
    </w:p>
    <w:p w14:paraId="126A687C" w14:textId="77777777" w:rsidR="00372D57" w:rsidRPr="00372D57" w:rsidRDefault="00372D57" w:rsidP="00372D57">
      <w:pPr>
        <w:rPr>
          <w:rFonts w:hint="eastAsia"/>
        </w:rPr>
      </w:pPr>
    </w:p>
    <w:p w14:paraId="43E6060C" w14:textId="77777777" w:rsidR="00A14C99" w:rsidRDefault="00A14C99"/>
    <w:p w14:paraId="3007F0B9" w14:textId="2D4AE1B4" w:rsidR="00461BE2" w:rsidRDefault="00650C5C" w:rsidP="00D90218">
      <w:pPr>
        <w:pStyle w:val="1"/>
      </w:pPr>
      <w:bookmarkStart w:id="36" w:name="_Toc149754982"/>
      <w:r>
        <w:rPr>
          <w:rFonts w:hint="eastAsia"/>
        </w:rPr>
        <w:lastRenderedPageBreak/>
        <w:t xml:space="preserve">5 </w:t>
      </w:r>
      <w:r w:rsidR="007A61CB">
        <w:rPr>
          <w:rFonts w:hint="eastAsia"/>
        </w:rPr>
        <w:t>实验</w:t>
      </w:r>
      <w:bookmarkEnd w:id="36"/>
    </w:p>
    <w:p w14:paraId="0D216567" w14:textId="1DA92FEE" w:rsidR="007A61CB" w:rsidRDefault="007A61CB" w:rsidP="007A61CB">
      <w:pPr>
        <w:pStyle w:val="2"/>
      </w:pPr>
      <w:bookmarkStart w:id="37" w:name="_Toc149754983"/>
      <w:r>
        <w:rPr>
          <w:rFonts w:hint="eastAsia"/>
        </w:rPr>
        <w:t>5.</w:t>
      </w:r>
      <w:r>
        <w:t xml:space="preserve">1 </w:t>
      </w:r>
      <w:r>
        <w:rPr>
          <w:rFonts w:hint="eastAsia"/>
        </w:rPr>
        <w:t>客观实验</w:t>
      </w:r>
      <w:bookmarkEnd w:id="37"/>
    </w:p>
    <w:p w14:paraId="71348145" w14:textId="77777777" w:rsidR="007A61CB" w:rsidRPr="007A61CB" w:rsidRDefault="007A61CB" w:rsidP="007A61CB"/>
    <w:p w14:paraId="3BAABD94" w14:textId="6E9A7C04" w:rsidR="00461BE2" w:rsidRDefault="006878A8" w:rsidP="00D90218">
      <w:pPr>
        <w:pStyle w:val="2"/>
      </w:pPr>
      <w:bookmarkStart w:id="38" w:name="_Toc149754984"/>
      <w:r>
        <w:rPr>
          <w:rFonts w:hint="eastAsia"/>
        </w:rPr>
        <w:t>5.</w:t>
      </w:r>
      <w:r w:rsidR="007A61CB">
        <w:t>2</w:t>
      </w:r>
      <w:r w:rsidR="00D90218">
        <w:t xml:space="preserve"> </w:t>
      </w:r>
      <w:r w:rsidR="007A61CB">
        <w:rPr>
          <w:rFonts w:hint="eastAsia"/>
        </w:rPr>
        <w:t>用户实验与分析</w:t>
      </w:r>
      <w:bookmarkEnd w:id="38"/>
    </w:p>
    <w:p w14:paraId="27E5371D" w14:textId="5CD7AD73" w:rsidR="00B655F4" w:rsidRDefault="006878A8" w:rsidP="00D90218">
      <w:pPr>
        <w:pStyle w:val="3"/>
      </w:pPr>
      <w:bookmarkStart w:id="39" w:name="_Toc149754985"/>
      <w:r>
        <w:rPr>
          <w:rFonts w:hint="eastAsia"/>
        </w:rPr>
        <w:t>5.</w:t>
      </w:r>
      <w:r w:rsidR="007A61CB">
        <w:t>2</w:t>
      </w:r>
      <w:r>
        <w:rPr>
          <w:rFonts w:hint="eastAsia"/>
        </w:rPr>
        <w:t>.</w:t>
      </w:r>
      <w:r>
        <w:t>1</w:t>
      </w:r>
      <w:r w:rsidR="00D90218">
        <w:t xml:space="preserve"> </w:t>
      </w:r>
      <w:r w:rsidR="00D90218">
        <w:rPr>
          <w:rFonts w:hint="eastAsia"/>
        </w:rPr>
        <w:t>实验概述</w:t>
      </w:r>
      <w:bookmarkEnd w:id="39"/>
    </w:p>
    <w:p w14:paraId="4A42DF5F" w14:textId="466F84F5" w:rsidR="00D90218" w:rsidRDefault="00D90218" w:rsidP="00D90218">
      <w:pPr>
        <w:pStyle w:val="3"/>
      </w:pPr>
      <w:bookmarkStart w:id="40" w:name="_Toc149754986"/>
      <w:r>
        <w:rPr>
          <w:rFonts w:hint="eastAsia"/>
        </w:rPr>
        <w:t>5.</w:t>
      </w:r>
      <w:r w:rsidR="007A61CB">
        <w:t>2</w:t>
      </w:r>
      <w:r>
        <w:rPr>
          <w:rFonts w:hint="eastAsia"/>
        </w:rPr>
        <w:t>.</w:t>
      </w:r>
      <w:r>
        <w:t xml:space="preserve">2 </w:t>
      </w:r>
      <w:r>
        <w:rPr>
          <w:rFonts w:hint="eastAsia"/>
        </w:rPr>
        <w:t>实验流程</w:t>
      </w:r>
      <w:bookmarkEnd w:id="40"/>
    </w:p>
    <w:p w14:paraId="0FB3617A" w14:textId="59A23D38" w:rsidR="00D90218" w:rsidRDefault="00D90218" w:rsidP="00D90218">
      <w:pPr>
        <w:pStyle w:val="3"/>
      </w:pPr>
      <w:bookmarkStart w:id="41" w:name="_Toc149754987"/>
      <w:r>
        <w:rPr>
          <w:rFonts w:hint="eastAsia"/>
        </w:rPr>
        <w:t>5.</w:t>
      </w:r>
      <w:r w:rsidR="007A61CB">
        <w:t>2</w:t>
      </w:r>
      <w:r>
        <w:rPr>
          <w:rFonts w:hint="eastAsia"/>
        </w:rPr>
        <w:t>.</w:t>
      </w:r>
      <w:r>
        <w:t xml:space="preserve">3 </w:t>
      </w:r>
      <w:r>
        <w:rPr>
          <w:rFonts w:hint="eastAsia"/>
        </w:rPr>
        <w:t>实验人员</w:t>
      </w:r>
      <w:bookmarkEnd w:id="41"/>
    </w:p>
    <w:p w14:paraId="76183E0F" w14:textId="77777777" w:rsidR="007A61CB" w:rsidRPr="007A61CB" w:rsidRDefault="007A61CB" w:rsidP="007A61CB"/>
    <w:p w14:paraId="07421971" w14:textId="59143BF5" w:rsidR="00B655F4" w:rsidRDefault="00B655F4" w:rsidP="00B655F4">
      <w:pPr>
        <w:pStyle w:val="3"/>
      </w:pPr>
      <w:bookmarkStart w:id="42" w:name="_Toc149754988"/>
      <w:r>
        <w:rPr>
          <w:rFonts w:hint="eastAsia"/>
        </w:rPr>
        <w:t>5.</w:t>
      </w:r>
      <w:r>
        <w:t>2</w:t>
      </w:r>
      <w:r>
        <w:rPr>
          <w:rFonts w:hint="eastAsia"/>
        </w:rPr>
        <w:t>.</w:t>
      </w:r>
      <w:r>
        <w:t xml:space="preserve">1 </w:t>
      </w:r>
      <w:r>
        <w:rPr>
          <w:rFonts w:hint="eastAsia"/>
        </w:rPr>
        <w:t>愉悦度</w:t>
      </w:r>
      <w:bookmarkEnd w:id="42"/>
    </w:p>
    <w:p w14:paraId="40610C37" w14:textId="252FF02E" w:rsidR="00B655F4" w:rsidRDefault="00B655F4" w:rsidP="00B655F4">
      <w:pPr>
        <w:pStyle w:val="3"/>
      </w:pPr>
      <w:bookmarkStart w:id="43" w:name="_Toc149754989"/>
      <w:r>
        <w:rPr>
          <w:rFonts w:hint="eastAsia"/>
        </w:rPr>
        <w:t>5.</w:t>
      </w:r>
      <w:r>
        <w:t>2</w:t>
      </w:r>
      <w:r>
        <w:rPr>
          <w:rFonts w:hint="eastAsia"/>
        </w:rPr>
        <w:t>.</w:t>
      </w:r>
      <w:r>
        <w:t xml:space="preserve">2 </w:t>
      </w:r>
      <w:r w:rsidR="008922D4">
        <w:rPr>
          <w:rFonts w:hint="eastAsia"/>
        </w:rPr>
        <w:t>胜任感</w:t>
      </w:r>
      <w:bookmarkEnd w:id="43"/>
    </w:p>
    <w:p w14:paraId="090966E4" w14:textId="2ABFCBC0" w:rsidR="00B655F4" w:rsidRDefault="00B655F4" w:rsidP="00B655F4">
      <w:pPr>
        <w:pStyle w:val="3"/>
      </w:pPr>
      <w:bookmarkStart w:id="44" w:name="_Toc149754990"/>
      <w:r>
        <w:rPr>
          <w:rFonts w:hint="eastAsia"/>
        </w:rPr>
        <w:t>5.</w:t>
      </w:r>
      <w:r>
        <w:t>2</w:t>
      </w:r>
      <w:r>
        <w:rPr>
          <w:rFonts w:hint="eastAsia"/>
        </w:rPr>
        <w:t>.</w:t>
      </w:r>
      <w:r>
        <w:t xml:space="preserve">3 </w:t>
      </w:r>
      <w:r w:rsidR="008922D4">
        <w:rPr>
          <w:rFonts w:hint="eastAsia"/>
        </w:rPr>
        <w:t>努力感、重要性</w:t>
      </w:r>
      <w:bookmarkEnd w:id="44"/>
    </w:p>
    <w:p w14:paraId="7CB2A5A2" w14:textId="0E32309E" w:rsidR="008922D4" w:rsidRDefault="008922D4" w:rsidP="008922D4">
      <w:pPr>
        <w:pStyle w:val="3"/>
      </w:pPr>
      <w:bookmarkStart w:id="45" w:name="_Toc149754991"/>
      <w:r>
        <w:rPr>
          <w:rFonts w:hint="eastAsia"/>
        </w:rPr>
        <w:t>5.</w:t>
      </w:r>
      <w:r>
        <w:t>2</w:t>
      </w:r>
      <w:r>
        <w:rPr>
          <w:rFonts w:hint="eastAsia"/>
        </w:rPr>
        <w:t>.</w:t>
      </w:r>
      <w:r>
        <w:t>4</w:t>
      </w:r>
      <w:r>
        <w:rPr>
          <w:rFonts w:hint="eastAsia"/>
        </w:rPr>
        <w:t>压力、紧张</w:t>
      </w:r>
      <w:bookmarkEnd w:id="45"/>
    </w:p>
    <w:p w14:paraId="440CC724" w14:textId="77777777" w:rsidR="008922D4" w:rsidRPr="008922D4" w:rsidRDefault="008922D4" w:rsidP="008922D4"/>
    <w:p w14:paraId="44764A33" w14:textId="77777777" w:rsidR="00B655F4" w:rsidRPr="00B655F4" w:rsidRDefault="00B655F4" w:rsidP="00B655F4"/>
    <w:p w14:paraId="6FF6FEA8" w14:textId="77777777" w:rsidR="00B655F4" w:rsidRDefault="00B655F4"/>
    <w:p w14:paraId="669FBBEB" w14:textId="77777777" w:rsidR="00B655F4" w:rsidRDefault="00B655F4"/>
    <w:p w14:paraId="7E9830C9" w14:textId="77777777" w:rsidR="00B655F4" w:rsidRDefault="00B655F4"/>
    <w:p w14:paraId="20379E79" w14:textId="77777777" w:rsidR="00461BE2" w:rsidRDefault="00461BE2"/>
    <w:p w14:paraId="10C75B48" w14:textId="77777777" w:rsidR="00461BE2" w:rsidRDefault="00650C5C">
      <w:pPr>
        <w:pStyle w:val="1"/>
      </w:pPr>
      <w:bookmarkStart w:id="46" w:name="_Toc149754992"/>
      <w:r>
        <w:rPr>
          <w:rFonts w:hint="eastAsia"/>
        </w:rPr>
        <w:lastRenderedPageBreak/>
        <w:t xml:space="preserve">6 </w:t>
      </w:r>
      <w:r>
        <w:rPr>
          <w:rFonts w:hint="eastAsia"/>
        </w:rPr>
        <w:t>结论</w:t>
      </w:r>
      <w:bookmarkEnd w:id="46"/>
    </w:p>
    <w:p w14:paraId="50819DF7" w14:textId="77777777" w:rsidR="00A14C99" w:rsidRDefault="00A14C99" w:rsidP="00A14C99"/>
    <w:p w14:paraId="6E30EFE5" w14:textId="77777777" w:rsidR="00A14C99" w:rsidRPr="00A14C99" w:rsidRDefault="00A14C99" w:rsidP="00A14C99"/>
    <w:p w14:paraId="2ED9F58F" w14:textId="77777777" w:rsidR="00461BE2" w:rsidRDefault="00650C5C">
      <w:pPr>
        <w:pStyle w:val="1"/>
        <w:rPr>
          <w:rFonts w:ascii="Times New Roman" w:hAnsi="Times New Roman"/>
        </w:rPr>
      </w:pPr>
      <w:bookmarkStart w:id="47" w:name="_Toc149754993"/>
      <w:r>
        <w:rPr>
          <w:rFonts w:hint="eastAsia"/>
        </w:rPr>
        <w:t>参考文献</w:t>
      </w:r>
      <w:bookmarkStart w:id="48" w:name="_Ref5634"/>
      <w:bookmarkEnd w:id="47"/>
    </w:p>
    <w:p w14:paraId="7AAE42F1"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0A4B0925"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7BAA9200"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59B007BA"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512562FB"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22530D0E"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67288BB4"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19846C62"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083EA5F9"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6672080A"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3FAB4585" w14:textId="77777777" w:rsidR="00461BE2" w:rsidRDefault="00650C5C">
      <w:pPr>
        <w:numPr>
          <w:ilvl w:val="0"/>
          <w:numId w:val="1"/>
        </w:numPr>
        <w:tabs>
          <w:tab w:val="left" w:pos="0"/>
        </w:tabs>
        <w:jc w:val="left"/>
        <w:rPr>
          <w:rFonts w:ascii="Times New Roman" w:hAnsi="Times New Roman"/>
        </w:rPr>
      </w:pPr>
      <w:bookmarkStart w:id="49" w:name="_Ref18785"/>
      <w:r>
        <w:rPr>
          <w:rFonts w:ascii="Times New Roman" w:hAnsi="Times New Roman"/>
        </w:rPr>
        <w:t>Sun, Xuetong and Amitabh Varshney. “Investigating perception time in the far peripheral vision for virtual and augmented reality.” Proceedings of the 15th ACM Symposium on Applied Perception (2018): n. pag.</w:t>
      </w:r>
      <w:bookmarkEnd w:id="48"/>
      <w:bookmarkEnd w:id="49"/>
    </w:p>
    <w:p w14:paraId="2896C9A6" w14:textId="77777777" w:rsidR="00461BE2" w:rsidRDefault="00650C5C">
      <w:pPr>
        <w:numPr>
          <w:ilvl w:val="0"/>
          <w:numId w:val="1"/>
        </w:numPr>
        <w:tabs>
          <w:tab w:val="left" w:pos="0"/>
        </w:tabs>
        <w:jc w:val="left"/>
        <w:rPr>
          <w:rFonts w:ascii="Times New Roman" w:hAnsi="Times New Roman"/>
        </w:rPr>
      </w:pPr>
      <w:bookmarkStart w:id="50" w:name="_Ref20029"/>
      <w:r>
        <w:rPr>
          <w:rFonts w:ascii="Times New Roman" w:hAnsi="Times New Roman"/>
        </w:rPr>
        <w:t>Dale Purves, George J Augustine, David. Fitzpatrick, Lawrence C Katz, Anthony-Samuel LaMantia, James O McNamara, and S Mark Williams. 2001. Neuroscience. 2nd edition. Sunderland (MA): Sinauer Associates. https://www.ncbi.nlm.nih.gov/ books/NBK10799/</w:t>
      </w:r>
      <w:bookmarkEnd w:id="50"/>
    </w:p>
    <w:p w14:paraId="3BC29FF9" w14:textId="77777777" w:rsidR="00461BE2" w:rsidRDefault="00650C5C">
      <w:pPr>
        <w:numPr>
          <w:ilvl w:val="0"/>
          <w:numId w:val="1"/>
        </w:numPr>
        <w:tabs>
          <w:tab w:val="left" w:pos="0"/>
        </w:tabs>
        <w:jc w:val="left"/>
        <w:rPr>
          <w:rFonts w:ascii="Times New Roman" w:hAnsi="Times New Roman"/>
        </w:rPr>
      </w:pPr>
      <w:bookmarkStart w:id="51" w:name="_Ref21221"/>
      <w:r>
        <w:rPr>
          <w:rFonts w:ascii="Times New Roman" w:hAnsi="Times New Roman"/>
        </w:rPr>
        <w:t xml:space="preserve">Anjul Patney, Marco Salvi, Joohwan Kim, Anton Kaplanyan, Chris Wyman, Nir Benty, David Luebke, and Aaron Lefohn. 2016b. Towards Foveated Rendering for Gazetracked Virtual Reality. ACM Trans. Graph. 35, 6, Article 179 (Nov. 2016), 12 </w:t>
      </w:r>
      <w:r>
        <w:rPr>
          <w:rFonts w:ascii="Times New Roman" w:hAnsi="Times New Roman"/>
        </w:rPr>
        <w:lastRenderedPageBreak/>
        <w:t>pages. https://doi.org/10.1145/2980179.2980246</w:t>
      </w:r>
      <w:bookmarkEnd w:id="51"/>
    </w:p>
    <w:p w14:paraId="347FF5EA" w14:textId="77777777" w:rsidR="00461BE2" w:rsidRDefault="00650C5C">
      <w:pPr>
        <w:numPr>
          <w:ilvl w:val="0"/>
          <w:numId w:val="1"/>
        </w:numPr>
        <w:tabs>
          <w:tab w:val="left" w:pos="0"/>
        </w:tabs>
        <w:jc w:val="left"/>
        <w:rPr>
          <w:rFonts w:ascii="Times New Roman" w:hAnsi="Times New Roman"/>
        </w:rPr>
      </w:pPr>
      <w:bookmarkStart w:id="52" w:name="_Ref21325"/>
      <w:r>
        <w:rPr>
          <w:rFonts w:ascii="Times New Roman" w:hAnsi="Times New Roman"/>
        </w:rPr>
        <w:t>Thorsten Hansen, Lars Pracejus, and Karl R. Gegenfurtner. 2009a. Color perception in the intermediate periphery of the visual field. Journal of Vision 9, 4 (04 2009), 26–26. https://doi.org/10.1167/9.4.26 arXiv:https://arvojournals.org/arvo/content_public/journal/jov/933534/jov9-4-26.pdf</w:t>
      </w:r>
      <w:bookmarkEnd w:id="52"/>
    </w:p>
    <w:p w14:paraId="2C09DF69" w14:textId="77777777" w:rsidR="00461BE2" w:rsidRDefault="00650C5C">
      <w:pPr>
        <w:numPr>
          <w:ilvl w:val="0"/>
          <w:numId w:val="1"/>
        </w:numPr>
        <w:tabs>
          <w:tab w:val="left" w:pos="0"/>
        </w:tabs>
        <w:jc w:val="left"/>
        <w:rPr>
          <w:rFonts w:ascii="Times New Roman" w:hAnsi="Times New Roman"/>
        </w:rPr>
      </w:pPr>
      <w:bookmarkStart w:id="53" w:name="_Ref21351"/>
      <w:r>
        <w:rPr>
          <w:rFonts w:ascii="Times New Roman" w:hAnsi="Times New Roman"/>
        </w:rPr>
        <w:t>Ruth Rosenholtz. 2016. Capabilities and Limitations of Peripheral Vision. Annual Review of Vision Science 2, 1 (2016), 437–457. https://doi.org/10.1146/annurevvision-082114-035733 arXiv:https://doi.org/10.1146/annurev-vision-082114-035733 PMID: 28532349.</w:t>
      </w:r>
      <w:bookmarkEnd w:id="53"/>
    </w:p>
    <w:p w14:paraId="11CC8AFA" w14:textId="77777777" w:rsidR="00461BE2" w:rsidRDefault="00650C5C">
      <w:pPr>
        <w:numPr>
          <w:ilvl w:val="0"/>
          <w:numId w:val="1"/>
        </w:numPr>
        <w:tabs>
          <w:tab w:val="left" w:pos="0"/>
        </w:tabs>
        <w:jc w:val="left"/>
        <w:rPr>
          <w:rFonts w:ascii="Times New Roman" w:hAnsi="Times New Roman"/>
        </w:rPr>
      </w:pPr>
      <w:bookmarkStart w:id="54" w:name="_Ref21384"/>
      <w:r>
        <w:rPr>
          <w:rFonts w:ascii="Times New Roman" w:hAnsi="Times New Roman"/>
        </w:rPr>
        <w:t>Holger Ludvigsen and Anne Cathrine Elster. 2010. Real-Time Ray Tracing Using Nvidia OptiX. In Eurographics 2010 - Short Papers, H. P. A. Lensch and S. Seipel (Eds.). The Eurographics Association. https://doi.org/10.2312/egsh.20101049</w:t>
      </w:r>
      <w:bookmarkEnd w:id="54"/>
    </w:p>
    <w:p w14:paraId="6EFC4566" w14:textId="77777777" w:rsidR="00461BE2" w:rsidRDefault="00650C5C">
      <w:pPr>
        <w:numPr>
          <w:ilvl w:val="0"/>
          <w:numId w:val="1"/>
        </w:numPr>
        <w:tabs>
          <w:tab w:val="left" w:pos="0"/>
        </w:tabs>
        <w:jc w:val="left"/>
        <w:rPr>
          <w:rFonts w:ascii="Times New Roman" w:hAnsi="Times New Roman"/>
        </w:rPr>
      </w:pPr>
      <w:bookmarkStart w:id="55" w:name="_Ref10236"/>
      <w:r>
        <w:rPr>
          <w:rFonts w:ascii="Times New Roman" w:hAnsi="Times New Roman"/>
        </w:rPr>
        <w:t xml:space="preserve">S.M. Anstis. 1974. A chart demonstrating variations in acuity with retinal position. Vision Research 14, 7 (1974), 589–592. </w:t>
      </w:r>
      <w:hyperlink r:id="rId12" w:history="1">
        <w:r>
          <w:rPr>
            <w:rFonts w:ascii="Times New Roman" w:hAnsi="Times New Roman"/>
          </w:rPr>
          <w:t>https://doi.org/10.1016/0042-6989(74)90049-2</w:t>
        </w:r>
      </w:hyperlink>
      <w:bookmarkEnd w:id="55"/>
    </w:p>
    <w:p w14:paraId="5EFF5D2D" w14:textId="77777777" w:rsidR="00461BE2" w:rsidRDefault="00650C5C">
      <w:pPr>
        <w:numPr>
          <w:ilvl w:val="0"/>
          <w:numId w:val="1"/>
        </w:numPr>
        <w:tabs>
          <w:tab w:val="left" w:pos="0"/>
        </w:tabs>
        <w:jc w:val="left"/>
        <w:rPr>
          <w:rFonts w:ascii="Times New Roman" w:hAnsi="Times New Roman"/>
        </w:rPr>
      </w:pPr>
      <w:bookmarkStart w:id="56" w:name="_Ref10291"/>
      <w:r>
        <w:rPr>
          <w:rFonts w:ascii="Times New Roman" w:hAnsi="Times New Roman"/>
        </w:rPr>
        <w:t>Brian Guenter, Mark Finch, Steven Drucker, Desney Tan, and John Snyder. 2012. Foveated 3D Graphics. ACM Trans. Graph. 31, 6, Article 164 (Nov. 2012), 10 pages. https://doi.org/10.1145/2366145.2366183</w:t>
      </w:r>
      <w:bookmarkEnd w:id="56"/>
    </w:p>
    <w:p w14:paraId="05A682C2" w14:textId="77777777" w:rsidR="00461BE2" w:rsidRDefault="00650C5C">
      <w:pPr>
        <w:numPr>
          <w:ilvl w:val="0"/>
          <w:numId w:val="1"/>
        </w:numPr>
        <w:tabs>
          <w:tab w:val="left" w:pos="0"/>
        </w:tabs>
        <w:jc w:val="left"/>
        <w:rPr>
          <w:rFonts w:ascii="Times New Roman" w:hAnsi="Times New Roman"/>
        </w:rPr>
      </w:pPr>
      <w:bookmarkStart w:id="57" w:name="_Ref10301"/>
      <w:r>
        <w:rPr>
          <w:rFonts w:ascii="Times New Roman" w:hAnsi="Times New Roman"/>
        </w:rPr>
        <w:t xml:space="preserve">Nicholas T. Swafford, José A. Iglesias-Guitian, Charalampos Koniaris, Bochang Moon, Darren Cosker, and Kenny Mitchell. 2016. User, Metric, and Computational Evaluation of Foveated Rendering Methods. In Proceedings of the ACM Symposium on Applied Perception (Anaheim, California) (SAP ’16). ACM, New York, NY, USA, 7–14. </w:t>
      </w:r>
      <w:hyperlink r:id="rId13" w:history="1">
        <w:r>
          <w:rPr>
            <w:rFonts w:ascii="Times New Roman" w:hAnsi="Times New Roman"/>
          </w:rPr>
          <w:t>https://doi.org/10.1145/2931002.2931011</w:t>
        </w:r>
      </w:hyperlink>
      <w:bookmarkEnd w:id="57"/>
    </w:p>
    <w:p w14:paraId="5FF3062B" w14:textId="77777777" w:rsidR="00461BE2" w:rsidRDefault="00650C5C">
      <w:pPr>
        <w:numPr>
          <w:ilvl w:val="0"/>
          <w:numId w:val="1"/>
        </w:numPr>
        <w:tabs>
          <w:tab w:val="left" w:pos="0"/>
        </w:tabs>
        <w:jc w:val="left"/>
        <w:rPr>
          <w:rFonts w:ascii="Times New Roman" w:hAnsi="Times New Roman"/>
        </w:rPr>
      </w:pPr>
      <w:bookmarkStart w:id="58" w:name="_Ref10360"/>
      <w:r>
        <w:rPr>
          <w:rFonts w:ascii="Times New Roman" w:hAnsi="Times New Roman"/>
        </w:rPr>
        <w:t>Yong He, Yan Gu, and Kayvon Fatahalian. 2014. Extending the Graphics Pipeline with Adaptive, Multi-rate Shading. ACM Trans. Graph. 33, 4, Article 142 (July 2014), 12 pages. https://doi.org/10.1145/2601097.2601105</w:t>
      </w:r>
      <w:bookmarkEnd w:id="58"/>
    </w:p>
    <w:p w14:paraId="09409A95" w14:textId="77777777" w:rsidR="00461BE2" w:rsidRDefault="00650C5C">
      <w:pPr>
        <w:numPr>
          <w:ilvl w:val="0"/>
          <w:numId w:val="1"/>
        </w:numPr>
        <w:tabs>
          <w:tab w:val="left" w:pos="0"/>
        </w:tabs>
        <w:jc w:val="left"/>
        <w:rPr>
          <w:rFonts w:ascii="Times New Roman" w:hAnsi="Times New Roman"/>
        </w:rPr>
      </w:pPr>
      <w:bookmarkStart w:id="59" w:name="_Ref10422"/>
      <w:r>
        <w:rPr>
          <w:rFonts w:ascii="Times New Roman" w:hAnsi="Times New Roman"/>
        </w:rPr>
        <w:t xml:space="preserve">Matias Koskela, Atro Lotvonen, Markku Mäkitalo, Petrus Kivi, Timo Viitanen, and Pekka Jääskeläinen. 2019b. Foveated Real-Time Path Tracing in Visual-Polar Space. In Eurographics Symposium on Rendering - DL-only and Industry Track, </w:t>
      </w:r>
      <w:r>
        <w:rPr>
          <w:rFonts w:ascii="Times New Roman" w:hAnsi="Times New Roman"/>
        </w:rPr>
        <w:lastRenderedPageBreak/>
        <w:t>Tamy Boubekeur and Pradeep Sen (Eds.). The Eurographics Association. https://doi.org/10.2312/sr. 20191219</w:t>
      </w:r>
      <w:bookmarkEnd w:id="59"/>
    </w:p>
    <w:p w14:paraId="0E76FC61" w14:textId="77777777" w:rsidR="00461BE2" w:rsidRDefault="00650C5C">
      <w:pPr>
        <w:numPr>
          <w:ilvl w:val="0"/>
          <w:numId w:val="1"/>
        </w:numPr>
        <w:tabs>
          <w:tab w:val="left" w:pos="0"/>
        </w:tabs>
        <w:jc w:val="left"/>
        <w:rPr>
          <w:rFonts w:ascii="Times New Roman" w:hAnsi="Times New Roman"/>
        </w:rPr>
      </w:pPr>
      <w:bookmarkStart w:id="60" w:name="_Ref10435"/>
      <w:r>
        <w:rPr>
          <w:rFonts w:ascii="Times New Roman" w:hAnsi="Times New Roman"/>
        </w:rPr>
        <w:t xml:space="preserve">Xiaoxu Meng, Ruofei Du, Matthias Zwicker, and Amitabh Varshney. 2018. Kernel Foveated Rendering. Proc. ACM Comput. Graph. Interact. Tech. 1, 1, Article 5 (July 2018), 20 pages. </w:t>
      </w:r>
      <w:hyperlink r:id="rId14" w:history="1">
        <w:r>
          <w:rPr>
            <w:rFonts w:ascii="Times New Roman" w:hAnsi="Times New Roman"/>
          </w:rPr>
          <w:t>https://doi.org/10.1145/3203199</w:t>
        </w:r>
      </w:hyperlink>
      <w:bookmarkEnd w:id="60"/>
    </w:p>
    <w:p w14:paraId="05BCDC33" w14:textId="77777777" w:rsidR="00461BE2" w:rsidRDefault="00650C5C">
      <w:pPr>
        <w:numPr>
          <w:ilvl w:val="0"/>
          <w:numId w:val="1"/>
        </w:numPr>
        <w:tabs>
          <w:tab w:val="left" w:pos="0"/>
        </w:tabs>
        <w:jc w:val="left"/>
        <w:rPr>
          <w:rFonts w:ascii="Times New Roman" w:hAnsi="Times New Roman"/>
        </w:rPr>
      </w:pPr>
      <w:bookmarkStart w:id="61" w:name="_Ref10441"/>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15" w:history="1">
        <w:r>
          <w:rPr>
            <w:rFonts w:ascii="Times New Roman" w:hAnsi="Times New Roman"/>
          </w:rPr>
          <w:t>https://doi.org/10.1145/3306346.3322985</w:t>
        </w:r>
      </w:hyperlink>
      <w:bookmarkEnd w:id="61"/>
    </w:p>
    <w:p w14:paraId="39584487" w14:textId="77777777" w:rsidR="00461BE2" w:rsidRDefault="00650C5C">
      <w:pPr>
        <w:numPr>
          <w:ilvl w:val="0"/>
          <w:numId w:val="1"/>
        </w:numPr>
        <w:tabs>
          <w:tab w:val="left" w:pos="0"/>
        </w:tabs>
        <w:jc w:val="left"/>
        <w:rPr>
          <w:rFonts w:ascii="Times New Roman" w:hAnsi="Times New Roman"/>
        </w:rPr>
      </w:pPr>
      <w:bookmarkStart w:id="62" w:name="_Ref10513"/>
      <w:r>
        <w:rPr>
          <w:rFonts w:ascii="Times New Roman" w:hAnsi="Times New Roman"/>
        </w:rPr>
        <w:t>Martin Weier, Thorsten Roth, Ernst Kruijff, André Hinkenjann, Arsène Pérard-Gayot, Philipp Slusallek, and Yongmin Li. 2016. Foveated Real-Time Ray Tracing for Head-Mounted Displays. Comput. Graph. Forum 35, 7 (Oct. 2016), 289–298. https: //doi.org/10.1111/cgf.13026</w:t>
      </w:r>
      <w:bookmarkEnd w:id="62"/>
    </w:p>
    <w:p w14:paraId="0A49CB22" w14:textId="77777777" w:rsidR="00461BE2" w:rsidRDefault="00650C5C">
      <w:pPr>
        <w:numPr>
          <w:ilvl w:val="0"/>
          <w:numId w:val="1"/>
        </w:numPr>
        <w:tabs>
          <w:tab w:val="left" w:pos="0"/>
        </w:tabs>
        <w:jc w:val="left"/>
        <w:rPr>
          <w:rFonts w:ascii="Times New Roman" w:hAnsi="Times New Roman"/>
        </w:rPr>
      </w:pPr>
      <w:bookmarkStart w:id="63" w:name="_Ref10543"/>
      <w:r>
        <w:rPr>
          <w:rFonts w:ascii="Times New Roman" w:hAnsi="Times New Roman"/>
        </w:rPr>
        <w:t>Masahiro Fujita and Takahiro Harada. 2014. Foveated real-time ray tracing for virtual reality headset. Light Transport Entertainment Research (2014).</w:t>
      </w:r>
      <w:bookmarkEnd w:id="63"/>
    </w:p>
    <w:p w14:paraId="4C0293E5" w14:textId="77777777" w:rsidR="00461BE2" w:rsidRDefault="00650C5C">
      <w:pPr>
        <w:numPr>
          <w:ilvl w:val="0"/>
          <w:numId w:val="1"/>
        </w:numPr>
        <w:tabs>
          <w:tab w:val="left" w:pos="0"/>
        </w:tabs>
        <w:jc w:val="left"/>
        <w:rPr>
          <w:rFonts w:ascii="Times New Roman" w:hAnsi="Times New Roman"/>
        </w:rPr>
      </w:pPr>
      <w:bookmarkStart w:id="64" w:name="_Ref24738"/>
      <w:r>
        <w:rPr>
          <w:rFonts w:ascii="Times New Roman" w:hAnsi="Times New Roman"/>
        </w:rPr>
        <w:t>Josef Spjut and Ben Boudaoud. 2019. Foveated Displays: Toward Classification of the Emerging Field. In ACM SIGGRAPH 2019 Talks (Los Angeles, California) (SIGGRAPH ’19). ACM, New York, NY, USA, Article 57, 2 pages. https://doi.org/10.1145/3306307. 3328145</w:t>
      </w:r>
      <w:bookmarkEnd w:id="64"/>
    </w:p>
    <w:p w14:paraId="19F0890B" w14:textId="77777777" w:rsidR="00461BE2" w:rsidRDefault="00650C5C">
      <w:pPr>
        <w:numPr>
          <w:ilvl w:val="0"/>
          <w:numId w:val="1"/>
        </w:numPr>
        <w:tabs>
          <w:tab w:val="left" w:pos="0"/>
        </w:tabs>
        <w:jc w:val="left"/>
        <w:rPr>
          <w:rFonts w:ascii="Times New Roman" w:hAnsi="Times New Roman"/>
        </w:rPr>
      </w:pPr>
      <w:bookmarkStart w:id="65" w:name="_Ref10869"/>
      <w:r>
        <w:rPr>
          <w:rFonts w:ascii="Times New Roman" w:hAnsi="Times New Roman"/>
        </w:rPr>
        <w:t>Jared Abrams, Aaron Nizam, and Marisa Carrasco. 2012. Isoeccentric locations are not equivalent: The extent of the vertical meridian asymmetry. Vision Research 52, 1 (2012), 70–78. https://doi.org/10.1016/j.visres.2011.10.016</w:t>
      </w:r>
      <w:bookmarkEnd w:id="65"/>
    </w:p>
    <w:p w14:paraId="3BC61E19" w14:textId="77777777" w:rsidR="00461BE2" w:rsidRDefault="00650C5C">
      <w:pPr>
        <w:numPr>
          <w:ilvl w:val="0"/>
          <w:numId w:val="1"/>
        </w:numPr>
        <w:tabs>
          <w:tab w:val="left" w:pos="0"/>
        </w:tabs>
        <w:jc w:val="left"/>
        <w:rPr>
          <w:rFonts w:ascii="Times New Roman" w:hAnsi="Times New Roman"/>
        </w:rPr>
      </w:pPr>
      <w:bookmarkStart w:id="66" w:name="_Ref10872"/>
      <w:r>
        <w:rPr>
          <w:rFonts w:ascii="Times New Roman" w:hAnsi="Times New Roman"/>
        </w:rPr>
        <w:t xml:space="preserve">Antoine Barbot, Shutian Xue, and Marisa Carrasco. 2021. Asymmetries in visual acuity around the visual field. Journal of Vision 21, 1 (01 2021), 2–2. </w:t>
      </w:r>
      <w:hyperlink r:id="rId16" w:history="1">
        <w:r>
          <w:rPr>
            <w:rFonts w:ascii="Times New Roman" w:hAnsi="Times New Roman"/>
          </w:rPr>
          <w:t>https://doi.org/10.1167/jov.21.1.2</w:t>
        </w:r>
      </w:hyperlink>
      <w:r>
        <w:rPr>
          <w:rFonts w:ascii="Times New Roman" w:hAnsi="Times New Roman" w:hint="eastAsia"/>
        </w:rPr>
        <w:t xml:space="preserve"> </w:t>
      </w:r>
      <w:r>
        <w:rPr>
          <w:rFonts w:ascii="Times New Roman" w:hAnsi="Times New Roman"/>
        </w:rPr>
        <w:t>arXiv:https://arvojournals.org/arvo/content_public/journal/jov/938512/i1534- 7362-21-1-2_1609762263.01982.pdf</w:t>
      </w:r>
      <w:bookmarkEnd w:id="66"/>
    </w:p>
    <w:p w14:paraId="3A7D7A47" w14:textId="77777777" w:rsidR="00461BE2" w:rsidRDefault="00650C5C">
      <w:pPr>
        <w:numPr>
          <w:ilvl w:val="0"/>
          <w:numId w:val="1"/>
        </w:numPr>
        <w:tabs>
          <w:tab w:val="left" w:pos="0"/>
        </w:tabs>
        <w:jc w:val="left"/>
        <w:rPr>
          <w:rFonts w:ascii="Times New Roman" w:hAnsi="Times New Roman"/>
        </w:rPr>
      </w:pPr>
      <w:bookmarkStart w:id="67" w:name="_Ref29267"/>
      <w:r>
        <w:rPr>
          <w:rFonts w:ascii="Times New Roman" w:hAnsi="Times New Roman"/>
        </w:rPr>
        <w:t xml:space="preserve">David R. Bull. 2014. Chapter 2 - The Human Visual System. In Communicating Pictures, David R. Bull (Ed.). Academic Press, Oxford, 17 – 61. </w:t>
      </w:r>
      <w:r>
        <w:rPr>
          <w:rFonts w:ascii="Times New Roman" w:hAnsi="Times New Roman"/>
        </w:rPr>
        <w:lastRenderedPageBreak/>
        <w:t>https://doi.org/10.1016/B978- 0-12-405906-1.00002-7</w:t>
      </w:r>
      <w:bookmarkEnd w:id="67"/>
    </w:p>
    <w:p w14:paraId="7AC8BD6C" w14:textId="77777777" w:rsidR="00461BE2" w:rsidRDefault="00650C5C">
      <w:pPr>
        <w:numPr>
          <w:ilvl w:val="0"/>
          <w:numId w:val="1"/>
        </w:numPr>
        <w:tabs>
          <w:tab w:val="left" w:pos="0"/>
        </w:tabs>
        <w:jc w:val="left"/>
        <w:rPr>
          <w:rFonts w:ascii="Times New Roman" w:hAnsi="Times New Roman"/>
        </w:rPr>
      </w:pPr>
      <w:bookmarkStart w:id="68" w:name="_Ref30217"/>
      <w:r>
        <w:rPr>
          <w:rFonts w:ascii="Times New Roman" w:hAnsi="Times New Roman"/>
        </w:rPr>
        <w:t xml:space="preserve">Peter G. J. Barten. 2003. Formula for the contrast sensitivity of the human eye. In Image Quality and System Performance, Yoichi Miyake and D. Rene Rasmussen (Eds.), Vol. 5294. International Society for Optics and Photonics, SPIE, 231 – 238. </w:t>
      </w:r>
      <w:hyperlink r:id="rId17" w:history="1">
        <w:r>
          <w:rPr>
            <w:rFonts w:ascii="Times New Roman" w:hAnsi="Times New Roman"/>
          </w:rPr>
          <w:t>https://doi.org/10.1117/12.537476</w:t>
        </w:r>
      </w:hyperlink>
      <w:bookmarkEnd w:id="68"/>
    </w:p>
    <w:p w14:paraId="0217CAF4" w14:textId="77777777" w:rsidR="00461BE2" w:rsidRDefault="00650C5C">
      <w:pPr>
        <w:numPr>
          <w:ilvl w:val="0"/>
          <w:numId w:val="1"/>
        </w:numPr>
        <w:tabs>
          <w:tab w:val="left" w:pos="0"/>
        </w:tabs>
        <w:jc w:val="left"/>
        <w:rPr>
          <w:rFonts w:ascii="Times New Roman" w:hAnsi="Times New Roman"/>
        </w:rPr>
      </w:pPr>
      <w:bookmarkStart w:id="69" w:name="_Ref30224"/>
      <w:r>
        <w:rPr>
          <w:rFonts w:ascii="Times New Roman" w:hAnsi="Times New Roman"/>
        </w:rPr>
        <w:t>J.S. Pointer and R.F. Hess. 1989. The contrast sensitivity gradient across the human visual field: With emphasis on the low spatial frequency range. Vision Research 29, 9 (1989), 1133 – 1151. https://doi.org/10.1016/0042-6989(89)90061-8</w:t>
      </w:r>
      <w:bookmarkEnd w:id="69"/>
    </w:p>
    <w:p w14:paraId="65D1A9B6" w14:textId="77777777" w:rsidR="00461BE2" w:rsidRDefault="00650C5C">
      <w:pPr>
        <w:numPr>
          <w:ilvl w:val="0"/>
          <w:numId w:val="1"/>
        </w:numPr>
        <w:tabs>
          <w:tab w:val="left" w:pos="0"/>
        </w:tabs>
        <w:jc w:val="left"/>
        <w:rPr>
          <w:rFonts w:ascii="Times New Roman" w:hAnsi="Times New Roman"/>
        </w:rPr>
      </w:pPr>
      <w:bookmarkStart w:id="70" w:name="_Ref30253"/>
      <w:r>
        <w:rPr>
          <w:rFonts w:ascii="Times New Roman" w:hAnsi="Times New Roman"/>
        </w:rPr>
        <w:t>Larry N. Thibos, David L. Still, and Arthur Bradley. 1996. Characterization of spatial aliasing and contrast sensitivity in peripheral vision. Vision Research 36, 2 (1996), 249 – 258. https://doi.org/10.1016/0042-6989(95)00109-D</w:t>
      </w:r>
      <w:bookmarkEnd w:id="70"/>
    </w:p>
    <w:p w14:paraId="3768985E" w14:textId="77777777" w:rsidR="00461BE2" w:rsidRDefault="00650C5C">
      <w:pPr>
        <w:numPr>
          <w:ilvl w:val="0"/>
          <w:numId w:val="1"/>
        </w:numPr>
        <w:tabs>
          <w:tab w:val="left" w:pos="0"/>
        </w:tabs>
        <w:jc w:val="left"/>
        <w:rPr>
          <w:rFonts w:ascii="Times New Roman" w:hAnsi="Times New Roman"/>
        </w:rPr>
      </w:pPr>
      <w:bookmarkStart w:id="71" w:name="_Ref30312"/>
      <w:r>
        <w:rPr>
          <w:rFonts w:ascii="Times New Roman" w:hAnsi="Times New Roman"/>
        </w:rPr>
        <w:t>R. S. Anderson, M. B. Zlatkova, and R. O. Beirne. 2002. The contrast sensitivity function for detection and resolution of blue-on-yellow gratings in foveal and peripheral vision. Ophthalmic and Physiological Optics 22, 5 (2002), 420–426. https://doi.org/10.1046/j.1475-1313.2002.00068.x arXiv:https://onlinelibrary.wiley.com/doi/pdf/10.1046/j.1475-1313.2002.00068.x</w:t>
      </w:r>
      <w:bookmarkEnd w:id="71"/>
    </w:p>
    <w:p w14:paraId="42AA122F" w14:textId="77777777" w:rsidR="00461BE2" w:rsidRDefault="00650C5C">
      <w:pPr>
        <w:numPr>
          <w:ilvl w:val="0"/>
          <w:numId w:val="1"/>
        </w:numPr>
        <w:tabs>
          <w:tab w:val="left" w:pos="0"/>
        </w:tabs>
        <w:jc w:val="left"/>
        <w:rPr>
          <w:rFonts w:ascii="Times New Roman" w:hAnsi="Times New Roman"/>
        </w:rPr>
      </w:pPr>
      <w:bookmarkStart w:id="72" w:name="_Ref30348"/>
      <w:r>
        <w:rPr>
          <w:rFonts w:ascii="Times New Roman" w:hAnsi="Times New Roman"/>
        </w:rPr>
        <w:t>Anjul Patney, Joohwan Kim, Marco Salvi, Anton Kaplanyan, Chris Wyman, Nir Benty, Aaron Lefohn, and David Luebke. 2016a. Perceptually-based Foveated Virtual Reality. In ACM SIGGRAPH 2016 Emerging Technologies (Anaheim, California) (SIGGRAPH ’16). ACM, New York, NY, USA, Article 17, 2 pages. https://doi.org/10.1145/2929464. 2929472</w:t>
      </w:r>
      <w:bookmarkEnd w:id="72"/>
    </w:p>
    <w:p w14:paraId="11886C38" w14:textId="77777777" w:rsidR="00461BE2" w:rsidRDefault="00650C5C">
      <w:pPr>
        <w:numPr>
          <w:ilvl w:val="0"/>
          <w:numId w:val="1"/>
        </w:numPr>
        <w:tabs>
          <w:tab w:val="left" w:pos="0"/>
        </w:tabs>
        <w:jc w:val="left"/>
        <w:rPr>
          <w:rFonts w:ascii="Times New Roman" w:hAnsi="Times New Roman"/>
        </w:rPr>
      </w:pPr>
      <w:bookmarkStart w:id="73" w:name="_Ref30354"/>
      <w:r>
        <w:rPr>
          <w:rFonts w:ascii="Times New Roman" w:hAnsi="Times New Roman"/>
        </w:rPr>
        <w:t xml:space="preserve">Anjul Patney, Marco Salvi, Joohwan Kim, Anton Kaplanyan, Chris Wyman, Nir Benty, David Luebke, and Aaron Lefohn. 2016b. Towards Foveated Rendering for Gazetracked Virtual Reality. ACM Trans. Graph. 35, 6, Article 179 (Nov. 2016), 12 pages. </w:t>
      </w:r>
      <w:hyperlink r:id="rId18" w:history="1">
        <w:r>
          <w:rPr>
            <w:rFonts w:ascii="Times New Roman" w:hAnsi="Times New Roman"/>
          </w:rPr>
          <w:t>https://doi.org/10.1145/2980179.2980246</w:t>
        </w:r>
      </w:hyperlink>
      <w:bookmarkEnd w:id="73"/>
    </w:p>
    <w:p w14:paraId="39AC5D56" w14:textId="77777777" w:rsidR="00461BE2" w:rsidRDefault="00650C5C">
      <w:pPr>
        <w:numPr>
          <w:ilvl w:val="0"/>
          <w:numId w:val="1"/>
        </w:numPr>
        <w:tabs>
          <w:tab w:val="left" w:pos="0"/>
        </w:tabs>
        <w:jc w:val="left"/>
        <w:rPr>
          <w:rFonts w:ascii="Times New Roman" w:hAnsi="Times New Roman"/>
        </w:rPr>
      </w:pPr>
      <w:bookmarkStart w:id="74" w:name="_Ref30393"/>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19" w:history="1">
        <w:r>
          <w:rPr>
            <w:rFonts w:ascii="Times New Roman" w:hAnsi="Times New Roman"/>
          </w:rPr>
          <w:t>https://doi.org/10.1145/3306346.3322985</w:t>
        </w:r>
      </w:hyperlink>
      <w:bookmarkEnd w:id="74"/>
    </w:p>
    <w:p w14:paraId="2485808A" w14:textId="77777777" w:rsidR="00461BE2" w:rsidRDefault="00650C5C">
      <w:pPr>
        <w:numPr>
          <w:ilvl w:val="0"/>
          <w:numId w:val="1"/>
        </w:numPr>
        <w:tabs>
          <w:tab w:val="left" w:pos="0"/>
        </w:tabs>
        <w:jc w:val="left"/>
        <w:rPr>
          <w:rFonts w:ascii="Times New Roman" w:hAnsi="Times New Roman"/>
        </w:rPr>
      </w:pPr>
      <w:bookmarkStart w:id="75" w:name="_Ref30446"/>
      <w:r>
        <w:rPr>
          <w:rFonts w:ascii="Times New Roman" w:hAnsi="Times New Roman"/>
        </w:rPr>
        <w:lastRenderedPageBreak/>
        <w:t>Thorsten Hansen, Lars Pracejus, and Karl R. Gegenfurtner. 2009b. Color perception in the intermediate periphery of the visual field. Journal of Vision 9, 4 (04 2009), 26–26. https://doi.org/10.1167/9.4.26 arXiv:https://arvojournals.org/arvo/content_public/journal/jov/933534/jov9-4-26.pdf</w:t>
      </w:r>
      <w:bookmarkEnd w:id="75"/>
    </w:p>
    <w:p w14:paraId="30A0EEDF" w14:textId="77777777" w:rsidR="00461BE2" w:rsidRDefault="00650C5C">
      <w:pPr>
        <w:numPr>
          <w:ilvl w:val="0"/>
          <w:numId w:val="1"/>
        </w:numPr>
        <w:tabs>
          <w:tab w:val="left" w:pos="0"/>
        </w:tabs>
        <w:jc w:val="left"/>
        <w:rPr>
          <w:rFonts w:ascii="Times New Roman" w:hAnsi="Times New Roman"/>
        </w:rPr>
      </w:pPr>
      <w:bookmarkStart w:id="76" w:name="_Ref30485"/>
      <w:r>
        <w:rPr>
          <w:rFonts w:ascii="Times New Roman" w:hAnsi="Times New Roman"/>
        </w:rPr>
        <w:t xml:space="preserve">Sheng Liu and Hong Hua. 2008. Spatialchromatic Foveation for Gaze Contingent Displays. In Proceedings of the 2008 Symposium on Eye Tracking Research &amp; Applications (Savannah, Georgia) (ETRA ’08). Association for Computing Machinery, New York, NY, USA, 139–142. </w:t>
      </w:r>
      <w:hyperlink r:id="rId20" w:history="1">
        <w:r>
          <w:rPr>
            <w:rFonts w:ascii="Times New Roman" w:hAnsi="Times New Roman"/>
          </w:rPr>
          <w:t>https://doi.org/10.1145/1344471.1344507</w:t>
        </w:r>
      </w:hyperlink>
      <w:bookmarkEnd w:id="76"/>
    </w:p>
    <w:p w14:paraId="28F8B874" w14:textId="77777777" w:rsidR="00461BE2" w:rsidRDefault="00650C5C">
      <w:pPr>
        <w:numPr>
          <w:ilvl w:val="0"/>
          <w:numId w:val="1"/>
        </w:numPr>
        <w:tabs>
          <w:tab w:val="left" w:pos="0"/>
        </w:tabs>
        <w:jc w:val="left"/>
        <w:rPr>
          <w:rFonts w:ascii="Times New Roman" w:hAnsi="Times New Roman"/>
        </w:rPr>
      </w:pPr>
      <w:bookmarkStart w:id="77" w:name="_Ref23619"/>
      <w:r>
        <w:rPr>
          <w:rFonts w:ascii="Times New Roman" w:hAnsi="Times New Roman"/>
        </w:rPr>
        <w:t>Leonard A Levin, Siv FE Nilsson, James Ver Hoeve, Samuel Wu, Paul L Kaufman, and Albert Alm. 2011. Adler’s Physiology of the Eye E-Book: Expert Consult-Online and Print. Elsevier Health Sciences.</w:t>
      </w:r>
      <w:bookmarkEnd w:id="77"/>
    </w:p>
    <w:p w14:paraId="68C91301" w14:textId="77777777" w:rsidR="00461BE2" w:rsidRDefault="00650C5C">
      <w:pPr>
        <w:numPr>
          <w:ilvl w:val="0"/>
          <w:numId w:val="1"/>
        </w:numPr>
        <w:tabs>
          <w:tab w:val="left" w:pos="0"/>
        </w:tabs>
        <w:jc w:val="left"/>
        <w:rPr>
          <w:rFonts w:ascii="Times New Roman" w:hAnsi="Times New Roman"/>
        </w:rPr>
      </w:pPr>
      <w:bookmarkStart w:id="78" w:name="_Ref23659"/>
      <w:r>
        <w:rPr>
          <w:rFonts w:ascii="Times New Roman" w:hAnsi="Times New Roman"/>
        </w:rPr>
        <w:t xml:space="preserve">Youngmin Kim, Amitabh Varshney, David W. Jacobs, and François Guimbretière. 2010. Mesh Saliency and Human Eye Fixations. ACM Trans. Appl. Percept. 7, 2, Article 12 (Feb. 2010), 13 pages. </w:t>
      </w:r>
      <w:hyperlink r:id="rId21" w:history="1">
        <w:r>
          <w:rPr>
            <w:rFonts w:ascii="Times New Roman" w:hAnsi="Times New Roman"/>
          </w:rPr>
          <w:t>https://doi.org/10.1145/1670671.1670676</w:t>
        </w:r>
      </w:hyperlink>
      <w:bookmarkEnd w:id="78"/>
    </w:p>
    <w:p w14:paraId="04EAF78A" w14:textId="77777777" w:rsidR="00461BE2" w:rsidRDefault="00650C5C">
      <w:pPr>
        <w:numPr>
          <w:ilvl w:val="0"/>
          <w:numId w:val="1"/>
        </w:numPr>
        <w:tabs>
          <w:tab w:val="left" w:pos="0"/>
        </w:tabs>
        <w:jc w:val="left"/>
        <w:rPr>
          <w:rFonts w:ascii="Times New Roman" w:hAnsi="Times New Roman"/>
        </w:rPr>
      </w:pPr>
      <w:bookmarkStart w:id="79" w:name="_Ref23662"/>
      <w:r>
        <w:rPr>
          <w:rFonts w:ascii="Times New Roman" w:hAnsi="Times New Roman"/>
        </w:rPr>
        <w:t>Chang Ha Lee, Amitabh Varshney, and David W. Jacobs. 2005. Mesh Saliency. In ACM SIGGRAPH 2005 Papers (Los Angeles, California) (SIGGRAPH ’05). Association for Computing Machinery, New York, NY, USA, 659–666. https://doi.org/10.1145/ 1186822.1073244</w:t>
      </w:r>
      <w:bookmarkEnd w:id="79"/>
    </w:p>
    <w:p w14:paraId="45272B5F" w14:textId="77777777" w:rsidR="00461BE2" w:rsidRDefault="00650C5C">
      <w:pPr>
        <w:numPr>
          <w:ilvl w:val="0"/>
          <w:numId w:val="1"/>
        </w:numPr>
        <w:tabs>
          <w:tab w:val="left" w:pos="0"/>
        </w:tabs>
        <w:jc w:val="left"/>
        <w:rPr>
          <w:rFonts w:ascii="Times New Roman" w:hAnsi="Times New Roman"/>
        </w:rPr>
      </w:pPr>
      <w:bookmarkStart w:id="80" w:name="_Ref23668"/>
      <w:r>
        <w:rPr>
          <w:rFonts w:ascii="Times New Roman" w:hAnsi="Times New Roman"/>
        </w:rPr>
        <w:t xml:space="preserve">Ran Song, Yonghuai Liu, Ralph R. Martin, and Paul L. Rosin. 2014. Mesh Saliency via Spectral Processing. ACM Trans. Graph. 33, 1, Article 6 (Feb. 2014), 17 pages. </w:t>
      </w:r>
      <w:hyperlink r:id="rId22" w:history="1">
        <w:r>
          <w:rPr>
            <w:rFonts w:ascii="Times New Roman" w:hAnsi="Times New Roman"/>
          </w:rPr>
          <w:t>https://doi.org/10.1145/2530691</w:t>
        </w:r>
      </w:hyperlink>
      <w:bookmarkEnd w:id="80"/>
    </w:p>
    <w:p w14:paraId="0AB7A4DF" w14:textId="77777777" w:rsidR="00461BE2" w:rsidRDefault="00650C5C">
      <w:pPr>
        <w:numPr>
          <w:ilvl w:val="0"/>
          <w:numId w:val="1"/>
        </w:numPr>
        <w:tabs>
          <w:tab w:val="left" w:pos="0"/>
        </w:tabs>
        <w:jc w:val="left"/>
        <w:rPr>
          <w:rFonts w:ascii="Times New Roman" w:hAnsi="Times New Roman"/>
        </w:rPr>
      </w:pPr>
      <w:bookmarkStart w:id="81" w:name="_Ref23672"/>
      <w:r>
        <w:rPr>
          <w:rFonts w:ascii="Times New Roman" w:hAnsi="Times New Roman"/>
        </w:rPr>
        <w:t>Shivanthan Yohanandan, Andy Song, Adrian G. Dyer, and Dacheng Tao. 2018. Saliency Preservation in Low-Resolution Grayscale Images. In Computer Vision – ECCV 2018, Vittorio Ferrari, Martial Hebert, Cristian Sminchisescu, and Yair Weiss (Eds.). Springer International Publishing, Cham, 237–254.</w:t>
      </w:r>
      <w:bookmarkEnd w:id="81"/>
    </w:p>
    <w:p w14:paraId="423CABD2" w14:textId="77777777" w:rsidR="00461BE2" w:rsidRDefault="00650C5C">
      <w:pPr>
        <w:numPr>
          <w:ilvl w:val="0"/>
          <w:numId w:val="1"/>
        </w:numPr>
        <w:tabs>
          <w:tab w:val="left" w:pos="0"/>
        </w:tabs>
        <w:jc w:val="left"/>
        <w:rPr>
          <w:rFonts w:ascii="Times New Roman" w:hAnsi="Times New Roman"/>
        </w:rPr>
      </w:pPr>
      <w:bookmarkStart w:id="82" w:name="_Ref23756"/>
      <w:r>
        <w:rPr>
          <w:rFonts w:ascii="Times New Roman" w:hAnsi="Times New Roman"/>
        </w:rPr>
        <w:t xml:space="preserve">Yong He, Yan Gu, and Kayvon Fatahalian. 2014. Extending the Graphics Pipeline with Adaptive, Multi-rate Shading. ACM Trans. Graph. 33, 4, Article 142 </w:t>
      </w:r>
      <w:r>
        <w:rPr>
          <w:rFonts w:ascii="Times New Roman" w:hAnsi="Times New Roman"/>
        </w:rPr>
        <w:lastRenderedPageBreak/>
        <w:t xml:space="preserve">(July 2014), 12 pages. </w:t>
      </w:r>
      <w:hyperlink r:id="rId23" w:history="1">
        <w:r>
          <w:rPr>
            <w:rFonts w:ascii="Times New Roman" w:hAnsi="Times New Roman"/>
          </w:rPr>
          <w:t>https://doi.org/10.1145/2601097.2601105</w:t>
        </w:r>
      </w:hyperlink>
      <w:bookmarkEnd w:id="82"/>
    </w:p>
    <w:p w14:paraId="2C986298" w14:textId="77777777" w:rsidR="00461BE2" w:rsidRDefault="00650C5C">
      <w:pPr>
        <w:numPr>
          <w:ilvl w:val="0"/>
          <w:numId w:val="1"/>
        </w:numPr>
        <w:tabs>
          <w:tab w:val="left" w:pos="0"/>
        </w:tabs>
        <w:jc w:val="left"/>
        <w:rPr>
          <w:rFonts w:ascii="Times New Roman" w:hAnsi="Times New Roman"/>
        </w:rPr>
      </w:pPr>
      <w:bookmarkStart w:id="83" w:name="_Ref23779"/>
      <w:r>
        <w:rPr>
          <w:rFonts w:ascii="Times New Roman" w:hAnsi="Times New Roman"/>
        </w:rPr>
        <w:t xml:space="preserve">Michael Stengel, Steve Grogorick, Martin Eisemann, and Marcus Magnor. 2016. Adaptive Image-Space Sampling for Gaze-Contingent Real-time Rendering. Comput. Graph. Forum 35, 4 (July 2016), 129–139. </w:t>
      </w:r>
      <w:hyperlink r:id="rId24" w:history="1">
        <w:r>
          <w:rPr>
            <w:rFonts w:ascii="Times New Roman" w:hAnsi="Times New Roman"/>
          </w:rPr>
          <w:t>https://doi.org/10.1111/cgf.12956</w:t>
        </w:r>
      </w:hyperlink>
      <w:bookmarkEnd w:id="83"/>
    </w:p>
    <w:p w14:paraId="6D0B29BF" w14:textId="77777777" w:rsidR="00461BE2" w:rsidRDefault="00650C5C">
      <w:pPr>
        <w:numPr>
          <w:ilvl w:val="0"/>
          <w:numId w:val="1"/>
        </w:numPr>
        <w:tabs>
          <w:tab w:val="left" w:pos="0"/>
        </w:tabs>
        <w:jc w:val="left"/>
        <w:rPr>
          <w:rFonts w:ascii="Times New Roman" w:hAnsi="Times New Roman"/>
        </w:rPr>
      </w:pPr>
      <w:bookmarkStart w:id="84" w:name="_Ref22227"/>
      <w:r>
        <w:rPr>
          <w:rFonts w:ascii="Times New Roman" w:hAnsi="Times New Roman"/>
        </w:rPr>
        <w:t>Frank W. Weymouth. 1958. Visual Sensory Units and the Minimal Angle of Resolution*. American Journal of Ophthalmology 46, 1, Part 2 (1958), 102 – 113. https://doi.org/ 10.1016/0002-9394(58)90042-4</w:t>
      </w:r>
      <w:bookmarkEnd w:id="84"/>
    </w:p>
    <w:p w14:paraId="604D7DFE" w14:textId="77777777" w:rsidR="00461BE2" w:rsidRDefault="00650C5C">
      <w:pPr>
        <w:numPr>
          <w:ilvl w:val="0"/>
          <w:numId w:val="1"/>
        </w:numPr>
        <w:tabs>
          <w:tab w:val="left" w:pos="0"/>
        </w:tabs>
        <w:jc w:val="left"/>
        <w:rPr>
          <w:rFonts w:ascii="Times New Roman" w:hAnsi="Times New Roman"/>
        </w:rPr>
      </w:pPr>
      <w:r>
        <w:rPr>
          <w:rFonts w:ascii="Times New Roman" w:hAnsi="Times New Roman"/>
        </w:rPr>
        <w:t xml:space="preserve">Yong He, Yan Gu, and Kayvon Fatahalian. 2014. Extending the Graphics Pipeline with Adaptive, Multi-rate Shading. ACM Trans. Graph. 33, 4, Article 142 (July 2014), 12 pages. </w:t>
      </w:r>
      <w:hyperlink r:id="rId25" w:history="1">
        <w:r>
          <w:rPr>
            <w:rFonts w:ascii="Times New Roman" w:hAnsi="Times New Roman"/>
          </w:rPr>
          <w:t>https://doi.org/10.1145/2601097.2601105</w:t>
        </w:r>
      </w:hyperlink>
    </w:p>
    <w:p w14:paraId="17E771FC" w14:textId="77777777" w:rsidR="00461BE2" w:rsidRDefault="00650C5C">
      <w:pPr>
        <w:numPr>
          <w:ilvl w:val="0"/>
          <w:numId w:val="1"/>
        </w:numPr>
        <w:tabs>
          <w:tab w:val="left" w:pos="0"/>
        </w:tabs>
        <w:jc w:val="left"/>
        <w:rPr>
          <w:rFonts w:ascii="Times New Roman" w:hAnsi="Times New Roman"/>
        </w:rPr>
      </w:pPr>
      <w:bookmarkStart w:id="85" w:name="_Ref22919"/>
      <w:r>
        <w:rPr>
          <w:rFonts w:ascii="Times New Roman" w:hAnsi="Times New Roman"/>
        </w:rPr>
        <w:t>K. Vaidyanathan, M. Salvi, R. Toth, T. Foley, T. Akenine-Möller, J. Nilsson, J. Munkberg, J. Hasselgren, M. Sugihara, P. Clarberg, T. Janczak, and A. Lefohn. 2014. Coarse Pixel Shading. In Proceedings of High Performance Graphics (Lyon, France) (HPG ’14). Eurographics Association, Goslar Germany, Germany, 9–18. http://dl.acm.org/ citation.cfm?id=2980009.2980011</w:t>
      </w:r>
      <w:bookmarkEnd w:id="85"/>
    </w:p>
    <w:p w14:paraId="250C9BED" w14:textId="77777777" w:rsidR="00461BE2" w:rsidRDefault="00650C5C">
      <w:pPr>
        <w:numPr>
          <w:ilvl w:val="0"/>
          <w:numId w:val="1"/>
        </w:numPr>
        <w:tabs>
          <w:tab w:val="left" w:pos="0"/>
        </w:tabs>
        <w:jc w:val="left"/>
        <w:rPr>
          <w:rFonts w:ascii="Times New Roman" w:hAnsi="Times New Roman"/>
        </w:rPr>
      </w:pPr>
      <w:bookmarkStart w:id="86" w:name="_Ref23135"/>
      <w:r>
        <w:rPr>
          <w:rFonts w:ascii="Times New Roman" w:hAnsi="Times New Roman"/>
        </w:rPr>
        <w:t>J. Spjut, B. Boudaoud, J. Kim, T. Greer, R. Albert, M. Stengel, K. Akşit, and D. Luebke. 2020. Toward Standardized Classification of Foveated Displays. IEEE Transactions on Visualization and Computer Graphics 26, 5 (2020), 2126–2134. https://doi.org/10. 1109/TVCG.2020.2973053</w:t>
      </w:r>
      <w:bookmarkEnd w:id="86"/>
    </w:p>
    <w:p w14:paraId="6FC6A298" w14:textId="77777777" w:rsidR="00461BE2" w:rsidRDefault="00650C5C">
      <w:pPr>
        <w:numPr>
          <w:ilvl w:val="0"/>
          <w:numId w:val="1"/>
        </w:numPr>
        <w:tabs>
          <w:tab w:val="left" w:pos="0"/>
        </w:tabs>
        <w:jc w:val="left"/>
        <w:rPr>
          <w:rFonts w:ascii="Times New Roman" w:hAnsi="Times New Roman"/>
        </w:rPr>
      </w:pPr>
      <w:bookmarkStart w:id="87" w:name="_Ref14984"/>
      <w:r>
        <w:rPr>
          <w:rFonts w:ascii="Times New Roman" w:hAnsi="Times New Roman"/>
        </w:rPr>
        <w:t>H. Araujo and J. M. Dias. 1996. An introduction to the log-polar mapping. In Proceedings II Workshop on Cybernetic Vision. 139–144.</w:t>
      </w:r>
      <w:bookmarkEnd w:id="87"/>
    </w:p>
    <w:p w14:paraId="325896B5" w14:textId="77777777" w:rsidR="00461BE2" w:rsidRDefault="00650C5C">
      <w:pPr>
        <w:numPr>
          <w:ilvl w:val="0"/>
          <w:numId w:val="1"/>
        </w:numPr>
        <w:tabs>
          <w:tab w:val="left" w:pos="0"/>
        </w:tabs>
        <w:jc w:val="left"/>
        <w:rPr>
          <w:rFonts w:ascii="Times New Roman" w:hAnsi="Times New Roman"/>
        </w:rPr>
      </w:pPr>
      <w:bookmarkStart w:id="88" w:name="_Ref15010"/>
      <w:r>
        <w:rPr>
          <w:rFonts w:ascii="Times New Roman" w:hAnsi="Times New Roman"/>
        </w:rPr>
        <w:t xml:space="preserve">Marco Antonelli, Francisco D. Igual, Francisco Ramos, and V. Javier Traver. 2015. Speeding up the log-polar transform with inexpensive parallel hardware: graphics units and multi-core architectures. Journal of Real-Time Image Processing 10, 3 (01 Sep 2015), 533–550. </w:t>
      </w:r>
      <w:hyperlink r:id="rId26" w:history="1">
        <w:r>
          <w:rPr>
            <w:rFonts w:ascii="Times New Roman" w:hAnsi="Times New Roman"/>
          </w:rPr>
          <w:t>https://doi.org/10.1007/s11554-012-0281-6</w:t>
        </w:r>
      </w:hyperlink>
      <w:bookmarkEnd w:id="88"/>
    </w:p>
    <w:p w14:paraId="0B9A7067" w14:textId="77777777" w:rsidR="00461BE2" w:rsidRDefault="00650C5C">
      <w:pPr>
        <w:numPr>
          <w:ilvl w:val="0"/>
          <w:numId w:val="1"/>
        </w:numPr>
        <w:tabs>
          <w:tab w:val="left" w:pos="0"/>
        </w:tabs>
        <w:jc w:val="left"/>
        <w:rPr>
          <w:rFonts w:ascii="Times New Roman" w:hAnsi="Times New Roman"/>
        </w:rPr>
      </w:pPr>
      <w:bookmarkStart w:id="89" w:name="_Ref15040"/>
      <w:r>
        <w:rPr>
          <w:rFonts w:ascii="Times New Roman" w:hAnsi="Times New Roman"/>
        </w:rPr>
        <w:t>Michael Deering, Stephanie Winner, Bic Schediwy, Chris Duffy, and Neil Hunt. 1988. The Triangle Processor and Normal Vector Shader: A VLSI System for High Performance Graphics. SIGGRAPH Comput. Graph. 22, 4 (June 1988), 21–30. https://doi.org/10. 1145/378456.378468</w:t>
      </w:r>
      <w:bookmarkEnd w:id="89"/>
    </w:p>
    <w:p w14:paraId="3ED6E04E" w14:textId="77777777" w:rsidR="00461BE2" w:rsidRDefault="00650C5C">
      <w:pPr>
        <w:numPr>
          <w:ilvl w:val="0"/>
          <w:numId w:val="1"/>
        </w:numPr>
        <w:tabs>
          <w:tab w:val="left" w:pos="0"/>
        </w:tabs>
        <w:jc w:val="left"/>
        <w:rPr>
          <w:rFonts w:ascii="Times New Roman" w:hAnsi="Times New Roman"/>
        </w:rPr>
      </w:pPr>
      <w:bookmarkStart w:id="90" w:name="_Ref15144"/>
      <w:r>
        <w:rPr>
          <w:rFonts w:ascii="Times New Roman" w:hAnsi="Times New Roman"/>
        </w:rPr>
        <w:lastRenderedPageBreak/>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90"/>
    </w:p>
    <w:p w14:paraId="5467F5B7" w14:textId="77777777" w:rsidR="00461BE2" w:rsidRDefault="00650C5C">
      <w:pPr>
        <w:numPr>
          <w:ilvl w:val="0"/>
          <w:numId w:val="1"/>
        </w:numPr>
        <w:tabs>
          <w:tab w:val="left" w:pos="0"/>
        </w:tabs>
        <w:jc w:val="left"/>
        <w:rPr>
          <w:rFonts w:ascii="Times New Roman" w:hAnsi="Times New Roman"/>
        </w:rPr>
      </w:pPr>
      <w:bookmarkStart w:id="91" w:name="_Ref15167"/>
      <w:r>
        <w:rPr>
          <w:rFonts w:ascii="Times New Roman" w:hAnsi="Times New Roman"/>
        </w:rPr>
        <w:t>Matias Koskela, Kalle Immonen, Markku Mäkitalo, Alessandro Foi, Timo Viitanen, Pekka Jääskeläinen, Heikki Kultala, and Jarmo Takala. 2019a. Blockwise Multi-Order Feature Regression for Real-Time Path Tracing Reconstruction. ACM Transactions on Graphics (TOG) 38, 5 (June 2019). https://doi.org/10.1145/3269978</w:t>
      </w:r>
      <w:bookmarkEnd w:id="91"/>
    </w:p>
    <w:p w14:paraId="334A3E1B" w14:textId="77777777" w:rsidR="00461BE2" w:rsidRDefault="00650C5C">
      <w:pPr>
        <w:numPr>
          <w:ilvl w:val="0"/>
          <w:numId w:val="1"/>
        </w:numPr>
        <w:tabs>
          <w:tab w:val="left" w:pos="0"/>
        </w:tabs>
        <w:jc w:val="left"/>
        <w:rPr>
          <w:rFonts w:ascii="Times New Roman" w:hAnsi="Times New Roman"/>
        </w:rPr>
      </w:pPr>
      <w:bookmarkStart w:id="92" w:name="_Ref11175"/>
      <w:r>
        <w:rPr>
          <w:rFonts w:ascii="宋体" w:hAnsi="宋体" w:cs="宋体"/>
        </w:rPr>
        <w:t xml:space="preserve">Behnam Bastani, Eric Turner, Carlin Vieri, Haomiao Jiang, Brian Funt, and Nikhil Balram. 2017. Foveated Pipeline for AR/VR Head-Mounted Displays. Information Display 33 (11 2017), 14–19 and 35. </w:t>
      </w:r>
      <w:hyperlink r:id="rId27" w:history="1">
        <w:r>
          <w:rPr>
            <w:rStyle w:val="a5"/>
            <w:rFonts w:ascii="宋体" w:hAnsi="宋体" w:cs="宋体"/>
          </w:rPr>
          <w:t>https://doi.org/10.1002/j.2637-496x.2017.tb01040.x</w:t>
        </w:r>
      </w:hyperlink>
      <w:bookmarkEnd w:id="92"/>
    </w:p>
    <w:p w14:paraId="423D565E" w14:textId="77777777" w:rsidR="00461BE2" w:rsidRDefault="00650C5C">
      <w:pPr>
        <w:numPr>
          <w:ilvl w:val="0"/>
          <w:numId w:val="1"/>
        </w:numPr>
        <w:tabs>
          <w:tab w:val="left" w:pos="0"/>
        </w:tabs>
        <w:jc w:val="left"/>
        <w:rPr>
          <w:rFonts w:ascii="Times New Roman" w:hAnsi="Times New Roman"/>
        </w:rPr>
      </w:pPr>
      <w:bookmarkStart w:id="93" w:name="_Ref11378"/>
      <w:r>
        <w:rPr>
          <w:rFonts w:ascii="宋体" w:hAnsi="宋体" w:cs="宋体"/>
        </w:rPr>
        <w:t xml:space="preserve">Martin Reddy. 2001. Perceptually Optimized 3D Graphics. IEEE Comput. Graph. Appl. 21, 5 (Sept. 2001), 68–75. </w:t>
      </w:r>
      <w:hyperlink r:id="rId28" w:history="1">
        <w:r>
          <w:rPr>
            <w:rStyle w:val="a5"/>
            <w:rFonts w:ascii="宋体" w:hAnsi="宋体" w:cs="宋体"/>
          </w:rPr>
          <w:t>https://doi.org/10.1109/38.946633</w:t>
        </w:r>
      </w:hyperlink>
      <w:bookmarkEnd w:id="93"/>
    </w:p>
    <w:p w14:paraId="462735B4" w14:textId="77777777" w:rsidR="00461BE2" w:rsidRDefault="00650C5C">
      <w:pPr>
        <w:numPr>
          <w:ilvl w:val="0"/>
          <w:numId w:val="1"/>
        </w:numPr>
        <w:tabs>
          <w:tab w:val="left" w:pos="0"/>
        </w:tabs>
        <w:jc w:val="left"/>
        <w:rPr>
          <w:rFonts w:ascii="Times New Roman" w:hAnsi="Times New Roman"/>
        </w:rPr>
      </w:pPr>
      <w:bookmarkStart w:id="94" w:name="_Ref11397"/>
      <w:r>
        <w:rPr>
          <w:rFonts w:ascii="宋体" w:hAnsi="宋体" w:cs="宋体"/>
        </w:rPr>
        <w:t>Martin Reddy. 1998. Specification and evaluation of level of detail selection criteria. Virtual Reality 3, 2 (1998), 132–143.</w:t>
      </w:r>
      <w:bookmarkEnd w:id="94"/>
    </w:p>
    <w:p w14:paraId="69442742" w14:textId="77777777" w:rsidR="00461BE2" w:rsidRDefault="00650C5C">
      <w:pPr>
        <w:numPr>
          <w:ilvl w:val="0"/>
          <w:numId w:val="1"/>
        </w:numPr>
        <w:tabs>
          <w:tab w:val="left" w:pos="0"/>
        </w:tabs>
        <w:jc w:val="left"/>
        <w:rPr>
          <w:rFonts w:ascii="Times New Roman" w:hAnsi="Times New Roman"/>
        </w:rPr>
      </w:pPr>
      <w:bookmarkStart w:id="95" w:name="_Ref11835"/>
      <w:r>
        <w:rPr>
          <w:rFonts w:ascii="宋体" w:hAnsi="宋体" w:cs="宋体"/>
        </w:rPr>
        <w:t>Zipeng Zheng, Zhuo Yang, Yinwei Zhan, Yuqing Li, and Wenxin Yu. 2018. Perceptual Model Optimized Efficient Foveated Rendering. In Proceedings of the 24th ACM Symposium on Virtual Reality Software and Technology (Tokyo, Japan) (VRST ’18). ACM, New York, NY, USA, Article 109, 2 pages. https://doi.org/10.1145/3281505. 3281588</w:t>
      </w:r>
      <w:bookmarkEnd w:id="95"/>
    </w:p>
    <w:p w14:paraId="76A30C41" w14:textId="77777777" w:rsidR="00461BE2" w:rsidRDefault="00650C5C">
      <w:pPr>
        <w:numPr>
          <w:ilvl w:val="0"/>
          <w:numId w:val="1"/>
        </w:numPr>
        <w:tabs>
          <w:tab w:val="left" w:pos="0"/>
        </w:tabs>
        <w:jc w:val="left"/>
        <w:rPr>
          <w:rFonts w:ascii="Times New Roman" w:hAnsi="Times New Roman"/>
        </w:rPr>
      </w:pPr>
      <w:bookmarkStart w:id="96" w:name="_Ref11926"/>
      <w:r>
        <w:rPr>
          <w:rFonts w:ascii="宋体" w:hAnsi="宋体" w:cs="宋体"/>
        </w:rPr>
        <w:t xml:space="preserve">Sebastian Friston, Tobias Ritschel, and Anthony Steed. 2019. Perceptual Rasterization for Head-mounted Display Image Synthesis. ACM Trans. Graph. 38, 4, Article 97 (July 2019), 14 pages. </w:t>
      </w:r>
      <w:hyperlink r:id="rId29" w:history="1">
        <w:r>
          <w:rPr>
            <w:rStyle w:val="a5"/>
            <w:rFonts w:ascii="宋体" w:hAnsi="宋体" w:cs="宋体"/>
          </w:rPr>
          <w:t>https://doi.org/10.1145/3306346.3323033</w:t>
        </w:r>
      </w:hyperlink>
      <w:bookmarkEnd w:id="96"/>
    </w:p>
    <w:p w14:paraId="681A0E6D" w14:textId="77777777" w:rsidR="00461BE2" w:rsidRDefault="00650C5C">
      <w:pPr>
        <w:numPr>
          <w:ilvl w:val="0"/>
          <w:numId w:val="1"/>
        </w:numPr>
        <w:tabs>
          <w:tab w:val="left" w:pos="0"/>
        </w:tabs>
        <w:jc w:val="left"/>
        <w:rPr>
          <w:rFonts w:ascii="Times New Roman" w:hAnsi="Times New Roman"/>
        </w:rPr>
      </w:pPr>
      <w:bookmarkStart w:id="97" w:name="_Ref11959"/>
      <w:r>
        <w:rPr>
          <w:rFonts w:ascii="宋体" w:hAnsi="宋体" w:cs="宋体"/>
        </w:rPr>
        <w:t xml:space="preserve">David Li, Ruofei Du, Adharsh Babu, Camelia D. Brumar, and Amitabh Varshney. 2021. A Log-Rectilinear Transformation for Foveated </w:t>
      </w:r>
      <w:r>
        <w:rPr>
          <w:rFonts w:ascii="宋体" w:hAnsi="宋体" w:cs="宋体"/>
        </w:rPr>
        <w:lastRenderedPageBreak/>
        <w:t>360-degree Video Streaming. IEEE Transactions on Visualization and Computer Graphics (2021).</w:t>
      </w:r>
      <w:bookmarkEnd w:id="97"/>
    </w:p>
    <w:p w14:paraId="4AA84C54" w14:textId="77777777" w:rsidR="00461BE2" w:rsidRDefault="00650C5C">
      <w:pPr>
        <w:numPr>
          <w:ilvl w:val="0"/>
          <w:numId w:val="1"/>
        </w:numPr>
        <w:tabs>
          <w:tab w:val="left" w:pos="0"/>
        </w:tabs>
        <w:jc w:val="left"/>
        <w:rPr>
          <w:rFonts w:ascii="Times New Roman" w:hAnsi="Times New Roman"/>
        </w:rPr>
      </w:pPr>
      <w:bookmarkStart w:id="98" w:name="_Ref12586"/>
      <w:r>
        <w:rPr>
          <w:rFonts w:ascii="宋体" w:hAnsi="宋体" w:cs="宋体"/>
        </w:rPr>
        <w:t xml:space="preserve">Marc Levoy and Ross Whitaker. 1990. Gaze-directed Volume Rendering. SIGGRAPH Comput. Graph. 24, 2 (Feb. 1990), 217–223. </w:t>
      </w:r>
      <w:hyperlink r:id="rId30" w:history="1">
        <w:r>
          <w:rPr>
            <w:rStyle w:val="a5"/>
            <w:rFonts w:ascii="宋体" w:hAnsi="宋体" w:cs="宋体"/>
          </w:rPr>
          <w:t>https://doi.org/10.1145/91394.91449</w:t>
        </w:r>
      </w:hyperlink>
      <w:bookmarkEnd w:id="98"/>
    </w:p>
    <w:p w14:paraId="35851F76" w14:textId="77777777" w:rsidR="00461BE2" w:rsidRDefault="00650C5C">
      <w:pPr>
        <w:numPr>
          <w:ilvl w:val="0"/>
          <w:numId w:val="1"/>
        </w:numPr>
        <w:tabs>
          <w:tab w:val="left" w:pos="0"/>
        </w:tabs>
        <w:jc w:val="left"/>
        <w:rPr>
          <w:rFonts w:ascii="Times New Roman" w:hAnsi="Times New Roman"/>
        </w:rPr>
      </w:pPr>
      <w:bookmarkStart w:id="99" w:name="_Ref17132"/>
      <w:r>
        <w:rPr>
          <w:rFonts w:ascii="宋体" w:hAnsi="宋体" w:cs="宋体"/>
        </w:rPr>
        <w:t xml:space="preserve">Thomas A. Funkhouser and Carlo H. Séquin. 1993. Adaptive Display Algorithm for Interactive Frame Rates During Visualization of Complex Virtual Environments. In Proceedings of the 20th Annual Conference on Computer Graphics and Interactive Techniques (Anaheim, CA) (SIGGRAPH ’93). ACM, New York, NY, USA, 247–254. </w:t>
      </w:r>
      <w:hyperlink r:id="rId31" w:history="1">
        <w:r>
          <w:rPr>
            <w:rStyle w:val="a5"/>
            <w:rFonts w:ascii="宋体" w:hAnsi="宋体" w:cs="宋体"/>
          </w:rPr>
          <w:t>https://doi.org/10.1145/166117.166149</w:t>
        </w:r>
      </w:hyperlink>
      <w:bookmarkEnd w:id="99"/>
    </w:p>
    <w:p w14:paraId="4F14CFC0" w14:textId="77777777" w:rsidR="00461BE2" w:rsidRDefault="00650C5C">
      <w:pPr>
        <w:numPr>
          <w:ilvl w:val="0"/>
          <w:numId w:val="1"/>
        </w:numPr>
        <w:tabs>
          <w:tab w:val="left" w:pos="0"/>
        </w:tabs>
        <w:jc w:val="left"/>
        <w:rPr>
          <w:rFonts w:ascii="Times New Roman" w:hAnsi="Times New Roman"/>
        </w:rPr>
      </w:pPr>
      <w:bookmarkStart w:id="100" w:name="_Ref17070"/>
      <w:r>
        <w:rPr>
          <w:rFonts w:ascii="宋体" w:hAnsi="宋体" w:cs="宋体"/>
        </w:rPr>
        <w:t>Eric Horvitz and Jed Lengyel. 1997. Perception, Attention, and Resources: A Decisiontheoretic Approach to Graphics Rendering. In Proceedings of the Thirteenth Conference on Uncertainty in Artificial Intelligence (Providence, Rhode Island) (UAI’97). Morgan Kaufmann Publishers Inc., San Francisco, CA, USA, 238–249. http: //dl.acm.org/citation.cfm?id=2074226.2074255</w:t>
      </w:r>
      <w:bookmarkEnd w:id="100"/>
    </w:p>
    <w:p w14:paraId="6C72E971" w14:textId="77777777" w:rsidR="00461BE2" w:rsidRDefault="00650C5C">
      <w:pPr>
        <w:numPr>
          <w:ilvl w:val="0"/>
          <w:numId w:val="1"/>
        </w:numPr>
        <w:tabs>
          <w:tab w:val="left" w:pos="0"/>
        </w:tabs>
        <w:jc w:val="left"/>
        <w:rPr>
          <w:rFonts w:ascii="Times New Roman" w:hAnsi="Times New Roman"/>
        </w:rPr>
      </w:pPr>
      <w:bookmarkStart w:id="101" w:name="_Ref17073"/>
      <w:r>
        <w:rPr>
          <w:rFonts w:ascii="宋体" w:hAnsi="宋体" w:cs="宋体"/>
        </w:rPr>
        <w:t>Hector Yee, Sumanita Pattanaik, and Donald P. Greenberg. 2001. Spatiotemporal Sensitivity and Visual Attention for Efficient Rendering of Dynamic Environments. ACM Trans. Graph. 20, 1 (Jan. 2001), 39–65. https://doi.org/10.1145/383745.383748</w:t>
      </w:r>
      <w:bookmarkEnd w:id="101"/>
    </w:p>
    <w:p w14:paraId="0F727516" w14:textId="77777777" w:rsidR="00461BE2" w:rsidRDefault="00650C5C">
      <w:pPr>
        <w:numPr>
          <w:ilvl w:val="0"/>
          <w:numId w:val="1"/>
        </w:numPr>
        <w:tabs>
          <w:tab w:val="left" w:pos="0"/>
        </w:tabs>
        <w:jc w:val="left"/>
        <w:rPr>
          <w:rFonts w:ascii="Times New Roman" w:hAnsi="Times New Roman"/>
        </w:rPr>
      </w:pPr>
      <w:bookmarkStart w:id="102" w:name="_Ref17034"/>
      <w:r>
        <w:rPr>
          <w:rFonts w:ascii="宋体" w:hAnsi="宋体" w:cs="宋体"/>
        </w:rPr>
        <w:t>Oculus. 2018. Oculus Go: Fixed Foveated Rendering. https://developer.oculus.com/ documentation/unreal/latest/concepts/unreal-ffr</w:t>
      </w:r>
      <w:bookmarkEnd w:id="102"/>
    </w:p>
    <w:p w14:paraId="35028929" w14:textId="77777777" w:rsidR="00461BE2" w:rsidRDefault="00650C5C">
      <w:pPr>
        <w:numPr>
          <w:ilvl w:val="0"/>
          <w:numId w:val="1"/>
        </w:numPr>
        <w:tabs>
          <w:tab w:val="left" w:pos="0"/>
        </w:tabs>
        <w:jc w:val="left"/>
        <w:rPr>
          <w:rFonts w:ascii="Times New Roman" w:hAnsi="Times New Roman"/>
        </w:rPr>
      </w:pPr>
      <w:bookmarkStart w:id="103" w:name="_Ref16942"/>
      <w:r>
        <w:rPr>
          <w:rFonts w:ascii="宋体" w:hAnsi="宋体" w:cs="宋体"/>
        </w:rPr>
        <w:t>L. Itti, C. Koch, and E. Niebur. 1998. A model of saliency-based visual attention for rapid scene analysis. IEEE Transactions on Pattern Analysis and Machine Intelligence 20, 11 (1998), 1254–1259.</w:t>
      </w:r>
      <w:bookmarkEnd w:id="103"/>
    </w:p>
    <w:p w14:paraId="3D54BE44" w14:textId="77777777" w:rsidR="00461BE2" w:rsidRDefault="00650C5C">
      <w:pPr>
        <w:numPr>
          <w:ilvl w:val="0"/>
          <w:numId w:val="1"/>
        </w:numPr>
        <w:tabs>
          <w:tab w:val="left" w:pos="0"/>
        </w:tabs>
        <w:jc w:val="left"/>
        <w:rPr>
          <w:rFonts w:ascii="Times New Roman" w:hAnsi="Times New Roman"/>
        </w:rPr>
      </w:pPr>
      <w:bookmarkStart w:id="104" w:name="_Ref16952"/>
      <w:r>
        <w:rPr>
          <w:rFonts w:ascii="宋体" w:hAnsi="宋体" w:cs="宋体"/>
        </w:rPr>
        <w:t xml:space="preserve">Chang Ha Lee, Amitabh Varshney, and David W. Jacobs. 2005. Mesh Saliency. In ACM SIGGRAPH 2005 Papers (Los Angeles, California) </w:t>
      </w:r>
      <w:r>
        <w:rPr>
          <w:rFonts w:ascii="宋体" w:hAnsi="宋体" w:cs="宋体"/>
        </w:rPr>
        <w:lastRenderedPageBreak/>
        <w:t>(SIGGRAPH ’05). Association for Computing Machinery, New York, NY, USA, 659–666. https://doi.org/10.1145/ 1186822.1073244</w:t>
      </w:r>
      <w:bookmarkEnd w:id="104"/>
    </w:p>
    <w:p w14:paraId="7713FE68" w14:textId="77777777" w:rsidR="00461BE2" w:rsidRDefault="00650C5C">
      <w:pPr>
        <w:numPr>
          <w:ilvl w:val="0"/>
          <w:numId w:val="1"/>
        </w:numPr>
        <w:tabs>
          <w:tab w:val="left" w:pos="0"/>
        </w:tabs>
        <w:jc w:val="left"/>
        <w:rPr>
          <w:rFonts w:ascii="Times New Roman" w:hAnsi="Times New Roman"/>
        </w:rPr>
      </w:pPr>
      <w:bookmarkStart w:id="105" w:name="_Ref17693"/>
      <w:r>
        <w:rPr>
          <w:rFonts w:ascii="宋体" w:hAnsi="宋体" w:cs="宋体"/>
        </w:rPr>
        <w:t xml:space="preserve">Viviane Clay, Peter König, and Sabine Koenig. 2019. Eye Tracking in Virtual Reality. Journal of Eye Movement Research 12 (04 2019). </w:t>
      </w:r>
      <w:hyperlink r:id="rId32" w:history="1">
        <w:r>
          <w:rPr>
            <w:rStyle w:val="a5"/>
            <w:rFonts w:ascii="宋体" w:hAnsi="宋体" w:cs="宋体"/>
          </w:rPr>
          <w:t>https://doi.org/10.16910/jemr.12.1.3</w:t>
        </w:r>
      </w:hyperlink>
      <w:bookmarkEnd w:id="105"/>
    </w:p>
    <w:p w14:paraId="5513D577" w14:textId="77777777" w:rsidR="00461BE2" w:rsidRDefault="00650C5C">
      <w:pPr>
        <w:numPr>
          <w:ilvl w:val="0"/>
          <w:numId w:val="1"/>
        </w:numPr>
        <w:tabs>
          <w:tab w:val="left" w:pos="0"/>
        </w:tabs>
        <w:jc w:val="left"/>
        <w:rPr>
          <w:rFonts w:ascii="Times New Roman" w:hAnsi="Times New Roman"/>
        </w:rPr>
      </w:pPr>
      <w:bookmarkStart w:id="106" w:name="_Ref17720"/>
      <w:r>
        <w:rPr>
          <w:rFonts w:ascii="宋体" w:hAnsi="宋体" w:cs="宋体"/>
        </w:rPr>
        <w:t>Z. Hu, S. Li, C. Zhang, K. Yi, G. Wang, and D. Manocha. 2020. DGaze: CNN-Based Gaze Prediction in Dynamic Scenes. IEEE Transactions on Visualization and Computer Graphics 26, 5 (2020), 1902–1911.</w:t>
      </w:r>
      <w:bookmarkEnd w:id="106"/>
    </w:p>
    <w:p w14:paraId="74F10F78" w14:textId="77777777" w:rsidR="00461BE2" w:rsidRDefault="00650C5C">
      <w:pPr>
        <w:numPr>
          <w:ilvl w:val="0"/>
          <w:numId w:val="1"/>
        </w:numPr>
        <w:tabs>
          <w:tab w:val="left" w:pos="0"/>
        </w:tabs>
        <w:jc w:val="left"/>
        <w:rPr>
          <w:rFonts w:ascii="Times New Roman" w:hAnsi="Times New Roman"/>
        </w:rPr>
      </w:pPr>
      <w:bookmarkStart w:id="107" w:name="_Ref17723"/>
      <w:r>
        <w:rPr>
          <w:rFonts w:ascii="宋体" w:hAnsi="宋体" w:cs="宋体"/>
        </w:rPr>
        <w:t>Yanyu Xu, Yanbing Dong, Junru Wu, Zhengzhong Sun, Zhiru Shi, Jingyi Yu, and Shenghua Gao. 2018. Gaze Prediction in Dynamic 360° Immersive Videos. In The IEEE Conference on Computer Vision and Pattern Recognition (CVPR).</w:t>
      </w:r>
      <w:bookmarkEnd w:id="107"/>
    </w:p>
    <w:p w14:paraId="5EEB553E" w14:textId="77777777" w:rsidR="00461BE2" w:rsidRDefault="00650C5C">
      <w:pPr>
        <w:numPr>
          <w:ilvl w:val="0"/>
          <w:numId w:val="1"/>
        </w:numPr>
        <w:tabs>
          <w:tab w:val="left" w:pos="0"/>
        </w:tabs>
        <w:jc w:val="left"/>
        <w:rPr>
          <w:rFonts w:ascii="Times New Roman" w:hAnsi="Times New Roman"/>
        </w:rPr>
      </w:pPr>
      <w:bookmarkStart w:id="108" w:name="_Ref23638"/>
      <w:r>
        <w:rPr>
          <w:rFonts w:ascii="宋体" w:hAnsi="宋体" w:cs="宋体"/>
        </w:rPr>
        <w:t>David Hoffman, Zoe Meraz, and Eric Turner. 2018a. Limits of peripheral acuity and implications for VR system design. Journal of the Society for Information Display 26, 8 (2018), 483–495. https://doi.org/10.1002/jsid.730 arXiv:https://onlinelibrary.wiley.com/doi/pdf/10.1002/jsid.730</w:t>
      </w:r>
      <w:bookmarkEnd w:id="108"/>
    </w:p>
    <w:p w14:paraId="05322609" w14:textId="77777777" w:rsidR="00461BE2" w:rsidRDefault="00650C5C">
      <w:pPr>
        <w:numPr>
          <w:ilvl w:val="0"/>
          <w:numId w:val="1"/>
        </w:numPr>
        <w:tabs>
          <w:tab w:val="left" w:pos="0"/>
        </w:tabs>
        <w:jc w:val="left"/>
        <w:rPr>
          <w:rFonts w:ascii="Times New Roman" w:hAnsi="Times New Roman"/>
        </w:rPr>
      </w:pPr>
      <w:bookmarkStart w:id="109" w:name="_Ref23609"/>
      <w:r>
        <w:rPr>
          <w:rFonts w:ascii="宋体" w:hAnsi="宋体" w:cs="宋体"/>
        </w:rPr>
        <w:t>David M. Hoffman, Zoe Meraz, and Eric Turner. 2018b. 65-2: Sensitivity to Peripheral Artifacts in VR Display Systems. SID Symposium Digest of Technical Papers 49, 1 (2018), 858–861. https://doi.org/10.1002/sdtp.12261</w:t>
      </w:r>
      <w:bookmarkEnd w:id="109"/>
    </w:p>
    <w:p w14:paraId="6FE9DA11" w14:textId="77777777" w:rsidR="00461BE2" w:rsidRDefault="00650C5C">
      <w:pPr>
        <w:numPr>
          <w:ilvl w:val="0"/>
          <w:numId w:val="1"/>
        </w:numPr>
        <w:tabs>
          <w:tab w:val="left" w:pos="0"/>
        </w:tabs>
        <w:jc w:val="left"/>
        <w:rPr>
          <w:rFonts w:ascii="Times New Roman" w:hAnsi="Times New Roman"/>
        </w:rPr>
      </w:pPr>
      <w:bookmarkStart w:id="110" w:name="_Ref23853"/>
      <w:r>
        <w:rPr>
          <w:rFonts w:ascii="宋体" w:hAnsi="宋体" w:cs="宋体"/>
        </w:rPr>
        <w:t>Suzanne P. Mckee and Ken Nakayama. 1984. The detection of motion in the peripheral visual field. Vision Research 24, 1 (1984), 25 – 32. https://doi.org/10.1016/0042- 6989(84)90140-8</w:t>
      </w:r>
      <w:bookmarkEnd w:id="110"/>
    </w:p>
    <w:p w14:paraId="795FC438" w14:textId="77777777" w:rsidR="00461BE2" w:rsidRDefault="00650C5C">
      <w:pPr>
        <w:numPr>
          <w:ilvl w:val="0"/>
          <w:numId w:val="1"/>
        </w:numPr>
        <w:tabs>
          <w:tab w:val="left" w:pos="0"/>
        </w:tabs>
        <w:jc w:val="left"/>
        <w:rPr>
          <w:rFonts w:ascii="Times New Roman" w:hAnsi="Times New Roman"/>
        </w:rPr>
      </w:pPr>
      <w:bookmarkStart w:id="111" w:name="_Ref25134"/>
      <w:r>
        <w:rPr>
          <w:rFonts w:ascii="宋体" w:hAnsi="宋体" w:cs="宋体"/>
        </w:rPr>
        <w:t xml:space="preserve">E. Turner, H. Jiang, D. Saint-Macary, and B. Bastani. 2018. Phase-Aligned Foveated Rendering for Virtual Reality Headsets. In 2018 IEEE Conference on Virtual Reality and 3D User Interfaces (VR). IEEE Computer Society, Los Alamitos, CA, USA, 1–2. </w:t>
      </w:r>
      <w:hyperlink r:id="rId33" w:history="1">
        <w:r>
          <w:rPr>
            <w:rStyle w:val="a5"/>
            <w:rFonts w:ascii="宋体" w:hAnsi="宋体" w:cs="宋体"/>
          </w:rPr>
          <w:t>https://doi.org/10.1109/VR.2018.8446142</w:t>
        </w:r>
      </w:hyperlink>
      <w:bookmarkEnd w:id="111"/>
    </w:p>
    <w:p w14:paraId="69F796E5" w14:textId="77777777" w:rsidR="00461BE2" w:rsidRDefault="00650C5C">
      <w:pPr>
        <w:numPr>
          <w:ilvl w:val="0"/>
          <w:numId w:val="1"/>
        </w:numPr>
        <w:tabs>
          <w:tab w:val="left" w:pos="0"/>
        </w:tabs>
        <w:jc w:val="left"/>
        <w:rPr>
          <w:rFonts w:ascii="Times New Roman" w:hAnsi="Times New Roman"/>
        </w:rPr>
      </w:pPr>
      <w:bookmarkStart w:id="112" w:name="_Ref25503"/>
      <w:r>
        <w:rPr>
          <w:rFonts w:ascii="宋体" w:hAnsi="宋体" w:cs="宋体"/>
        </w:rPr>
        <w:lastRenderedPageBreak/>
        <w:t>Linus Franke, Laura Fink, Jana Martschinke, Kai Selgrad, and Marc Stamminger. 2021. Time-Warped Foveated Rendering for Virtual Reality Headsets. Computer Graphics Forum 40, 1 (2021), 110–123. https://doi.org/10.1111/cgf.14176 arXiv:https://onlinelibrary.wiley.com/doi/pdf/10.1111/cgf.14176</w:t>
      </w:r>
      <w:bookmarkEnd w:id="112"/>
    </w:p>
    <w:p w14:paraId="5A64C773" w14:textId="77777777" w:rsidR="00461BE2" w:rsidRDefault="00650C5C">
      <w:pPr>
        <w:numPr>
          <w:ilvl w:val="0"/>
          <w:numId w:val="1"/>
        </w:numPr>
        <w:tabs>
          <w:tab w:val="left" w:pos="0"/>
        </w:tabs>
        <w:jc w:val="left"/>
        <w:rPr>
          <w:rFonts w:ascii="Times New Roman" w:hAnsi="Times New Roman"/>
        </w:rPr>
      </w:pPr>
      <w:bookmarkStart w:id="113" w:name="_Ref25538"/>
      <w:r>
        <w:rPr>
          <w:rFonts w:ascii="宋体" w:hAnsi="宋体" w:cs="宋体"/>
        </w:rPr>
        <w:t xml:space="preserve">Joerg H. Mueller, Thomas Neff, Philip Voglreiter, Markus Steinberger, and Dieter Schmalstieg. 2021. Temporally Adaptive Shading Reuse for Real-Time Rendering and Virtual Reality. ACM Trans. Graph. 40, 2, Article 11 (April 2021), 14 pages. </w:t>
      </w:r>
      <w:hyperlink r:id="rId34" w:history="1">
        <w:r>
          <w:rPr>
            <w:rStyle w:val="a5"/>
            <w:rFonts w:ascii="宋体" w:hAnsi="宋体" w:cs="宋体"/>
          </w:rPr>
          <w:t>https://doi.org/10.1145/3446790</w:t>
        </w:r>
      </w:hyperlink>
      <w:bookmarkEnd w:id="113"/>
    </w:p>
    <w:p w14:paraId="67447512" w14:textId="77777777" w:rsidR="00461BE2" w:rsidRDefault="00650C5C">
      <w:pPr>
        <w:numPr>
          <w:ilvl w:val="0"/>
          <w:numId w:val="1"/>
        </w:numPr>
        <w:tabs>
          <w:tab w:val="left" w:pos="0"/>
        </w:tabs>
        <w:jc w:val="left"/>
        <w:rPr>
          <w:rFonts w:ascii="Times New Roman" w:hAnsi="Times New Roman"/>
        </w:rPr>
      </w:pPr>
      <w:bookmarkStart w:id="114" w:name="_Ref26172"/>
      <w:r>
        <w:rPr>
          <w:rFonts w:ascii="宋体" w:hAnsi="宋体" w:cs="宋体"/>
        </w:rPr>
        <w:t>Brian Karis. 2014. High-quality temporal supersampling. Advances in Real-Time Rendering in Games, SIGGRAPH Courses 1 (2014), 1–55.</w:t>
      </w:r>
      <w:bookmarkEnd w:id="114"/>
    </w:p>
    <w:p w14:paraId="484C1BC4" w14:textId="77777777" w:rsidR="00461BE2" w:rsidRDefault="00461BE2">
      <w:pPr>
        <w:numPr>
          <w:ilvl w:val="0"/>
          <w:numId w:val="1"/>
        </w:numPr>
        <w:tabs>
          <w:tab w:val="left" w:pos="0"/>
        </w:tabs>
        <w:jc w:val="left"/>
        <w:rPr>
          <w:rFonts w:ascii="Times New Roman" w:hAnsi="Times New Roman"/>
        </w:rPr>
      </w:pPr>
    </w:p>
    <w:p w14:paraId="2AD1FB15" w14:textId="77777777" w:rsidR="00461BE2" w:rsidRDefault="00461BE2">
      <w:pPr>
        <w:numPr>
          <w:ilvl w:val="0"/>
          <w:numId w:val="1"/>
        </w:numPr>
        <w:tabs>
          <w:tab w:val="left" w:pos="0"/>
        </w:tabs>
        <w:jc w:val="left"/>
        <w:rPr>
          <w:rFonts w:ascii="Times New Roman" w:hAnsi="Times New Roman"/>
        </w:rPr>
      </w:pPr>
    </w:p>
    <w:p w14:paraId="549A160A" w14:textId="77777777" w:rsidR="00461BE2" w:rsidRDefault="00461BE2">
      <w:pPr>
        <w:numPr>
          <w:ilvl w:val="0"/>
          <w:numId w:val="1"/>
        </w:numPr>
        <w:tabs>
          <w:tab w:val="left" w:pos="0"/>
        </w:tabs>
        <w:jc w:val="left"/>
        <w:rPr>
          <w:rFonts w:ascii="Times New Roman" w:hAnsi="Times New Roman"/>
        </w:rPr>
      </w:pPr>
    </w:p>
    <w:p w14:paraId="364C6D6D" w14:textId="77777777" w:rsidR="00461BE2" w:rsidRDefault="00461BE2">
      <w:pPr>
        <w:numPr>
          <w:ilvl w:val="0"/>
          <w:numId w:val="1"/>
        </w:numPr>
        <w:tabs>
          <w:tab w:val="left" w:pos="0"/>
        </w:tabs>
        <w:jc w:val="left"/>
        <w:rPr>
          <w:rFonts w:ascii="Times New Roman" w:hAnsi="Times New Roman"/>
        </w:rPr>
      </w:pPr>
    </w:p>
    <w:p w14:paraId="2D0EC8BD" w14:textId="77777777" w:rsidR="00461BE2" w:rsidRDefault="00461BE2">
      <w:pPr>
        <w:numPr>
          <w:ilvl w:val="0"/>
          <w:numId w:val="1"/>
        </w:numPr>
        <w:tabs>
          <w:tab w:val="left" w:pos="0"/>
        </w:tabs>
        <w:jc w:val="left"/>
        <w:rPr>
          <w:rFonts w:ascii="Times New Roman" w:hAnsi="Times New Roman"/>
        </w:rPr>
      </w:pPr>
    </w:p>
    <w:p w14:paraId="2B37C1D8" w14:textId="77777777" w:rsidR="00461BE2" w:rsidRDefault="00461BE2">
      <w:pPr>
        <w:numPr>
          <w:ilvl w:val="0"/>
          <w:numId w:val="1"/>
        </w:numPr>
        <w:tabs>
          <w:tab w:val="left" w:pos="0"/>
        </w:tabs>
        <w:jc w:val="left"/>
        <w:rPr>
          <w:rFonts w:ascii="Times New Roman" w:hAnsi="Times New Roman"/>
        </w:rPr>
      </w:pPr>
    </w:p>
    <w:p w14:paraId="15144460" w14:textId="77777777" w:rsidR="00461BE2" w:rsidRDefault="00461BE2">
      <w:pPr>
        <w:numPr>
          <w:ilvl w:val="0"/>
          <w:numId w:val="1"/>
        </w:numPr>
        <w:tabs>
          <w:tab w:val="left" w:pos="0"/>
        </w:tabs>
        <w:jc w:val="left"/>
        <w:rPr>
          <w:rFonts w:ascii="Times New Roman" w:hAnsi="Times New Roman"/>
        </w:rPr>
      </w:pPr>
    </w:p>
    <w:p w14:paraId="458FE699" w14:textId="77777777" w:rsidR="00461BE2" w:rsidRDefault="00461BE2">
      <w:pPr>
        <w:numPr>
          <w:ilvl w:val="0"/>
          <w:numId w:val="1"/>
        </w:numPr>
        <w:tabs>
          <w:tab w:val="left" w:pos="0"/>
        </w:tabs>
        <w:rPr>
          <w:rFonts w:ascii="Times New Roman" w:hAnsi="Times New Roman"/>
        </w:rPr>
      </w:pPr>
    </w:p>
    <w:p w14:paraId="3C8E5F9D" w14:textId="77777777" w:rsidR="00461BE2" w:rsidRDefault="00461BE2">
      <w:pPr>
        <w:numPr>
          <w:ilvl w:val="0"/>
          <w:numId w:val="1"/>
        </w:numPr>
        <w:tabs>
          <w:tab w:val="left" w:pos="0"/>
        </w:tabs>
        <w:rPr>
          <w:rFonts w:ascii="Times New Roman" w:hAnsi="Times New Roman"/>
        </w:rPr>
      </w:pPr>
    </w:p>
    <w:p w14:paraId="3CF6D052" w14:textId="77777777" w:rsidR="00461BE2" w:rsidRDefault="00461BE2">
      <w:pPr>
        <w:numPr>
          <w:ilvl w:val="0"/>
          <w:numId w:val="1"/>
        </w:numPr>
        <w:tabs>
          <w:tab w:val="left" w:pos="0"/>
        </w:tabs>
        <w:rPr>
          <w:rFonts w:ascii="Times New Roman" w:hAnsi="Times New Roman"/>
        </w:rPr>
      </w:pPr>
    </w:p>
    <w:p w14:paraId="63A29BCD" w14:textId="77777777" w:rsidR="00461BE2" w:rsidRDefault="00461BE2">
      <w:pPr>
        <w:numPr>
          <w:ilvl w:val="0"/>
          <w:numId w:val="1"/>
        </w:numPr>
        <w:tabs>
          <w:tab w:val="left" w:pos="0"/>
        </w:tabs>
        <w:rPr>
          <w:rFonts w:ascii="Times New Roman" w:hAnsi="Times New Roman"/>
        </w:rPr>
      </w:pPr>
    </w:p>
    <w:p w14:paraId="703FE248" w14:textId="77777777" w:rsidR="00461BE2" w:rsidRDefault="00461BE2">
      <w:pPr>
        <w:tabs>
          <w:tab w:val="left" w:pos="0"/>
        </w:tabs>
        <w:rPr>
          <w:rFonts w:ascii="Times New Roman" w:hAnsi="Times New Roman"/>
        </w:rPr>
      </w:pPr>
    </w:p>
    <w:p w14:paraId="5DD8EA0D" w14:textId="77777777" w:rsidR="00461BE2" w:rsidRDefault="00461BE2"/>
    <w:p w14:paraId="6597E557" w14:textId="77777777" w:rsidR="00461BE2" w:rsidRDefault="00461BE2"/>
    <w:p w14:paraId="0F4614AC" w14:textId="77777777" w:rsidR="00461BE2" w:rsidRDefault="00650C5C">
      <w:pPr>
        <w:pStyle w:val="1"/>
      </w:pPr>
      <w:bookmarkStart w:id="115" w:name="_Toc149754994"/>
      <w:r>
        <w:rPr>
          <w:rFonts w:hint="eastAsia"/>
        </w:rPr>
        <w:lastRenderedPageBreak/>
        <w:t>附录</w:t>
      </w:r>
      <w:bookmarkEnd w:id="115"/>
    </w:p>
    <w:p w14:paraId="0E93CAB4" w14:textId="77777777" w:rsidR="00461BE2" w:rsidRDefault="00461BE2"/>
    <w:p w14:paraId="56D4020D" w14:textId="77777777" w:rsidR="00461BE2" w:rsidRDefault="00461BE2"/>
    <w:p w14:paraId="1E5FA270" w14:textId="77777777" w:rsidR="00461BE2" w:rsidRDefault="00461BE2"/>
    <w:p w14:paraId="55E763E0" w14:textId="77777777" w:rsidR="00461BE2" w:rsidRDefault="00461BE2"/>
    <w:p w14:paraId="28EF6344" w14:textId="77777777" w:rsidR="00461BE2" w:rsidRDefault="00461BE2"/>
    <w:p w14:paraId="02BFE7D9" w14:textId="77777777" w:rsidR="00461BE2" w:rsidRDefault="00461BE2"/>
    <w:p w14:paraId="5D168184" w14:textId="77777777" w:rsidR="00461BE2" w:rsidRDefault="00461BE2"/>
    <w:p w14:paraId="43737CC5" w14:textId="77777777" w:rsidR="00461BE2" w:rsidRDefault="00461BE2"/>
    <w:p w14:paraId="408666E9" w14:textId="77777777" w:rsidR="00461BE2" w:rsidRDefault="00461BE2"/>
    <w:p w14:paraId="7F26CE36" w14:textId="77777777" w:rsidR="00461BE2" w:rsidRDefault="00461BE2"/>
    <w:p w14:paraId="0EC1D818" w14:textId="77777777" w:rsidR="00461BE2" w:rsidRDefault="00461BE2"/>
    <w:p w14:paraId="3D8BC88A" w14:textId="77777777" w:rsidR="00461BE2" w:rsidRDefault="00461BE2"/>
    <w:p w14:paraId="36993C56" w14:textId="77777777" w:rsidR="00461BE2" w:rsidRDefault="00461BE2"/>
    <w:p w14:paraId="2FAC7FCB" w14:textId="77777777" w:rsidR="00461BE2" w:rsidRDefault="00461BE2"/>
    <w:p w14:paraId="6B1064EB" w14:textId="6C89A627" w:rsidR="00461BE2" w:rsidRDefault="00461BE2"/>
    <w:sectPr w:rsidR="00461B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F6800" w14:textId="77777777" w:rsidR="004E54B2" w:rsidRDefault="004E54B2">
      <w:pPr>
        <w:spacing w:line="240" w:lineRule="auto"/>
      </w:pPr>
      <w:r>
        <w:separator/>
      </w:r>
    </w:p>
  </w:endnote>
  <w:endnote w:type="continuationSeparator" w:id="0">
    <w:p w14:paraId="025A6C17" w14:textId="77777777" w:rsidR="004E54B2" w:rsidRDefault="004E54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2694A" w14:textId="77777777" w:rsidR="004E54B2" w:rsidRDefault="004E54B2">
      <w:pPr>
        <w:spacing w:before="0" w:after="0" w:line="240" w:lineRule="auto"/>
      </w:pPr>
      <w:r>
        <w:separator/>
      </w:r>
    </w:p>
  </w:footnote>
  <w:footnote w:type="continuationSeparator" w:id="0">
    <w:p w14:paraId="579A25DC" w14:textId="77777777" w:rsidR="004E54B2" w:rsidRDefault="004E54B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B6E25"/>
    <w:multiLevelType w:val="singleLevel"/>
    <w:tmpl w:val="3C6B6E25"/>
    <w:lvl w:ilvl="0">
      <w:start w:val="1"/>
      <w:numFmt w:val="decimal"/>
      <w:suff w:val="space"/>
      <w:lvlText w:val="[%1]"/>
      <w:lvlJc w:val="left"/>
      <w:pPr>
        <w:ind w:left="0" w:firstLine="0"/>
      </w:pPr>
      <w:rPr>
        <w:rFonts w:ascii="宋体" w:eastAsia="宋体" w:hAnsi="宋体" w:cs="宋体" w:hint="default"/>
        <w:sz w:val="24"/>
      </w:rPr>
    </w:lvl>
  </w:abstractNum>
  <w:num w:numId="1" w16cid:durableId="1664046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mVlZmRlZTYwYWY1NmFjNGQ0OGMzYjhlNzVhMzVhNzkifQ=="/>
  </w:docVars>
  <w:rsids>
    <w:rsidRoot w:val="00461BE2"/>
    <w:rsid w:val="00006206"/>
    <w:rsid w:val="00026ABA"/>
    <w:rsid w:val="00036DAC"/>
    <w:rsid w:val="000430DD"/>
    <w:rsid w:val="00047728"/>
    <w:rsid w:val="00077438"/>
    <w:rsid w:val="000B0A37"/>
    <w:rsid w:val="000B6903"/>
    <w:rsid w:val="000C0288"/>
    <w:rsid w:val="000D50BC"/>
    <w:rsid w:val="000E1A86"/>
    <w:rsid w:val="000E3B24"/>
    <w:rsid w:val="000E44EA"/>
    <w:rsid w:val="000E54C2"/>
    <w:rsid w:val="000E5BF8"/>
    <w:rsid w:val="00104EC7"/>
    <w:rsid w:val="00130241"/>
    <w:rsid w:val="001549EF"/>
    <w:rsid w:val="00154AF7"/>
    <w:rsid w:val="00163726"/>
    <w:rsid w:val="0016606A"/>
    <w:rsid w:val="00167537"/>
    <w:rsid w:val="00170CF3"/>
    <w:rsid w:val="0018489D"/>
    <w:rsid w:val="00197ADC"/>
    <w:rsid w:val="001A3558"/>
    <w:rsid w:val="001B6D72"/>
    <w:rsid w:val="001D6C47"/>
    <w:rsid w:val="001E04CD"/>
    <w:rsid w:val="001F5AA4"/>
    <w:rsid w:val="002005D3"/>
    <w:rsid w:val="00202F3B"/>
    <w:rsid w:val="00215DDC"/>
    <w:rsid w:val="00220812"/>
    <w:rsid w:val="00221CC6"/>
    <w:rsid w:val="00227D9C"/>
    <w:rsid w:val="002322B5"/>
    <w:rsid w:val="00232F1A"/>
    <w:rsid w:val="00234287"/>
    <w:rsid w:val="00250424"/>
    <w:rsid w:val="00252860"/>
    <w:rsid w:val="00260B70"/>
    <w:rsid w:val="00265E5B"/>
    <w:rsid w:val="00281A37"/>
    <w:rsid w:val="002A1037"/>
    <w:rsid w:val="002A4075"/>
    <w:rsid w:val="002B34DF"/>
    <w:rsid w:val="002D17B2"/>
    <w:rsid w:val="002E0224"/>
    <w:rsid w:val="00300532"/>
    <w:rsid w:val="003024E6"/>
    <w:rsid w:val="0030289D"/>
    <w:rsid w:val="003029AD"/>
    <w:rsid w:val="00314879"/>
    <w:rsid w:val="003203CA"/>
    <w:rsid w:val="003404B7"/>
    <w:rsid w:val="00353653"/>
    <w:rsid w:val="00363FD8"/>
    <w:rsid w:val="00372D57"/>
    <w:rsid w:val="00375DBD"/>
    <w:rsid w:val="00377FC1"/>
    <w:rsid w:val="00387295"/>
    <w:rsid w:val="00397FA6"/>
    <w:rsid w:val="003A68A8"/>
    <w:rsid w:val="003C2533"/>
    <w:rsid w:val="003C5560"/>
    <w:rsid w:val="003D3ACA"/>
    <w:rsid w:val="003F3D53"/>
    <w:rsid w:val="00404618"/>
    <w:rsid w:val="00436324"/>
    <w:rsid w:val="0043734E"/>
    <w:rsid w:val="00443685"/>
    <w:rsid w:val="004471E4"/>
    <w:rsid w:val="00461BE2"/>
    <w:rsid w:val="00473F66"/>
    <w:rsid w:val="004A2024"/>
    <w:rsid w:val="004A4983"/>
    <w:rsid w:val="004B015F"/>
    <w:rsid w:val="004B6D46"/>
    <w:rsid w:val="004C0FAF"/>
    <w:rsid w:val="004C690B"/>
    <w:rsid w:val="004E2901"/>
    <w:rsid w:val="004E3C9D"/>
    <w:rsid w:val="004E54B2"/>
    <w:rsid w:val="004F6D11"/>
    <w:rsid w:val="00512CBA"/>
    <w:rsid w:val="00513E64"/>
    <w:rsid w:val="00514230"/>
    <w:rsid w:val="005142CE"/>
    <w:rsid w:val="00544CB2"/>
    <w:rsid w:val="00545E33"/>
    <w:rsid w:val="00546C38"/>
    <w:rsid w:val="00570409"/>
    <w:rsid w:val="005757F2"/>
    <w:rsid w:val="00586D2B"/>
    <w:rsid w:val="00587AFD"/>
    <w:rsid w:val="005B4A4F"/>
    <w:rsid w:val="005C1B26"/>
    <w:rsid w:val="005D2417"/>
    <w:rsid w:val="005D5978"/>
    <w:rsid w:val="005D5D8A"/>
    <w:rsid w:val="005E08D7"/>
    <w:rsid w:val="005F4C4C"/>
    <w:rsid w:val="00606E57"/>
    <w:rsid w:val="00611B47"/>
    <w:rsid w:val="00616C35"/>
    <w:rsid w:val="00650C5C"/>
    <w:rsid w:val="00655A17"/>
    <w:rsid w:val="00655C8F"/>
    <w:rsid w:val="00666D1F"/>
    <w:rsid w:val="006713DB"/>
    <w:rsid w:val="00682B08"/>
    <w:rsid w:val="006839CD"/>
    <w:rsid w:val="006851D8"/>
    <w:rsid w:val="006878A8"/>
    <w:rsid w:val="00687FB2"/>
    <w:rsid w:val="00694A65"/>
    <w:rsid w:val="006B7549"/>
    <w:rsid w:val="006B78A8"/>
    <w:rsid w:val="006D359D"/>
    <w:rsid w:val="006D4813"/>
    <w:rsid w:val="006D5840"/>
    <w:rsid w:val="006F6EDB"/>
    <w:rsid w:val="00700338"/>
    <w:rsid w:val="00721C51"/>
    <w:rsid w:val="00725714"/>
    <w:rsid w:val="00732CE0"/>
    <w:rsid w:val="00754501"/>
    <w:rsid w:val="00765790"/>
    <w:rsid w:val="00770CEA"/>
    <w:rsid w:val="007723AA"/>
    <w:rsid w:val="007727FB"/>
    <w:rsid w:val="00775E5F"/>
    <w:rsid w:val="007A61CB"/>
    <w:rsid w:val="007A6E32"/>
    <w:rsid w:val="007A7A75"/>
    <w:rsid w:val="007B2E26"/>
    <w:rsid w:val="007D6E73"/>
    <w:rsid w:val="007F7E39"/>
    <w:rsid w:val="007F7EBC"/>
    <w:rsid w:val="00800926"/>
    <w:rsid w:val="008036F4"/>
    <w:rsid w:val="00803896"/>
    <w:rsid w:val="008152E3"/>
    <w:rsid w:val="00820EDF"/>
    <w:rsid w:val="00822BA5"/>
    <w:rsid w:val="00833581"/>
    <w:rsid w:val="0084339E"/>
    <w:rsid w:val="00857926"/>
    <w:rsid w:val="00870CFD"/>
    <w:rsid w:val="008922D4"/>
    <w:rsid w:val="008926CF"/>
    <w:rsid w:val="0089482B"/>
    <w:rsid w:val="008B0A0C"/>
    <w:rsid w:val="008B54FE"/>
    <w:rsid w:val="008C297F"/>
    <w:rsid w:val="008D7134"/>
    <w:rsid w:val="008E609B"/>
    <w:rsid w:val="008E7990"/>
    <w:rsid w:val="008F2A41"/>
    <w:rsid w:val="008F530B"/>
    <w:rsid w:val="00910602"/>
    <w:rsid w:val="00947C18"/>
    <w:rsid w:val="00947D23"/>
    <w:rsid w:val="00960B32"/>
    <w:rsid w:val="00971E68"/>
    <w:rsid w:val="00981BDB"/>
    <w:rsid w:val="00993F87"/>
    <w:rsid w:val="009970E5"/>
    <w:rsid w:val="009A574A"/>
    <w:rsid w:val="009B4602"/>
    <w:rsid w:val="009C0885"/>
    <w:rsid w:val="009D1D13"/>
    <w:rsid w:val="009D6C0A"/>
    <w:rsid w:val="009E082E"/>
    <w:rsid w:val="009F32E5"/>
    <w:rsid w:val="009F5FE0"/>
    <w:rsid w:val="00A14C99"/>
    <w:rsid w:val="00A27DBF"/>
    <w:rsid w:val="00A3052C"/>
    <w:rsid w:val="00A30B5C"/>
    <w:rsid w:val="00A30DA5"/>
    <w:rsid w:val="00A46A6D"/>
    <w:rsid w:val="00A46D41"/>
    <w:rsid w:val="00A851E1"/>
    <w:rsid w:val="00A91626"/>
    <w:rsid w:val="00AA2567"/>
    <w:rsid w:val="00AA7BC4"/>
    <w:rsid w:val="00B00BA4"/>
    <w:rsid w:val="00B269D5"/>
    <w:rsid w:val="00B271ED"/>
    <w:rsid w:val="00B46C62"/>
    <w:rsid w:val="00B525FE"/>
    <w:rsid w:val="00B655F4"/>
    <w:rsid w:val="00B73276"/>
    <w:rsid w:val="00B8320D"/>
    <w:rsid w:val="00B87A8B"/>
    <w:rsid w:val="00BB4224"/>
    <w:rsid w:val="00BC3C5E"/>
    <w:rsid w:val="00BC5EA0"/>
    <w:rsid w:val="00BC6214"/>
    <w:rsid w:val="00BD5CC7"/>
    <w:rsid w:val="00BF03E0"/>
    <w:rsid w:val="00BF05B5"/>
    <w:rsid w:val="00BF1FCF"/>
    <w:rsid w:val="00C0215B"/>
    <w:rsid w:val="00C031BD"/>
    <w:rsid w:val="00C15ED6"/>
    <w:rsid w:val="00C714BA"/>
    <w:rsid w:val="00CC7CC4"/>
    <w:rsid w:val="00CD254C"/>
    <w:rsid w:val="00CE073C"/>
    <w:rsid w:val="00CE7002"/>
    <w:rsid w:val="00D16427"/>
    <w:rsid w:val="00D33929"/>
    <w:rsid w:val="00D6031D"/>
    <w:rsid w:val="00D6142A"/>
    <w:rsid w:val="00D636C2"/>
    <w:rsid w:val="00D752C3"/>
    <w:rsid w:val="00D90218"/>
    <w:rsid w:val="00DA0419"/>
    <w:rsid w:val="00DD3822"/>
    <w:rsid w:val="00E039D0"/>
    <w:rsid w:val="00E042F7"/>
    <w:rsid w:val="00E07E4E"/>
    <w:rsid w:val="00E179F8"/>
    <w:rsid w:val="00E30626"/>
    <w:rsid w:val="00E3224B"/>
    <w:rsid w:val="00E51424"/>
    <w:rsid w:val="00E60B17"/>
    <w:rsid w:val="00E63766"/>
    <w:rsid w:val="00E94D18"/>
    <w:rsid w:val="00EA5F6F"/>
    <w:rsid w:val="00EC6EA1"/>
    <w:rsid w:val="00ED4015"/>
    <w:rsid w:val="00ED5F8E"/>
    <w:rsid w:val="00EF0FCD"/>
    <w:rsid w:val="00EF7A2B"/>
    <w:rsid w:val="00F057D6"/>
    <w:rsid w:val="00F06C46"/>
    <w:rsid w:val="00F4293F"/>
    <w:rsid w:val="00F84D9C"/>
    <w:rsid w:val="00F92C5C"/>
    <w:rsid w:val="00FA1F3F"/>
    <w:rsid w:val="00FC4B43"/>
    <w:rsid w:val="00FC71B7"/>
    <w:rsid w:val="00FE0342"/>
    <w:rsid w:val="00FE33B3"/>
    <w:rsid w:val="00FF70BD"/>
    <w:rsid w:val="017D58B3"/>
    <w:rsid w:val="01C340C6"/>
    <w:rsid w:val="028B6646"/>
    <w:rsid w:val="03633DA0"/>
    <w:rsid w:val="03C266A3"/>
    <w:rsid w:val="04935CE7"/>
    <w:rsid w:val="0585692B"/>
    <w:rsid w:val="07422681"/>
    <w:rsid w:val="07DD6E72"/>
    <w:rsid w:val="0A6E5533"/>
    <w:rsid w:val="0AA74DF8"/>
    <w:rsid w:val="0BB02EC0"/>
    <w:rsid w:val="0E2C7BD1"/>
    <w:rsid w:val="0E7E40C2"/>
    <w:rsid w:val="0F7F4595"/>
    <w:rsid w:val="100F5B75"/>
    <w:rsid w:val="11352442"/>
    <w:rsid w:val="128E7C31"/>
    <w:rsid w:val="13A44AF9"/>
    <w:rsid w:val="14300EAC"/>
    <w:rsid w:val="155835DB"/>
    <w:rsid w:val="18470E5D"/>
    <w:rsid w:val="1886196B"/>
    <w:rsid w:val="199C1D9B"/>
    <w:rsid w:val="1A74451A"/>
    <w:rsid w:val="1A773D41"/>
    <w:rsid w:val="1CC06611"/>
    <w:rsid w:val="1CFC04DA"/>
    <w:rsid w:val="1D130593"/>
    <w:rsid w:val="1DF3456E"/>
    <w:rsid w:val="208F007F"/>
    <w:rsid w:val="23BF7F4D"/>
    <w:rsid w:val="2417197C"/>
    <w:rsid w:val="2503044D"/>
    <w:rsid w:val="255D0A7D"/>
    <w:rsid w:val="257677FF"/>
    <w:rsid w:val="287166FE"/>
    <w:rsid w:val="29310068"/>
    <w:rsid w:val="2A8975F4"/>
    <w:rsid w:val="2A907A5B"/>
    <w:rsid w:val="2C3D3304"/>
    <w:rsid w:val="2C786E21"/>
    <w:rsid w:val="2CA71937"/>
    <w:rsid w:val="2D0503EE"/>
    <w:rsid w:val="2F1F1A1F"/>
    <w:rsid w:val="2F33753F"/>
    <w:rsid w:val="30493B53"/>
    <w:rsid w:val="30590337"/>
    <w:rsid w:val="308C1127"/>
    <w:rsid w:val="31333DAD"/>
    <w:rsid w:val="31B50523"/>
    <w:rsid w:val="327F07E8"/>
    <w:rsid w:val="33653796"/>
    <w:rsid w:val="342C7BA3"/>
    <w:rsid w:val="34915C0A"/>
    <w:rsid w:val="35555920"/>
    <w:rsid w:val="35F37AEF"/>
    <w:rsid w:val="36E0150E"/>
    <w:rsid w:val="373C3481"/>
    <w:rsid w:val="388C0C43"/>
    <w:rsid w:val="38E51220"/>
    <w:rsid w:val="39416932"/>
    <w:rsid w:val="39594D9C"/>
    <w:rsid w:val="3A4128CB"/>
    <w:rsid w:val="3A69012D"/>
    <w:rsid w:val="3B862944"/>
    <w:rsid w:val="3C2D4ECB"/>
    <w:rsid w:val="3C90729F"/>
    <w:rsid w:val="3C9C22C8"/>
    <w:rsid w:val="3DEC343C"/>
    <w:rsid w:val="3E7911B1"/>
    <w:rsid w:val="3EF765BF"/>
    <w:rsid w:val="3FD672AB"/>
    <w:rsid w:val="40865399"/>
    <w:rsid w:val="428234E7"/>
    <w:rsid w:val="4370591E"/>
    <w:rsid w:val="45723C79"/>
    <w:rsid w:val="46D27A3E"/>
    <w:rsid w:val="48380732"/>
    <w:rsid w:val="48405081"/>
    <w:rsid w:val="49EC45A5"/>
    <w:rsid w:val="4B4B7E3A"/>
    <w:rsid w:val="4C79047C"/>
    <w:rsid w:val="4E1E3A5A"/>
    <w:rsid w:val="50AA13C0"/>
    <w:rsid w:val="51E412AE"/>
    <w:rsid w:val="524D28FD"/>
    <w:rsid w:val="52932646"/>
    <w:rsid w:val="56910414"/>
    <w:rsid w:val="56DD2AE2"/>
    <w:rsid w:val="5C10027F"/>
    <w:rsid w:val="5C192FB1"/>
    <w:rsid w:val="5C1B7F43"/>
    <w:rsid w:val="5C727699"/>
    <w:rsid w:val="5EC05E3B"/>
    <w:rsid w:val="6073411A"/>
    <w:rsid w:val="608C2F24"/>
    <w:rsid w:val="60BF2946"/>
    <w:rsid w:val="62E05628"/>
    <w:rsid w:val="635556BE"/>
    <w:rsid w:val="645369EF"/>
    <w:rsid w:val="672A2CC0"/>
    <w:rsid w:val="68B06EC3"/>
    <w:rsid w:val="690068CF"/>
    <w:rsid w:val="6A714F4F"/>
    <w:rsid w:val="6AB9525A"/>
    <w:rsid w:val="6B3B4041"/>
    <w:rsid w:val="6E237BE1"/>
    <w:rsid w:val="6E646091"/>
    <w:rsid w:val="715716B4"/>
    <w:rsid w:val="721A6842"/>
    <w:rsid w:val="72F2072C"/>
    <w:rsid w:val="741C1BB4"/>
    <w:rsid w:val="744074D5"/>
    <w:rsid w:val="74B90F4A"/>
    <w:rsid w:val="761D56C0"/>
    <w:rsid w:val="76A72ED3"/>
    <w:rsid w:val="77446993"/>
    <w:rsid w:val="780A6776"/>
    <w:rsid w:val="79092CD5"/>
    <w:rsid w:val="7C6F7FEF"/>
    <w:rsid w:val="7C9316AE"/>
    <w:rsid w:val="7D983576"/>
    <w:rsid w:val="7EE2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1BAC9"/>
  <w15:docId w15:val="{EC5F5B47-C802-4EFB-B872-1690A1E71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120" w:after="120" w:line="440" w:lineRule="exact"/>
      <w:jc w:val="both"/>
    </w:pPr>
    <w:rPr>
      <w:rFonts w:ascii="Calibri" w:hAnsi="Calibri"/>
      <w:kern w:val="2"/>
      <w:sz w:val="24"/>
      <w:szCs w:val="24"/>
    </w:rPr>
  </w:style>
  <w:style w:type="paragraph" w:styleId="1">
    <w:name w:val="heading 1"/>
    <w:basedOn w:val="a"/>
    <w:next w:val="a"/>
    <w:qFormat/>
    <w:pPr>
      <w:keepNext/>
      <w:keepLines/>
      <w:spacing w:before="340" w:after="330" w:line="576" w:lineRule="auto"/>
      <w:jc w:val="left"/>
      <w:outlineLvl w:val="0"/>
    </w:pPr>
    <w:rPr>
      <w:rFonts w:eastAsia="黑体"/>
      <w:kern w:val="44"/>
      <w:sz w:val="32"/>
    </w:rPr>
  </w:style>
  <w:style w:type="paragraph" w:styleId="2">
    <w:name w:val="heading 2"/>
    <w:basedOn w:val="a"/>
    <w:next w:val="a"/>
    <w:unhideWhenUsed/>
    <w:qFormat/>
    <w:pPr>
      <w:keepNext/>
      <w:keepLines/>
      <w:spacing w:before="260" w:after="260" w:line="413" w:lineRule="auto"/>
      <w:jc w:val="left"/>
      <w:outlineLvl w:val="1"/>
    </w:pPr>
    <w:rPr>
      <w:rFonts w:ascii="Arial" w:eastAsia="黑体" w:hAnsi="Arial"/>
      <w:sz w:val="30"/>
    </w:rPr>
  </w:style>
  <w:style w:type="paragraph" w:styleId="3">
    <w:name w:val="heading 3"/>
    <w:basedOn w:val="a"/>
    <w:next w:val="a"/>
    <w:unhideWhenUsed/>
    <w:qFormat/>
    <w:pPr>
      <w:keepNext/>
      <w:keepLines/>
      <w:spacing w:before="260" w:after="260" w:line="413" w:lineRule="auto"/>
      <w:jc w:val="left"/>
      <w:outlineLvl w:val="2"/>
    </w:pPr>
    <w:rPr>
      <w:rFonts w:eastAsia="黑体"/>
      <w:sz w:val="28"/>
    </w:rPr>
  </w:style>
  <w:style w:type="paragraph" w:styleId="4">
    <w:name w:val="heading 4"/>
    <w:basedOn w:val="a"/>
    <w:next w:val="a"/>
    <w:unhideWhenUsed/>
    <w:qFormat/>
    <w:pPr>
      <w:keepNext/>
      <w:keepLines/>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Plain Text"/>
    <w:basedOn w:val="a"/>
    <w:rPr>
      <w:rFonts w:ascii="宋体" w:hAnsi="Courier New"/>
      <w:szCs w:val="21"/>
    </w:rPr>
  </w:style>
  <w:style w:type="paragraph" w:styleId="TOC1">
    <w:name w:val="toc 1"/>
    <w:basedOn w:val="a"/>
    <w:next w:val="a"/>
    <w:uiPriority w:val="39"/>
  </w:style>
  <w:style w:type="paragraph" w:styleId="TOC2">
    <w:name w:val="toc 2"/>
    <w:basedOn w:val="a"/>
    <w:next w:val="a"/>
    <w:uiPriority w:val="39"/>
    <w:pPr>
      <w:ind w:leftChars="200" w:left="420"/>
    </w:pPr>
  </w:style>
  <w:style w:type="character" w:styleId="a4">
    <w:name w:val="Emphasis"/>
    <w:basedOn w:val="a0"/>
    <w:qFormat/>
    <w:rPr>
      <w:i/>
    </w:rPr>
  </w:style>
  <w:style w:type="character" w:styleId="a5">
    <w:name w:val="Hyperlink"/>
    <w:basedOn w:val="a0"/>
    <w:uiPriority w:val="99"/>
    <w:qFormat/>
    <w:rPr>
      <w:color w:val="0000FF"/>
      <w:u w:val="single"/>
    </w:rPr>
  </w:style>
  <w:style w:type="paragraph" w:styleId="a6">
    <w:name w:val="header"/>
    <w:basedOn w:val="a"/>
    <w:link w:val="a7"/>
    <w:rsid w:val="00D33929"/>
    <w:pPr>
      <w:tabs>
        <w:tab w:val="center" w:pos="4153"/>
        <w:tab w:val="right" w:pos="8306"/>
      </w:tabs>
      <w:snapToGrid w:val="0"/>
      <w:spacing w:line="240" w:lineRule="atLeast"/>
      <w:jc w:val="center"/>
    </w:pPr>
    <w:rPr>
      <w:sz w:val="18"/>
      <w:szCs w:val="18"/>
    </w:rPr>
  </w:style>
  <w:style w:type="character" w:customStyle="1" w:styleId="a7">
    <w:name w:val="页眉 字符"/>
    <w:basedOn w:val="a0"/>
    <w:link w:val="a6"/>
    <w:rsid w:val="00D33929"/>
    <w:rPr>
      <w:rFonts w:ascii="Calibri" w:hAnsi="Calibri"/>
      <w:kern w:val="2"/>
      <w:sz w:val="18"/>
      <w:szCs w:val="18"/>
    </w:rPr>
  </w:style>
  <w:style w:type="paragraph" w:styleId="a8">
    <w:name w:val="footer"/>
    <w:basedOn w:val="a"/>
    <w:link w:val="a9"/>
    <w:rsid w:val="00D33929"/>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rsid w:val="00D33929"/>
    <w:rPr>
      <w:rFonts w:ascii="Calibri" w:hAnsi="Calibri"/>
      <w:kern w:val="2"/>
      <w:sz w:val="18"/>
      <w:szCs w:val="18"/>
    </w:rPr>
  </w:style>
  <w:style w:type="paragraph" w:styleId="aa">
    <w:name w:val="Revision"/>
    <w:hidden/>
    <w:uiPriority w:val="99"/>
    <w:unhideWhenUsed/>
    <w:rsid w:val="00BF1FCF"/>
    <w:rPr>
      <w:rFonts w:ascii="Calibri" w:hAnsi="Calibri"/>
      <w:kern w:val="2"/>
      <w:sz w:val="24"/>
      <w:szCs w:val="24"/>
    </w:rPr>
  </w:style>
  <w:style w:type="character" w:styleId="ab">
    <w:name w:val="Placeholder Text"/>
    <w:basedOn w:val="a0"/>
    <w:uiPriority w:val="99"/>
    <w:unhideWhenUsed/>
    <w:rsid w:val="00BF1FCF"/>
    <w:rPr>
      <w:color w:val="808080"/>
    </w:rPr>
  </w:style>
  <w:style w:type="paragraph" w:customStyle="1" w:styleId="ac">
    <w:name w:val="图片说明"/>
    <w:basedOn w:val="a"/>
    <w:rsid w:val="00375DBD"/>
    <w:pPr>
      <w:spacing w:before="0" w:after="0" w:line="240" w:lineRule="auto"/>
      <w:ind w:firstLineChars="200" w:firstLine="420"/>
      <w:jc w:val="center"/>
    </w:pPr>
    <w:rPr>
      <w:rFonts w:ascii="等线" w:eastAsia="微软雅黑" w:hAnsi="等线"/>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03426">
      <w:bodyDiv w:val="1"/>
      <w:marLeft w:val="0"/>
      <w:marRight w:val="0"/>
      <w:marTop w:val="0"/>
      <w:marBottom w:val="0"/>
      <w:divBdr>
        <w:top w:val="none" w:sz="0" w:space="0" w:color="auto"/>
        <w:left w:val="none" w:sz="0" w:space="0" w:color="auto"/>
        <w:bottom w:val="none" w:sz="0" w:space="0" w:color="auto"/>
        <w:right w:val="none" w:sz="0" w:space="0" w:color="auto"/>
      </w:divBdr>
    </w:div>
    <w:div w:id="855508006">
      <w:bodyDiv w:val="1"/>
      <w:marLeft w:val="0"/>
      <w:marRight w:val="0"/>
      <w:marTop w:val="0"/>
      <w:marBottom w:val="0"/>
      <w:divBdr>
        <w:top w:val="none" w:sz="0" w:space="0" w:color="auto"/>
        <w:left w:val="none" w:sz="0" w:space="0" w:color="auto"/>
        <w:bottom w:val="none" w:sz="0" w:space="0" w:color="auto"/>
        <w:right w:val="none" w:sz="0" w:space="0" w:color="auto"/>
      </w:divBdr>
    </w:div>
    <w:div w:id="897133264">
      <w:bodyDiv w:val="1"/>
      <w:marLeft w:val="0"/>
      <w:marRight w:val="0"/>
      <w:marTop w:val="0"/>
      <w:marBottom w:val="0"/>
      <w:divBdr>
        <w:top w:val="none" w:sz="0" w:space="0" w:color="auto"/>
        <w:left w:val="none" w:sz="0" w:space="0" w:color="auto"/>
        <w:bottom w:val="none" w:sz="0" w:space="0" w:color="auto"/>
        <w:right w:val="none" w:sz="0" w:space="0" w:color="auto"/>
      </w:divBdr>
      <w:divsChild>
        <w:div w:id="2095782869">
          <w:marLeft w:val="0"/>
          <w:marRight w:val="0"/>
          <w:marTop w:val="0"/>
          <w:marBottom w:val="0"/>
          <w:divBdr>
            <w:top w:val="none" w:sz="0" w:space="0" w:color="auto"/>
            <w:left w:val="none" w:sz="0" w:space="0" w:color="auto"/>
            <w:bottom w:val="none" w:sz="0" w:space="0" w:color="auto"/>
            <w:right w:val="none" w:sz="0" w:space="0" w:color="auto"/>
          </w:divBdr>
        </w:div>
        <w:div w:id="1326738202">
          <w:marLeft w:val="0"/>
          <w:marRight w:val="0"/>
          <w:marTop w:val="0"/>
          <w:marBottom w:val="0"/>
          <w:divBdr>
            <w:top w:val="none" w:sz="0" w:space="0" w:color="auto"/>
            <w:left w:val="none" w:sz="0" w:space="0" w:color="auto"/>
            <w:bottom w:val="none" w:sz="0" w:space="0" w:color="auto"/>
            <w:right w:val="none" w:sz="0" w:space="0" w:color="auto"/>
          </w:divBdr>
        </w:div>
        <w:div w:id="1918204065">
          <w:marLeft w:val="0"/>
          <w:marRight w:val="0"/>
          <w:marTop w:val="0"/>
          <w:marBottom w:val="0"/>
          <w:divBdr>
            <w:top w:val="none" w:sz="0" w:space="0" w:color="auto"/>
            <w:left w:val="none" w:sz="0" w:space="0" w:color="auto"/>
            <w:bottom w:val="none" w:sz="0" w:space="0" w:color="auto"/>
            <w:right w:val="none" w:sz="0" w:space="0" w:color="auto"/>
          </w:divBdr>
        </w:div>
      </w:divsChild>
    </w:div>
    <w:div w:id="951086618">
      <w:bodyDiv w:val="1"/>
      <w:marLeft w:val="0"/>
      <w:marRight w:val="0"/>
      <w:marTop w:val="0"/>
      <w:marBottom w:val="0"/>
      <w:divBdr>
        <w:top w:val="none" w:sz="0" w:space="0" w:color="auto"/>
        <w:left w:val="none" w:sz="0" w:space="0" w:color="auto"/>
        <w:bottom w:val="none" w:sz="0" w:space="0" w:color="auto"/>
        <w:right w:val="none" w:sz="0" w:space="0" w:color="auto"/>
      </w:divBdr>
      <w:divsChild>
        <w:div w:id="60564848">
          <w:marLeft w:val="0"/>
          <w:marRight w:val="0"/>
          <w:marTop w:val="0"/>
          <w:marBottom w:val="0"/>
          <w:divBdr>
            <w:top w:val="none" w:sz="0" w:space="0" w:color="auto"/>
            <w:left w:val="none" w:sz="0" w:space="0" w:color="auto"/>
            <w:bottom w:val="none" w:sz="0" w:space="0" w:color="auto"/>
            <w:right w:val="none" w:sz="0" w:space="0" w:color="auto"/>
          </w:divBdr>
        </w:div>
        <w:div w:id="96870281">
          <w:marLeft w:val="0"/>
          <w:marRight w:val="0"/>
          <w:marTop w:val="0"/>
          <w:marBottom w:val="0"/>
          <w:divBdr>
            <w:top w:val="none" w:sz="0" w:space="0" w:color="auto"/>
            <w:left w:val="none" w:sz="0" w:space="0" w:color="auto"/>
            <w:bottom w:val="none" w:sz="0" w:space="0" w:color="auto"/>
            <w:right w:val="none" w:sz="0" w:space="0" w:color="auto"/>
          </w:divBdr>
        </w:div>
        <w:div w:id="183177625">
          <w:marLeft w:val="0"/>
          <w:marRight w:val="0"/>
          <w:marTop w:val="0"/>
          <w:marBottom w:val="0"/>
          <w:divBdr>
            <w:top w:val="none" w:sz="0" w:space="0" w:color="auto"/>
            <w:left w:val="none" w:sz="0" w:space="0" w:color="auto"/>
            <w:bottom w:val="none" w:sz="0" w:space="0" w:color="auto"/>
            <w:right w:val="none" w:sz="0" w:space="0" w:color="auto"/>
          </w:divBdr>
        </w:div>
        <w:div w:id="517348801">
          <w:marLeft w:val="0"/>
          <w:marRight w:val="0"/>
          <w:marTop w:val="0"/>
          <w:marBottom w:val="0"/>
          <w:divBdr>
            <w:top w:val="none" w:sz="0" w:space="0" w:color="auto"/>
            <w:left w:val="none" w:sz="0" w:space="0" w:color="auto"/>
            <w:bottom w:val="none" w:sz="0" w:space="0" w:color="auto"/>
            <w:right w:val="none" w:sz="0" w:space="0" w:color="auto"/>
          </w:divBdr>
        </w:div>
        <w:div w:id="635768058">
          <w:marLeft w:val="0"/>
          <w:marRight w:val="0"/>
          <w:marTop w:val="0"/>
          <w:marBottom w:val="0"/>
          <w:divBdr>
            <w:top w:val="none" w:sz="0" w:space="0" w:color="auto"/>
            <w:left w:val="none" w:sz="0" w:space="0" w:color="auto"/>
            <w:bottom w:val="none" w:sz="0" w:space="0" w:color="auto"/>
            <w:right w:val="none" w:sz="0" w:space="0" w:color="auto"/>
          </w:divBdr>
        </w:div>
        <w:div w:id="734662392">
          <w:marLeft w:val="0"/>
          <w:marRight w:val="0"/>
          <w:marTop w:val="0"/>
          <w:marBottom w:val="0"/>
          <w:divBdr>
            <w:top w:val="none" w:sz="0" w:space="0" w:color="auto"/>
            <w:left w:val="none" w:sz="0" w:space="0" w:color="auto"/>
            <w:bottom w:val="none" w:sz="0" w:space="0" w:color="auto"/>
            <w:right w:val="none" w:sz="0" w:space="0" w:color="auto"/>
          </w:divBdr>
        </w:div>
        <w:div w:id="768047337">
          <w:marLeft w:val="0"/>
          <w:marRight w:val="0"/>
          <w:marTop w:val="0"/>
          <w:marBottom w:val="0"/>
          <w:divBdr>
            <w:top w:val="none" w:sz="0" w:space="0" w:color="auto"/>
            <w:left w:val="none" w:sz="0" w:space="0" w:color="auto"/>
            <w:bottom w:val="none" w:sz="0" w:space="0" w:color="auto"/>
            <w:right w:val="none" w:sz="0" w:space="0" w:color="auto"/>
          </w:divBdr>
        </w:div>
        <w:div w:id="875199973">
          <w:marLeft w:val="0"/>
          <w:marRight w:val="0"/>
          <w:marTop w:val="0"/>
          <w:marBottom w:val="0"/>
          <w:divBdr>
            <w:top w:val="none" w:sz="0" w:space="0" w:color="auto"/>
            <w:left w:val="none" w:sz="0" w:space="0" w:color="auto"/>
            <w:bottom w:val="none" w:sz="0" w:space="0" w:color="auto"/>
            <w:right w:val="none" w:sz="0" w:space="0" w:color="auto"/>
          </w:divBdr>
        </w:div>
        <w:div w:id="908657770">
          <w:marLeft w:val="0"/>
          <w:marRight w:val="0"/>
          <w:marTop w:val="0"/>
          <w:marBottom w:val="0"/>
          <w:divBdr>
            <w:top w:val="none" w:sz="0" w:space="0" w:color="auto"/>
            <w:left w:val="none" w:sz="0" w:space="0" w:color="auto"/>
            <w:bottom w:val="none" w:sz="0" w:space="0" w:color="auto"/>
            <w:right w:val="none" w:sz="0" w:space="0" w:color="auto"/>
          </w:divBdr>
        </w:div>
        <w:div w:id="985011518">
          <w:marLeft w:val="0"/>
          <w:marRight w:val="0"/>
          <w:marTop w:val="0"/>
          <w:marBottom w:val="0"/>
          <w:divBdr>
            <w:top w:val="none" w:sz="0" w:space="0" w:color="auto"/>
            <w:left w:val="none" w:sz="0" w:space="0" w:color="auto"/>
            <w:bottom w:val="none" w:sz="0" w:space="0" w:color="auto"/>
            <w:right w:val="none" w:sz="0" w:space="0" w:color="auto"/>
          </w:divBdr>
        </w:div>
        <w:div w:id="994842703">
          <w:marLeft w:val="0"/>
          <w:marRight w:val="0"/>
          <w:marTop w:val="0"/>
          <w:marBottom w:val="0"/>
          <w:divBdr>
            <w:top w:val="none" w:sz="0" w:space="0" w:color="auto"/>
            <w:left w:val="none" w:sz="0" w:space="0" w:color="auto"/>
            <w:bottom w:val="none" w:sz="0" w:space="0" w:color="auto"/>
            <w:right w:val="none" w:sz="0" w:space="0" w:color="auto"/>
          </w:divBdr>
        </w:div>
        <w:div w:id="1141727348">
          <w:marLeft w:val="0"/>
          <w:marRight w:val="0"/>
          <w:marTop w:val="0"/>
          <w:marBottom w:val="0"/>
          <w:divBdr>
            <w:top w:val="none" w:sz="0" w:space="0" w:color="auto"/>
            <w:left w:val="none" w:sz="0" w:space="0" w:color="auto"/>
            <w:bottom w:val="none" w:sz="0" w:space="0" w:color="auto"/>
            <w:right w:val="none" w:sz="0" w:space="0" w:color="auto"/>
          </w:divBdr>
        </w:div>
        <w:div w:id="1198591844">
          <w:marLeft w:val="0"/>
          <w:marRight w:val="0"/>
          <w:marTop w:val="0"/>
          <w:marBottom w:val="0"/>
          <w:divBdr>
            <w:top w:val="none" w:sz="0" w:space="0" w:color="auto"/>
            <w:left w:val="none" w:sz="0" w:space="0" w:color="auto"/>
            <w:bottom w:val="none" w:sz="0" w:space="0" w:color="auto"/>
            <w:right w:val="none" w:sz="0" w:space="0" w:color="auto"/>
          </w:divBdr>
        </w:div>
        <w:div w:id="1325360065">
          <w:marLeft w:val="0"/>
          <w:marRight w:val="0"/>
          <w:marTop w:val="0"/>
          <w:marBottom w:val="0"/>
          <w:divBdr>
            <w:top w:val="none" w:sz="0" w:space="0" w:color="auto"/>
            <w:left w:val="none" w:sz="0" w:space="0" w:color="auto"/>
            <w:bottom w:val="none" w:sz="0" w:space="0" w:color="auto"/>
            <w:right w:val="none" w:sz="0" w:space="0" w:color="auto"/>
          </w:divBdr>
        </w:div>
        <w:div w:id="1429230609">
          <w:marLeft w:val="0"/>
          <w:marRight w:val="0"/>
          <w:marTop w:val="0"/>
          <w:marBottom w:val="0"/>
          <w:divBdr>
            <w:top w:val="none" w:sz="0" w:space="0" w:color="auto"/>
            <w:left w:val="none" w:sz="0" w:space="0" w:color="auto"/>
            <w:bottom w:val="none" w:sz="0" w:space="0" w:color="auto"/>
            <w:right w:val="none" w:sz="0" w:space="0" w:color="auto"/>
          </w:divBdr>
        </w:div>
        <w:div w:id="1460147371">
          <w:marLeft w:val="0"/>
          <w:marRight w:val="0"/>
          <w:marTop w:val="0"/>
          <w:marBottom w:val="0"/>
          <w:divBdr>
            <w:top w:val="none" w:sz="0" w:space="0" w:color="auto"/>
            <w:left w:val="none" w:sz="0" w:space="0" w:color="auto"/>
            <w:bottom w:val="none" w:sz="0" w:space="0" w:color="auto"/>
            <w:right w:val="none" w:sz="0" w:space="0" w:color="auto"/>
          </w:divBdr>
        </w:div>
        <w:div w:id="1491369578">
          <w:marLeft w:val="0"/>
          <w:marRight w:val="0"/>
          <w:marTop w:val="0"/>
          <w:marBottom w:val="0"/>
          <w:divBdr>
            <w:top w:val="none" w:sz="0" w:space="0" w:color="auto"/>
            <w:left w:val="none" w:sz="0" w:space="0" w:color="auto"/>
            <w:bottom w:val="none" w:sz="0" w:space="0" w:color="auto"/>
            <w:right w:val="none" w:sz="0" w:space="0" w:color="auto"/>
          </w:divBdr>
        </w:div>
        <w:div w:id="1582715741">
          <w:marLeft w:val="0"/>
          <w:marRight w:val="0"/>
          <w:marTop w:val="0"/>
          <w:marBottom w:val="0"/>
          <w:divBdr>
            <w:top w:val="none" w:sz="0" w:space="0" w:color="auto"/>
            <w:left w:val="none" w:sz="0" w:space="0" w:color="auto"/>
            <w:bottom w:val="none" w:sz="0" w:space="0" w:color="auto"/>
            <w:right w:val="none" w:sz="0" w:space="0" w:color="auto"/>
          </w:divBdr>
        </w:div>
        <w:div w:id="1741901926">
          <w:marLeft w:val="0"/>
          <w:marRight w:val="0"/>
          <w:marTop w:val="0"/>
          <w:marBottom w:val="0"/>
          <w:divBdr>
            <w:top w:val="none" w:sz="0" w:space="0" w:color="auto"/>
            <w:left w:val="none" w:sz="0" w:space="0" w:color="auto"/>
            <w:bottom w:val="none" w:sz="0" w:space="0" w:color="auto"/>
            <w:right w:val="none" w:sz="0" w:space="0" w:color="auto"/>
          </w:divBdr>
        </w:div>
        <w:div w:id="1762290174">
          <w:marLeft w:val="0"/>
          <w:marRight w:val="0"/>
          <w:marTop w:val="0"/>
          <w:marBottom w:val="0"/>
          <w:divBdr>
            <w:top w:val="none" w:sz="0" w:space="0" w:color="auto"/>
            <w:left w:val="none" w:sz="0" w:space="0" w:color="auto"/>
            <w:bottom w:val="none" w:sz="0" w:space="0" w:color="auto"/>
            <w:right w:val="none" w:sz="0" w:space="0" w:color="auto"/>
          </w:divBdr>
        </w:div>
        <w:div w:id="1776898110">
          <w:marLeft w:val="0"/>
          <w:marRight w:val="0"/>
          <w:marTop w:val="0"/>
          <w:marBottom w:val="0"/>
          <w:divBdr>
            <w:top w:val="none" w:sz="0" w:space="0" w:color="auto"/>
            <w:left w:val="none" w:sz="0" w:space="0" w:color="auto"/>
            <w:bottom w:val="none" w:sz="0" w:space="0" w:color="auto"/>
            <w:right w:val="none" w:sz="0" w:space="0" w:color="auto"/>
          </w:divBdr>
        </w:div>
        <w:div w:id="1823503909">
          <w:marLeft w:val="0"/>
          <w:marRight w:val="0"/>
          <w:marTop w:val="0"/>
          <w:marBottom w:val="0"/>
          <w:divBdr>
            <w:top w:val="none" w:sz="0" w:space="0" w:color="auto"/>
            <w:left w:val="none" w:sz="0" w:space="0" w:color="auto"/>
            <w:bottom w:val="none" w:sz="0" w:space="0" w:color="auto"/>
            <w:right w:val="none" w:sz="0" w:space="0" w:color="auto"/>
          </w:divBdr>
        </w:div>
        <w:div w:id="1857845318">
          <w:marLeft w:val="0"/>
          <w:marRight w:val="0"/>
          <w:marTop w:val="0"/>
          <w:marBottom w:val="0"/>
          <w:divBdr>
            <w:top w:val="none" w:sz="0" w:space="0" w:color="auto"/>
            <w:left w:val="none" w:sz="0" w:space="0" w:color="auto"/>
            <w:bottom w:val="none" w:sz="0" w:space="0" w:color="auto"/>
            <w:right w:val="none" w:sz="0" w:space="0" w:color="auto"/>
          </w:divBdr>
        </w:div>
        <w:div w:id="1882398845">
          <w:marLeft w:val="0"/>
          <w:marRight w:val="0"/>
          <w:marTop w:val="0"/>
          <w:marBottom w:val="0"/>
          <w:divBdr>
            <w:top w:val="none" w:sz="0" w:space="0" w:color="auto"/>
            <w:left w:val="none" w:sz="0" w:space="0" w:color="auto"/>
            <w:bottom w:val="none" w:sz="0" w:space="0" w:color="auto"/>
            <w:right w:val="none" w:sz="0" w:space="0" w:color="auto"/>
          </w:divBdr>
        </w:div>
        <w:div w:id="1940870454">
          <w:marLeft w:val="0"/>
          <w:marRight w:val="0"/>
          <w:marTop w:val="0"/>
          <w:marBottom w:val="0"/>
          <w:divBdr>
            <w:top w:val="none" w:sz="0" w:space="0" w:color="auto"/>
            <w:left w:val="none" w:sz="0" w:space="0" w:color="auto"/>
            <w:bottom w:val="none" w:sz="0" w:space="0" w:color="auto"/>
            <w:right w:val="none" w:sz="0" w:space="0" w:color="auto"/>
          </w:divBdr>
        </w:div>
        <w:div w:id="2049449585">
          <w:marLeft w:val="0"/>
          <w:marRight w:val="0"/>
          <w:marTop w:val="0"/>
          <w:marBottom w:val="0"/>
          <w:divBdr>
            <w:top w:val="none" w:sz="0" w:space="0" w:color="auto"/>
            <w:left w:val="none" w:sz="0" w:space="0" w:color="auto"/>
            <w:bottom w:val="none" w:sz="0" w:space="0" w:color="auto"/>
            <w:right w:val="none" w:sz="0" w:space="0" w:color="auto"/>
          </w:divBdr>
        </w:div>
        <w:div w:id="2145467580">
          <w:marLeft w:val="0"/>
          <w:marRight w:val="0"/>
          <w:marTop w:val="0"/>
          <w:marBottom w:val="0"/>
          <w:divBdr>
            <w:top w:val="none" w:sz="0" w:space="0" w:color="auto"/>
            <w:left w:val="none" w:sz="0" w:space="0" w:color="auto"/>
            <w:bottom w:val="none" w:sz="0" w:space="0" w:color="auto"/>
            <w:right w:val="none" w:sz="0" w:space="0" w:color="auto"/>
          </w:divBdr>
        </w:div>
      </w:divsChild>
    </w:div>
    <w:div w:id="1141189834">
      <w:bodyDiv w:val="1"/>
      <w:marLeft w:val="0"/>
      <w:marRight w:val="0"/>
      <w:marTop w:val="0"/>
      <w:marBottom w:val="0"/>
      <w:divBdr>
        <w:top w:val="none" w:sz="0" w:space="0" w:color="auto"/>
        <w:left w:val="none" w:sz="0" w:space="0" w:color="auto"/>
        <w:bottom w:val="none" w:sz="0" w:space="0" w:color="auto"/>
        <w:right w:val="none" w:sz="0" w:space="0" w:color="auto"/>
      </w:divBdr>
    </w:div>
    <w:div w:id="1329287335">
      <w:bodyDiv w:val="1"/>
      <w:marLeft w:val="0"/>
      <w:marRight w:val="0"/>
      <w:marTop w:val="0"/>
      <w:marBottom w:val="0"/>
      <w:divBdr>
        <w:top w:val="none" w:sz="0" w:space="0" w:color="auto"/>
        <w:left w:val="none" w:sz="0" w:space="0" w:color="auto"/>
        <w:bottom w:val="none" w:sz="0" w:space="0" w:color="auto"/>
        <w:right w:val="none" w:sz="0" w:space="0" w:color="auto"/>
      </w:divBdr>
      <w:divsChild>
        <w:div w:id="93672582">
          <w:marLeft w:val="0"/>
          <w:marRight w:val="0"/>
          <w:marTop w:val="0"/>
          <w:marBottom w:val="0"/>
          <w:divBdr>
            <w:top w:val="none" w:sz="0" w:space="0" w:color="auto"/>
            <w:left w:val="none" w:sz="0" w:space="0" w:color="auto"/>
            <w:bottom w:val="none" w:sz="0" w:space="0" w:color="auto"/>
            <w:right w:val="none" w:sz="0" w:space="0" w:color="auto"/>
          </w:divBdr>
        </w:div>
        <w:div w:id="199632611">
          <w:marLeft w:val="0"/>
          <w:marRight w:val="0"/>
          <w:marTop w:val="0"/>
          <w:marBottom w:val="0"/>
          <w:divBdr>
            <w:top w:val="none" w:sz="0" w:space="0" w:color="auto"/>
            <w:left w:val="none" w:sz="0" w:space="0" w:color="auto"/>
            <w:bottom w:val="none" w:sz="0" w:space="0" w:color="auto"/>
            <w:right w:val="none" w:sz="0" w:space="0" w:color="auto"/>
          </w:divBdr>
        </w:div>
        <w:div w:id="457115907">
          <w:marLeft w:val="0"/>
          <w:marRight w:val="0"/>
          <w:marTop w:val="0"/>
          <w:marBottom w:val="0"/>
          <w:divBdr>
            <w:top w:val="none" w:sz="0" w:space="0" w:color="auto"/>
            <w:left w:val="none" w:sz="0" w:space="0" w:color="auto"/>
            <w:bottom w:val="none" w:sz="0" w:space="0" w:color="auto"/>
            <w:right w:val="none" w:sz="0" w:space="0" w:color="auto"/>
          </w:divBdr>
        </w:div>
        <w:div w:id="548954056">
          <w:marLeft w:val="0"/>
          <w:marRight w:val="0"/>
          <w:marTop w:val="0"/>
          <w:marBottom w:val="0"/>
          <w:divBdr>
            <w:top w:val="none" w:sz="0" w:space="0" w:color="auto"/>
            <w:left w:val="none" w:sz="0" w:space="0" w:color="auto"/>
            <w:bottom w:val="none" w:sz="0" w:space="0" w:color="auto"/>
            <w:right w:val="none" w:sz="0" w:space="0" w:color="auto"/>
          </w:divBdr>
        </w:div>
        <w:div w:id="850418187">
          <w:marLeft w:val="0"/>
          <w:marRight w:val="0"/>
          <w:marTop w:val="0"/>
          <w:marBottom w:val="0"/>
          <w:divBdr>
            <w:top w:val="none" w:sz="0" w:space="0" w:color="auto"/>
            <w:left w:val="none" w:sz="0" w:space="0" w:color="auto"/>
            <w:bottom w:val="none" w:sz="0" w:space="0" w:color="auto"/>
            <w:right w:val="none" w:sz="0" w:space="0" w:color="auto"/>
          </w:divBdr>
        </w:div>
        <w:div w:id="869339645">
          <w:marLeft w:val="0"/>
          <w:marRight w:val="0"/>
          <w:marTop w:val="0"/>
          <w:marBottom w:val="0"/>
          <w:divBdr>
            <w:top w:val="none" w:sz="0" w:space="0" w:color="auto"/>
            <w:left w:val="none" w:sz="0" w:space="0" w:color="auto"/>
            <w:bottom w:val="none" w:sz="0" w:space="0" w:color="auto"/>
            <w:right w:val="none" w:sz="0" w:space="0" w:color="auto"/>
          </w:divBdr>
        </w:div>
        <w:div w:id="924411765">
          <w:marLeft w:val="0"/>
          <w:marRight w:val="0"/>
          <w:marTop w:val="0"/>
          <w:marBottom w:val="0"/>
          <w:divBdr>
            <w:top w:val="none" w:sz="0" w:space="0" w:color="auto"/>
            <w:left w:val="none" w:sz="0" w:space="0" w:color="auto"/>
            <w:bottom w:val="none" w:sz="0" w:space="0" w:color="auto"/>
            <w:right w:val="none" w:sz="0" w:space="0" w:color="auto"/>
          </w:divBdr>
        </w:div>
        <w:div w:id="1880848726">
          <w:marLeft w:val="0"/>
          <w:marRight w:val="0"/>
          <w:marTop w:val="0"/>
          <w:marBottom w:val="0"/>
          <w:divBdr>
            <w:top w:val="none" w:sz="0" w:space="0" w:color="auto"/>
            <w:left w:val="none" w:sz="0" w:space="0" w:color="auto"/>
            <w:bottom w:val="none" w:sz="0" w:space="0" w:color="auto"/>
            <w:right w:val="none" w:sz="0" w:space="0" w:color="auto"/>
          </w:divBdr>
        </w:div>
        <w:div w:id="1891962581">
          <w:marLeft w:val="0"/>
          <w:marRight w:val="0"/>
          <w:marTop w:val="0"/>
          <w:marBottom w:val="0"/>
          <w:divBdr>
            <w:top w:val="none" w:sz="0" w:space="0" w:color="auto"/>
            <w:left w:val="none" w:sz="0" w:space="0" w:color="auto"/>
            <w:bottom w:val="none" w:sz="0" w:space="0" w:color="auto"/>
            <w:right w:val="none" w:sz="0" w:space="0" w:color="auto"/>
          </w:divBdr>
        </w:div>
      </w:divsChild>
    </w:div>
    <w:div w:id="1723476477">
      <w:bodyDiv w:val="1"/>
      <w:marLeft w:val="0"/>
      <w:marRight w:val="0"/>
      <w:marTop w:val="0"/>
      <w:marBottom w:val="0"/>
      <w:divBdr>
        <w:top w:val="none" w:sz="0" w:space="0" w:color="auto"/>
        <w:left w:val="none" w:sz="0" w:space="0" w:color="auto"/>
        <w:bottom w:val="none" w:sz="0" w:space="0" w:color="auto"/>
        <w:right w:val="none" w:sz="0" w:space="0" w:color="auto"/>
      </w:divBdr>
      <w:divsChild>
        <w:div w:id="2117435183">
          <w:marLeft w:val="0"/>
          <w:marRight w:val="0"/>
          <w:marTop w:val="0"/>
          <w:marBottom w:val="0"/>
          <w:divBdr>
            <w:top w:val="none" w:sz="0" w:space="0" w:color="auto"/>
            <w:left w:val="none" w:sz="0" w:space="0" w:color="auto"/>
            <w:bottom w:val="none" w:sz="0" w:space="0" w:color="auto"/>
            <w:right w:val="none" w:sz="0" w:space="0" w:color="auto"/>
          </w:divBdr>
        </w:div>
        <w:div w:id="1571382935">
          <w:marLeft w:val="0"/>
          <w:marRight w:val="0"/>
          <w:marTop w:val="0"/>
          <w:marBottom w:val="0"/>
          <w:divBdr>
            <w:top w:val="none" w:sz="0" w:space="0" w:color="auto"/>
            <w:left w:val="none" w:sz="0" w:space="0" w:color="auto"/>
            <w:bottom w:val="none" w:sz="0" w:space="0" w:color="auto"/>
            <w:right w:val="none" w:sz="0" w:space="0" w:color="auto"/>
          </w:divBdr>
        </w:div>
        <w:div w:id="1197890735">
          <w:marLeft w:val="0"/>
          <w:marRight w:val="0"/>
          <w:marTop w:val="0"/>
          <w:marBottom w:val="0"/>
          <w:divBdr>
            <w:top w:val="none" w:sz="0" w:space="0" w:color="auto"/>
            <w:left w:val="none" w:sz="0" w:space="0" w:color="auto"/>
            <w:bottom w:val="none" w:sz="0" w:space="0" w:color="auto"/>
            <w:right w:val="none" w:sz="0" w:space="0" w:color="auto"/>
          </w:divBdr>
        </w:div>
      </w:divsChild>
    </w:div>
    <w:div w:id="2135056713">
      <w:bodyDiv w:val="1"/>
      <w:marLeft w:val="0"/>
      <w:marRight w:val="0"/>
      <w:marTop w:val="0"/>
      <w:marBottom w:val="0"/>
      <w:divBdr>
        <w:top w:val="none" w:sz="0" w:space="0" w:color="auto"/>
        <w:left w:val="none" w:sz="0" w:space="0" w:color="auto"/>
        <w:bottom w:val="none" w:sz="0" w:space="0" w:color="auto"/>
        <w:right w:val="none" w:sz="0" w:space="0" w:color="auto"/>
      </w:divBdr>
      <w:divsChild>
        <w:div w:id="343171292">
          <w:marLeft w:val="0"/>
          <w:marRight w:val="0"/>
          <w:marTop w:val="0"/>
          <w:marBottom w:val="0"/>
          <w:divBdr>
            <w:top w:val="none" w:sz="0" w:space="0" w:color="auto"/>
            <w:left w:val="none" w:sz="0" w:space="0" w:color="auto"/>
            <w:bottom w:val="none" w:sz="0" w:space="0" w:color="auto"/>
            <w:right w:val="none" w:sz="0" w:space="0" w:color="auto"/>
          </w:divBdr>
        </w:div>
        <w:div w:id="2059477208">
          <w:marLeft w:val="0"/>
          <w:marRight w:val="0"/>
          <w:marTop w:val="0"/>
          <w:marBottom w:val="0"/>
          <w:divBdr>
            <w:top w:val="none" w:sz="0" w:space="0" w:color="auto"/>
            <w:left w:val="none" w:sz="0" w:space="0" w:color="auto"/>
            <w:bottom w:val="none" w:sz="0" w:space="0" w:color="auto"/>
            <w:right w:val="none" w:sz="0" w:space="0" w:color="auto"/>
          </w:divBdr>
        </w:div>
        <w:div w:id="479807053">
          <w:marLeft w:val="0"/>
          <w:marRight w:val="0"/>
          <w:marTop w:val="0"/>
          <w:marBottom w:val="0"/>
          <w:divBdr>
            <w:top w:val="none" w:sz="0" w:space="0" w:color="auto"/>
            <w:left w:val="none" w:sz="0" w:space="0" w:color="auto"/>
            <w:bottom w:val="none" w:sz="0" w:space="0" w:color="auto"/>
            <w:right w:val="none" w:sz="0" w:space="0" w:color="auto"/>
          </w:divBdr>
        </w:div>
        <w:div w:id="469518037">
          <w:marLeft w:val="0"/>
          <w:marRight w:val="0"/>
          <w:marTop w:val="0"/>
          <w:marBottom w:val="0"/>
          <w:divBdr>
            <w:top w:val="none" w:sz="0" w:space="0" w:color="auto"/>
            <w:left w:val="none" w:sz="0" w:space="0" w:color="auto"/>
            <w:bottom w:val="none" w:sz="0" w:space="0" w:color="auto"/>
            <w:right w:val="none" w:sz="0" w:space="0" w:color="auto"/>
          </w:divBdr>
        </w:div>
        <w:div w:id="2142720722">
          <w:marLeft w:val="0"/>
          <w:marRight w:val="0"/>
          <w:marTop w:val="0"/>
          <w:marBottom w:val="0"/>
          <w:divBdr>
            <w:top w:val="none" w:sz="0" w:space="0" w:color="auto"/>
            <w:left w:val="none" w:sz="0" w:space="0" w:color="auto"/>
            <w:bottom w:val="none" w:sz="0" w:space="0" w:color="auto"/>
            <w:right w:val="none" w:sz="0" w:space="0" w:color="auto"/>
          </w:divBdr>
        </w:div>
        <w:div w:id="1823159761">
          <w:marLeft w:val="0"/>
          <w:marRight w:val="0"/>
          <w:marTop w:val="0"/>
          <w:marBottom w:val="0"/>
          <w:divBdr>
            <w:top w:val="none" w:sz="0" w:space="0" w:color="auto"/>
            <w:left w:val="none" w:sz="0" w:space="0" w:color="auto"/>
            <w:bottom w:val="none" w:sz="0" w:space="0" w:color="auto"/>
            <w:right w:val="none" w:sz="0" w:space="0" w:color="auto"/>
          </w:divBdr>
        </w:div>
        <w:div w:id="442385199">
          <w:marLeft w:val="0"/>
          <w:marRight w:val="0"/>
          <w:marTop w:val="0"/>
          <w:marBottom w:val="0"/>
          <w:divBdr>
            <w:top w:val="none" w:sz="0" w:space="0" w:color="auto"/>
            <w:left w:val="none" w:sz="0" w:space="0" w:color="auto"/>
            <w:bottom w:val="none" w:sz="0" w:space="0" w:color="auto"/>
            <w:right w:val="none" w:sz="0" w:space="0" w:color="auto"/>
          </w:divBdr>
        </w:div>
        <w:div w:id="1887061871">
          <w:marLeft w:val="0"/>
          <w:marRight w:val="0"/>
          <w:marTop w:val="0"/>
          <w:marBottom w:val="0"/>
          <w:divBdr>
            <w:top w:val="none" w:sz="0" w:space="0" w:color="auto"/>
            <w:left w:val="none" w:sz="0" w:space="0" w:color="auto"/>
            <w:bottom w:val="none" w:sz="0" w:space="0" w:color="auto"/>
            <w:right w:val="none" w:sz="0" w:space="0" w:color="auto"/>
          </w:divBdr>
        </w:div>
        <w:div w:id="7561606">
          <w:marLeft w:val="0"/>
          <w:marRight w:val="0"/>
          <w:marTop w:val="0"/>
          <w:marBottom w:val="0"/>
          <w:divBdr>
            <w:top w:val="none" w:sz="0" w:space="0" w:color="auto"/>
            <w:left w:val="none" w:sz="0" w:space="0" w:color="auto"/>
            <w:bottom w:val="none" w:sz="0" w:space="0" w:color="auto"/>
            <w:right w:val="none" w:sz="0" w:space="0" w:color="auto"/>
          </w:divBdr>
        </w:div>
        <w:div w:id="111829334">
          <w:marLeft w:val="0"/>
          <w:marRight w:val="0"/>
          <w:marTop w:val="0"/>
          <w:marBottom w:val="0"/>
          <w:divBdr>
            <w:top w:val="none" w:sz="0" w:space="0" w:color="auto"/>
            <w:left w:val="none" w:sz="0" w:space="0" w:color="auto"/>
            <w:bottom w:val="none" w:sz="0" w:space="0" w:color="auto"/>
            <w:right w:val="none" w:sz="0" w:space="0" w:color="auto"/>
          </w:divBdr>
        </w:div>
        <w:div w:id="1413821169">
          <w:marLeft w:val="0"/>
          <w:marRight w:val="0"/>
          <w:marTop w:val="0"/>
          <w:marBottom w:val="0"/>
          <w:divBdr>
            <w:top w:val="none" w:sz="0" w:space="0" w:color="auto"/>
            <w:left w:val="none" w:sz="0" w:space="0" w:color="auto"/>
            <w:bottom w:val="none" w:sz="0" w:space="0" w:color="auto"/>
            <w:right w:val="none" w:sz="0" w:space="0" w:color="auto"/>
          </w:divBdr>
        </w:div>
        <w:div w:id="1806924870">
          <w:marLeft w:val="0"/>
          <w:marRight w:val="0"/>
          <w:marTop w:val="0"/>
          <w:marBottom w:val="0"/>
          <w:divBdr>
            <w:top w:val="none" w:sz="0" w:space="0" w:color="auto"/>
            <w:left w:val="none" w:sz="0" w:space="0" w:color="auto"/>
            <w:bottom w:val="none" w:sz="0" w:space="0" w:color="auto"/>
            <w:right w:val="none" w:sz="0" w:space="0" w:color="auto"/>
          </w:divBdr>
        </w:div>
        <w:div w:id="1108429250">
          <w:marLeft w:val="0"/>
          <w:marRight w:val="0"/>
          <w:marTop w:val="0"/>
          <w:marBottom w:val="0"/>
          <w:divBdr>
            <w:top w:val="none" w:sz="0" w:space="0" w:color="auto"/>
            <w:left w:val="none" w:sz="0" w:space="0" w:color="auto"/>
            <w:bottom w:val="none" w:sz="0" w:space="0" w:color="auto"/>
            <w:right w:val="none" w:sz="0" w:space="0" w:color="auto"/>
          </w:divBdr>
        </w:div>
        <w:div w:id="751857755">
          <w:marLeft w:val="0"/>
          <w:marRight w:val="0"/>
          <w:marTop w:val="0"/>
          <w:marBottom w:val="0"/>
          <w:divBdr>
            <w:top w:val="none" w:sz="0" w:space="0" w:color="auto"/>
            <w:left w:val="none" w:sz="0" w:space="0" w:color="auto"/>
            <w:bottom w:val="none" w:sz="0" w:space="0" w:color="auto"/>
            <w:right w:val="none" w:sz="0" w:space="0" w:color="auto"/>
          </w:divBdr>
        </w:div>
        <w:div w:id="60906426">
          <w:marLeft w:val="0"/>
          <w:marRight w:val="0"/>
          <w:marTop w:val="0"/>
          <w:marBottom w:val="0"/>
          <w:divBdr>
            <w:top w:val="none" w:sz="0" w:space="0" w:color="auto"/>
            <w:left w:val="none" w:sz="0" w:space="0" w:color="auto"/>
            <w:bottom w:val="none" w:sz="0" w:space="0" w:color="auto"/>
            <w:right w:val="none" w:sz="0" w:space="0" w:color="auto"/>
          </w:divBdr>
        </w:div>
        <w:div w:id="365301582">
          <w:marLeft w:val="0"/>
          <w:marRight w:val="0"/>
          <w:marTop w:val="0"/>
          <w:marBottom w:val="0"/>
          <w:divBdr>
            <w:top w:val="none" w:sz="0" w:space="0" w:color="auto"/>
            <w:left w:val="none" w:sz="0" w:space="0" w:color="auto"/>
            <w:bottom w:val="none" w:sz="0" w:space="0" w:color="auto"/>
            <w:right w:val="none" w:sz="0" w:space="0" w:color="auto"/>
          </w:divBdr>
        </w:div>
        <w:div w:id="658768533">
          <w:marLeft w:val="0"/>
          <w:marRight w:val="0"/>
          <w:marTop w:val="0"/>
          <w:marBottom w:val="0"/>
          <w:divBdr>
            <w:top w:val="none" w:sz="0" w:space="0" w:color="auto"/>
            <w:left w:val="none" w:sz="0" w:space="0" w:color="auto"/>
            <w:bottom w:val="none" w:sz="0" w:space="0" w:color="auto"/>
            <w:right w:val="none" w:sz="0" w:space="0" w:color="auto"/>
          </w:divBdr>
        </w:div>
        <w:div w:id="125858761">
          <w:marLeft w:val="0"/>
          <w:marRight w:val="0"/>
          <w:marTop w:val="0"/>
          <w:marBottom w:val="0"/>
          <w:divBdr>
            <w:top w:val="none" w:sz="0" w:space="0" w:color="auto"/>
            <w:left w:val="none" w:sz="0" w:space="0" w:color="auto"/>
            <w:bottom w:val="none" w:sz="0" w:space="0" w:color="auto"/>
            <w:right w:val="none" w:sz="0" w:space="0" w:color="auto"/>
          </w:divBdr>
        </w:div>
        <w:div w:id="252324622">
          <w:marLeft w:val="0"/>
          <w:marRight w:val="0"/>
          <w:marTop w:val="0"/>
          <w:marBottom w:val="0"/>
          <w:divBdr>
            <w:top w:val="none" w:sz="0" w:space="0" w:color="auto"/>
            <w:left w:val="none" w:sz="0" w:space="0" w:color="auto"/>
            <w:bottom w:val="none" w:sz="0" w:space="0" w:color="auto"/>
            <w:right w:val="none" w:sz="0" w:space="0" w:color="auto"/>
          </w:divBdr>
        </w:div>
        <w:div w:id="1248658034">
          <w:marLeft w:val="0"/>
          <w:marRight w:val="0"/>
          <w:marTop w:val="0"/>
          <w:marBottom w:val="0"/>
          <w:divBdr>
            <w:top w:val="none" w:sz="0" w:space="0" w:color="auto"/>
            <w:left w:val="none" w:sz="0" w:space="0" w:color="auto"/>
            <w:bottom w:val="none" w:sz="0" w:space="0" w:color="auto"/>
            <w:right w:val="none" w:sz="0" w:space="0" w:color="auto"/>
          </w:divBdr>
        </w:div>
        <w:div w:id="1179345303">
          <w:marLeft w:val="0"/>
          <w:marRight w:val="0"/>
          <w:marTop w:val="0"/>
          <w:marBottom w:val="0"/>
          <w:divBdr>
            <w:top w:val="none" w:sz="0" w:space="0" w:color="auto"/>
            <w:left w:val="none" w:sz="0" w:space="0" w:color="auto"/>
            <w:bottom w:val="none" w:sz="0" w:space="0" w:color="auto"/>
            <w:right w:val="none" w:sz="0" w:space="0" w:color="auto"/>
          </w:divBdr>
        </w:div>
        <w:div w:id="187647430">
          <w:marLeft w:val="0"/>
          <w:marRight w:val="0"/>
          <w:marTop w:val="0"/>
          <w:marBottom w:val="0"/>
          <w:divBdr>
            <w:top w:val="none" w:sz="0" w:space="0" w:color="auto"/>
            <w:left w:val="none" w:sz="0" w:space="0" w:color="auto"/>
            <w:bottom w:val="none" w:sz="0" w:space="0" w:color="auto"/>
            <w:right w:val="none" w:sz="0" w:space="0" w:color="auto"/>
          </w:divBdr>
        </w:div>
        <w:div w:id="1451511412">
          <w:marLeft w:val="0"/>
          <w:marRight w:val="0"/>
          <w:marTop w:val="0"/>
          <w:marBottom w:val="0"/>
          <w:divBdr>
            <w:top w:val="none" w:sz="0" w:space="0" w:color="auto"/>
            <w:left w:val="none" w:sz="0" w:space="0" w:color="auto"/>
            <w:bottom w:val="none" w:sz="0" w:space="0" w:color="auto"/>
            <w:right w:val="none" w:sz="0" w:space="0" w:color="auto"/>
          </w:divBdr>
        </w:div>
        <w:div w:id="1599215431">
          <w:marLeft w:val="0"/>
          <w:marRight w:val="0"/>
          <w:marTop w:val="0"/>
          <w:marBottom w:val="0"/>
          <w:divBdr>
            <w:top w:val="none" w:sz="0" w:space="0" w:color="auto"/>
            <w:left w:val="none" w:sz="0" w:space="0" w:color="auto"/>
            <w:bottom w:val="none" w:sz="0" w:space="0" w:color="auto"/>
            <w:right w:val="none" w:sz="0" w:space="0" w:color="auto"/>
          </w:divBdr>
        </w:div>
        <w:div w:id="120272878">
          <w:marLeft w:val="0"/>
          <w:marRight w:val="0"/>
          <w:marTop w:val="0"/>
          <w:marBottom w:val="0"/>
          <w:divBdr>
            <w:top w:val="none" w:sz="0" w:space="0" w:color="auto"/>
            <w:left w:val="none" w:sz="0" w:space="0" w:color="auto"/>
            <w:bottom w:val="none" w:sz="0" w:space="0" w:color="auto"/>
            <w:right w:val="none" w:sz="0" w:space="0" w:color="auto"/>
          </w:divBdr>
        </w:div>
        <w:div w:id="1175725021">
          <w:marLeft w:val="0"/>
          <w:marRight w:val="0"/>
          <w:marTop w:val="0"/>
          <w:marBottom w:val="0"/>
          <w:divBdr>
            <w:top w:val="none" w:sz="0" w:space="0" w:color="auto"/>
            <w:left w:val="none" w:sz="0" w:space="0" w:color="auto"/>
            <w:bottom w:val="none" w:sz="0" w:space="0" w:color="auto"/>
            <w:right w:val="none" w:sz="0" w:space="0" w:color="auto"/>
          </w:divBdr>
        </w:div>
        <w:div w:id="1614510231">
          <w:marLeft w:val="0"/>
          <w:marRight w:val="0"/>
          <w:marTop w:val="0"/>
          <w:marBottom w:val="0"/>
          <w:divBdr>
            <w:top w:val="none" w:sz="0" w:space="0" w:color="auto"/>
            <w:left w:val="none" w:sz="0" w:space="0" w:color="auto"/>
            <w:bottom w:val="none" w:sz="0" w:space="0" w:color="auto"/>
            <w:right w:val="none" w:sz="0" w:space="0" w:color="auto"/>
          </w:divBdr>
        </w:div>
      </w:divsChild>
    </w:div>
    <w:div w:id="2146703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145/2931002.2931011" TargetMode="External"/><Relationship Id="rId18" Type="http://schemas.openxmlformats.org/officeDocument/2006/relationships/hyperlink" Target="https://doi.org/10.1145/2980179.2980246" TargetMode="External"/><Relationship Id="rId26" Type="http://schemas.openxmlformats.org/officeDocument/2006/relationships/hyperlink" Target="https://doi.org/10.1007/s11554-012-0281-6" TargetMode="External"/><Relationship Id="rId3" Type="http://schemas.openxmlformats.org/officeDocument/2006/relationships/styles" Target="styles.xml"/><Relationship Id="rId21" Type="http://schemas.openxmlformats.org/officeDocument/2006/relationships/hyperlink" Target="https://doi.org/10.1145/1670671.1670676" TargetMode="External"/><Relationship Id="rId34" Type="http://schemas.openxmlformats.org/officeDocument/2006/relationships/hyperlink" Target="https://doi.org/10.1145/3446790" TargetMode="External"/><Relationship Id="rId7" Type="http://schemas.openxmlformats.org/officeDocument/2006/relationships/endnotes" Target="endnotes.xml"/><Relationship Id="rId12" Type="http://schemas.openxmlformats.org/officeDocument/2006/relationships/hyperlink" Target="https://doi.org/10.1016/0042-6989(74)90049-2" TargetMode="External"/><Relationship Id="rId17" Type="http://schemas.openxmlformats.org/officeDocument/2006/relationships/hyperlink" Target="https://doi.org/10.1117/12.537476" TargetMode="External"/><Relationship Id="rId25" Type="http://schemas.openxmlformats.org/officeDocument/2006/relationships/hyperlink" Target="https://doi.org/10.1145/2601097.2601105" TargetMode="External"/><Relationship Id="rId33" Type="http://schemas.openxmlformats.org/officeDocument/2006/relationships/hyperlink" Target="https://doi.org/10.1109/VR.2018.8446142" TargetMode="External"/><Relationship Id="rId2" Type="http://schemas.openxmlformats.org/officeDocument/2006/relationships/numbering" Target="numbering.xml"/><Relationship Id="rId16" Type="http://schemas.openxmlformats.org/officeDocument/2006/relationships/hyperlink" Target="https://doi.org/10.1167/jov.21.1.2" TargetMode="External"/><Relationship Id="rId20" Type="http://schemas.openxmlformats.org/officeDocument/2006/relationships/hyperlink" Target="https://doi.org/10.1145/1344471.1344507" TargetMode="External"/><Relationship Id="rId29" Type="http://schemas.openxmlformats.org/officeDocument/2006/relationships/hyperlink" Target="https://doi.org/10.1145/3306346.33230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11/cgf.12956" TargetMode="External"/><Relationship Id="rId32" Type="http://schemas.openxmlformats.org/officeDocument/2006/relationships/hyperlink" Target="https://doi.org/10.16910/jemr.12.1.3" TargetMode="External"/><Relationship Id="rId5" Type="http://schemas.openxmlformats.org/officeDocument/2006/relationships/webSettings" Target="webSettings.xml"/><Relationship Id="rId15" Type="http://schemas.openxmlformats.org/officeDocument/2006/relationships/hyperlink" Target="https://doi.org/10.1145/3306346.3322985" TargetMode="External"/><Relationship Id="rId23" Type="http://schemas.openxmlformats.org/officeDocument/2006/relationships/hyperlink" Target="https://doi.org/10.1145/2601097.2601105" TargetMode="External"/><Relationship Id="rId28" Type="http://schemas.openxmlformats.org/officeDocument/2006/relationships/hyperlink" Target="https://doi.org/10.1109/38.946633"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145/3306346.3322985" TargetMode="External"/><Relationship Id="rId31" Type="http://schemas.openxmlformats.org/officeDocument/2006/relationships/hyperlink" Target="https://doi.org/10.1145/166117.1661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45/3203199" TargetMode="External"/><Relationship Id="rId22" Type="http://schemas.openxmlformats.org/officeDocument/2006/relationships/hyperlink" Target="https://doi.org/10.1145/2530691" TargetMode="External"/><Relationship Id="rId27" Type="http://schemas.openxmlformats.org/officeDocument/2006/relationships/hyperlink" Target="https://doi.org/10.1002/j.2637-496x.2017.tb01040.x" TargetMode="External"/><Relationship Id="rId30" Type="http://schemas.openxmlformats.org/officeDocument/2006/relationships/hyperlink" Target="https://doi.org/10.1145/91394.91449"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2CC5-08EB-4A8D-8DFB-DCC9B29D7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20874</TotalTime>
  <Pages>45</Pages>
  <Words>6608</Words>
  <Characters>37666</Characters>
  <Application>Microsoft Office Word</Application>
  <DocSecurity>0</DocSecurity>
  <Lines>313</Lines>
  <Paragraphs>88</Paragraphs>
  <ScaleCrop>false</ScaleCrop>
  <Company/>
  <LinksUpToDate>false</LinksUpToDate>
  <CharactersWithSpaces>44186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bob_x</dc:creator>
  <cp:keywords/>
  <dc:description/>
  <cp:lastModifiedBy>天舒 熊</cp:lastModifiedBy>
  <cp:revision>130</cp:revision>
  <dcterms:created xsi:type="dcterms:W3CDTF">2023-09-17T08:18:00Z</dcterms:created>
  <dcterms:modified xsi:type="dcterms:W3CDTF">2023-11-01T17:59:00Z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9517316A5A4344379F4F2CE37BF5FCDF_13</vt:lpwstr>
  </property>
</Properties>
</file>