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5A27" w14:textId="77777777" w:rsidR="00417D94" w:rsidRDefault="00000000">
      <w:pPr>
        <w:snapToGrid w:val="0"/>
        <w:spacing w:beforeLines="100" w:before="312"/>
        <w:jc w:val="center"/>
        <w:rPr>
          <w:sz w:val="36"/>
        </w:rPr>
      </w:pPr>
      <w:r>
        <w:rPr>
          <w:sz w:val="36"/>
        </w:rPr>
        <w:t>中国传媒大学研究生学位论文独创性声明</w:t>
      </w:r>
      <w:r>
        <w:rPr>
          <w:sz w:val="36"/>
        </w:rPr>
        <w:t> </w:t>
      </w:r>
    </w:p>
    <w:p w14:paraId="67CF608F" w14:textId="77777777" w:rsidR="00417D94" w:rsidRDefault="00417D94">
      <w:pPr>
        <w:snapToGrid w:val="0"/>
        <w:jc w:val="center"/>
        <w:rPr>
          <w:sz w:val="36"/>
        </w:rPr>
      </w:pPr>
    </w:p>
    <w:p w14:paraId="19B8385A" w14:textId="77777777" w:rsidR="00417D94" w:rsidRDefault="00000000">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4B568579" w14:textId="77777777" w:rsidR="00417D94" w:rsidRDefault="00417D94">
      <w:pPr>
        <w:snapToGrid w:val="0"/>
        <w:spacing w:line="400" w:lineRule="exact"/>
      </w:pPr>
    </w:p>
    <w:p w14:paraId="514B5650" w14:textId="77777777" w:rsidR="00417D94" w:rsidRDefault="00000000">
      <w:pPr>
        <w:snapToGrid w:val="0"/>
        <w:spacing w:line="400" w:lineRule="exact"/>
      </w:pPr>
      <w:r>
        <w:t>作者签名：导师签名：</w:t>
      </w:r>
    </w:p>
    <w:p w14:paraId="523B0F5B" w14:textId="77777777" w:rsidR="00417D94" w:rsidRDefault="00000000">
      <w:pPr>
        <w:snapToGrid w:val="0"/>
        <w:spacing w:line="400" w:lineRule="exact"/>
      </w:pPr>
      <w:r>
        <w:t> </w:t>
      </w:r>
    </w:p>
    <w:p w14:paraId="3EC8FD29" w14:textId="77777777" w:rsidR="00417D94" w:rsidRDefault="00000000">
      <w:pPr>
        <w:snapToGrid w:val="0"/>
        <w:spacing w:line="400" w:lineRule="exact"/>
      </w:pPr>
      <w:r>
        <w:t>签字日期：年月日签字日期：年月日</w:t>
      </w:r>
    </w:p>
    <w:p w14:paraId="3FA4E556" w14:textId="77777777" w:rsidR="00417D94" w:rsidRDefault="00000000">
      <w:pPr>
        <w:snapToGrid w:val="0"/>
      </w:pPr>
      <w:r>
        <w:t> </w:t>
      </w:r>
    </w:p>
    <w:p w14:paraId="33FEED1C" w14:textId="77777777" w:rsidR="00417D94" w:rsidRDefault="00417D94">
      <w:pPr>
        <w:snapToGrid w:val="0"/>
      </w:pPr>
    </w:p>
    <w:p w14:paraId="55DB0EFB" w14:textId="77777777" w:rsidR="00417D94" w:rsidRDefault="00417D94">
      <w:pPr>
        <w:snapToGrid w:val="0"/>
        <w:jc w:val="center"/>
        <w:rPr>
          <w:sz w:val="36"/>
        </w:rPr>
      </w:pPr>
    </w:p>
    <w:p w14:paraId="4FDA9BC8" w14:textId="77777777" w:rsidR="00417D94" w:rsidRDefault="00000000">
      <w:pPr>
        <w:snapToGrid w:val="0"/>
        <w:jc w:val="center"/>
        <w:rPr>
          <w:sz w:val="36"/>
        </w:rPr>
      </w:pPr>
      <w:r>
        <w:rPr>
          <w:sz w:val="36"/>
        </w:rPr>
        <w:t>学位论文版权使用授权书</w:t>
      </w:r>
    </w:p>
    <w:p w14:paraId="10973761" w14:textId="77777777" w:rsidR="00417D94" w:rsidRDefault="00000000">
      <w:pPr>
        <w:snapToGrid w:val="0"/>
        <w:rPr>
          <w:sz w:val="36"/>
          <w:szCs w:val="36"/>
        </w:rPr>
      </w:pPr>
      <w:r>
        <w:t> </w:t>
      </w:r>
    </w:p>
    <w:p w14:paraId="1434310C" w14:textId="77777777" w:rsidR="00417D94" w:rsidRDefault="00000000">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314A64AA" w14:textId="77777777" w:rsidR="00417D94" w:rsidRDefault="00000000">
      <w:pPr>
        <w:snapToGrid w:val="0"/>
        <w:spacing w:line="360" w:lineRule="auto"/>
        <w:ind w:left="480"/>
      </w:pPr>
      <w:r>
        <w:t>（保密的学位论文在解密后适用本授权书）</w:t>
      </w:r>
    </w:p>
    <w:p w14:paraId="0E04964B" w14:textId="77777777" w:rsidR="00417D94" w:rsidRDefault="00000000">
      <w:pPr>
        <w:snapToGrid w:val="0"/>
        <w:spacing w:line="400" w:lineRule="exact"/>
        <w:ind w:left="480"/>
      </w:pPr>
      <w:r>
        <w:t> </w:t>
      </w:r>
    </w:p>
    <w:p w14:paraId="61066820" w14:textId="77777777" w:rsidR="00417D94" w:rsidRDefault="00000000">
      <w:pPr>
        <w:snapToGrid w:val="0"/>
        <w:spacing w:line="400" w:lineRule="exact"/>
      </w:pPr>
      <w:r>
        <w:t>作者签名：导师签名：</w:t>
      </w:r>
    </w:p>
    <w:p w14:paraId="4DD58C42" w14:textId="77777777" w:rsidR="00417D94" w:rsidRDefault="00000000">
      <w:pPr>
        <w:snapToGrid w:val="0"/>
        <w:spacing w:line="400" w:lineRule="exact"/>
      </w:pPr>
      <w:r>
        <w:t> </w:t>
      </w:r>
    </w:p>
    <w:p w14:paraId="1472AAC1" w14:textId="77777777" w:rsidR="00417D94" w:rsidRDefault="00000000">
      <w:pPr>
        <w:rPr>
          <w:rFonts w:ascii="黑体" w:eastAsia="黑体" w:hAnsi="黑体" w:cs="黑体"/>
          <w:sz w:val="32"/>
          <w:szCs w:val="32"/>
        </w:rPr>
      </w:pPr>
      <w:r>
        <w:t>签字日期：年月日签字日期：年月日</w:t>
      </w:r>
    </w:p>
    <w:p w14:paraId="0E0D5B60" w14:textId="77777777" w:rsidR="00417D94" w:rsidRDefault="00000000">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31771A43" w14:textId="77777777" w:rsidR="00417D94" w:rsidRDefault="00417D94"/>
    <w:p w14:paraId="41375282" w14:textId="77777777" w:rsidR="00417D94" w:rsidRDefault="00000000">
      <w:pPr>
        <w:jc w:val="center"/>
        <w:rPr>
          <w:rFonts w:ascii="黑体" w:eastAsia="黑体" w:hAnsi="黑体" w:cs="黑体"/>
          <w:sz w:val="30"/>
          <w:szCs w:val="30"/>
        </w:rPr>
      </w:pPr>
      <w:r>
        <w:rPr>
          <w:rFonts w:ascii="黑体" w:eastAsia="黑体" w:hAnsi="黑体" w:cs="黑体" w:hint="eastAsia"/>
          <w:sz w:val="30"/>
          <w:szCs w:val="30"/>
        </w:rPr>
        <w:t>摘要</w:t>
      </w:r>
    </w:p>
    <w:p w14:paraId="02651AB9" w14:textId="77777777" w:rsidR="00417D94" w:rsidRDefault="00000000">
      <w:pPr>
        <w:ind w:firstLine="420"/>
      </w:pPr>
      <w:r>
        <w:t>随着虚拟现实（</w:t>
      </w:r>
      <w:r>
        <w:t>VR</w:t>
      </w:r>
      <w:r>
        <w:t>）和增强现实（</w:t>
      </w:r>
      <w:r>
        <w:t>AR</w:t>
      </w:r>
      <w:r>
        <w:t>）技术的不断发展，对于高质量视觉体验的需求越来越高。然而，提供高分辨率和高视觉保真度的实时视觉体验需要巨大的计算资源。本文</w:t>
      </w:r>
      <w:r>
        <w:rPr>
          <w:rFonts w:hint="eastAsia"/>
        </w:rPr>
        <w:t>进行了</w:t>
      </w:r>
      <w:r>
        <w:t>注视点渲染研究，利用人类视觉系统中注视点区域的敏感性和外围视野区域的模糊感知特性</w:t>
      </w:r>
      <w:r>
        <w:rPr>
          <w:rFonts w:hint="eastAsia"/>
        </w:rPr>
        <w:t>，</w:t>
      </w:r>
      <w:r>
        <w:t>通过创新地设计几何缓冲区的映射策略和帧间反走样算法，使得</w:t>
      </w:r>
      <w:r>
        <w:rPr>
          <w:rFonts w:hint="eastAsia"/>
        </w:rPr>
        <w:t>像素分布与人类视觉模型相匹配，同时减小了整个视野中的时间性不稳定。本文所介绍的方法</w:t>
      </w:r>
      <w:r>
        <w:t>在保证视觉效果的同时减少了计算资源的消耗，提升了渲染效率。实验结果表明，此方法能有效提高</w:t>
      </w:r>
      <w:r>
        <w:t>VR</w:t>
      </w:r>
      <w:r>
        <w:t>和</w:t>
      </w:r>
      <w:r>
        <w:t>AR</w:t>
      </w:r>
      <w:r>
        <w:t>等实时渲染系统的性能。</w:t>
      </w:r>
    </w:p>
    <w:p w14:paraId="7BBEE858" w14:textId="77777777" w:rsidR="00417D94" w:rsidRDefault="00417D94"/>
    <w:p w14:paraId="65E48090" w14:textId="77777777" w:rsidR="00417D94" w:rsidRDefault="00000000">
      <w:pPr>
        <w:rPr>
          <w:rFonts w:ascii="黑体" w:eastAsia="黑体" w:hAnsi="黑体" w:cs="黑体"/>
          <w:sz w:val="28"/>
          <w:szCs w:val="28"/>
        </w:rPr>
      </w:pPr>
      <w:r>
        <w:rPr>
          <w:rFonts w:ascii="黑体" w:eastAsia="黑体" w:hAnsi="黑体" w:cs="黑体" w:hint="eastAsia"/>
          <w:sz w:val="28"/>
          <w:szCs w:val="28"/>
        </w:rPr>
        <w:t>关键词：虚拟现实、注视点渲染、延迟渲染、图像映射、帧间反走样、视觉模型</w:t>
      </w:r>
    </w:p>
    <w:p w14:paraId="0A250A2E" w14:textId="77777777" w:rsidR="00417D94" w:rsidRDefault="00000000">
      <w:pPr>
        <w:jc w:val="center"/>
        <w:rPr>
          <w:rFonts w:ascii="黑体" w:eastAsia="黑体" w:hAnsi="黑体" w:cs="黑体"/>
          <w:sz w:val="32"/>
          <w:szCs w:val="32"/>
        </w:rPr>
      </w:pPr>
      <w:r>
        <w:rPr>
          <w:rFonts w:hint="eastAsia"/>
        </w:rPr>
        <w:br w:type="page"/>
      </w:r>
      <w:r>
        <w:rPr>
          <w:rFonts w:ascii="Times New Roman" w:eastAsia="黑体" w:hAnsi="Times New Roman" w:hint="eastAsia"/>
          <w:sz w:val="32"/>
          <w:szCs w:val="32"/>
        </w:rPr>
        <w:lastRenderedPageBreak/>
        <w:t>Research on</w:t>
      </w:r>
      <w:r>
        <w:rPr>
          <w:rFonts w:ascii="Times New Roman" w:eastAsia="黑体" w:hAnsi="Times New Roman"/>
          <w:sz w:val="32"/>
          <w:szCs w:val="32"/>
        </w:rPr>
        <w:t xml:space="preserve"> </w:t>
      </w:r>
      <w:r>
        <w:rPr>
          <w:rFonts w:ascii="Times New Roman" w:eastAsia="黑体" w:hAnsi="Times New Roman" w:hint="eastAsia"/>
          <w:sz w:val="32"/>
          <w:szCs w:val="32"/>
        </w:rPr>
        <w:t>foveated</w:t>
      </w:r>
      <w:r>
        <w:rPr>
          <w:rFonts w:ascii="Times New Roman" w:eastAsia="黑体" w:hAnsi="Times New Roman"/>
          <w:sz w:val="32"/>
          <w:szCs w:val="32"/>
        </w:rPr>
        <w:t xml:space="preserve"> rendering based on pixel-distributed matching visual model</w:t>
      </w:r>
    </w:p>
    <w:p w14:paraId="4A042F79" w14:textId="77777777" w:rsidR="00417D94" w:rsidRDefault="00417D94"/>
    <w:p w14:paraId="1D9E079B" w14:textId="77777777" w:rsidR="00417D94" w:rsidRDefault="00000000">
      <w:pPr>
        <w:widowControl/>
        <w:jc w:val="center"/>
        <w:rPr>
          <w:sz w:val="30"/>
          <w:szCs w:val="30"/>
        </w:rPr>
      </w:pPr>
      <w:r>
        <w:rPr>
          <w:rFonts w:ascii="Times New Roman" w:hAnsi="Times New Roman"/>
          <w:b/>
          <w:bCs/>
          <w:color w:val="000000"/>
          <w:kern w:val="0"/>
          <w:sz w:val="30"/>
          <w:szCs w:val="30"/>
          <w:lang w:bidi="ar"/>
        </w:rPr>
        <w:t>ABSTRACT</w:t>
      </w:r>
    </w:p>
    <w:p w14:paraId="52968632" w14:textId="77777777" w:rsidR="00417D94" w:rsidRDefault="00000000">
      <w:pPr>
        <w:ind w:firstLine="420"/>
      </w:pPr>
      <w:r>
        <w:t xml:space="preserve">As Virtual Reality (VR) and Augmented Reality (AR) technologies continue to evolve, there is an increasing demand for high-quality visual experiences. However, providing real-time visual experiences with high resolution and high visual fidelity requires huge computational resources. In this paper, we conduct a study on </w:t>
      </w:r>
      <w:r>
        <w:rPr>
          <w:rFonts w:hint="eastAsia"/>
        </w:rPr>
        <w:t>foveated r</w:t>
      </w:r>
      <w:r>
        <w:t>endering, which utilizes the sensitivity of the gaze point region and the ambiguity perception properties of the peripheral visual field region in the human visual system, and makes the pixel distribution match the human visual model by innovatively designing a geometric buffer mapping strategy and an inter-frame anti-alternation algorithm, while reducing the temporal instability throughout the visual field. The method presented in this paper reduces the consumption of computational resources and improves the rendering efficiency while ensuring the visual effect. Experimental results show that this method can effectively improve the performance of real-time rendering systems such as VR and AR.</w:t>
      </w:r>
      <w:r>
        <w:br/>
      </w:r>
    </w:p>
    <w:p w14:paraId="73A7118A" w14:textId="77777777" w:rsidR="00417D94" w:rsidRDefault="00417D94"/>
    <w:p w14:paraId="6B58D21E" w14:textId="77777777" w:rsidR="00417D94" w:rsidRDefault="00000000">
      <w:pPr>
        <w:widowControl/>
        <w:jc w:val="left"/>
        <w:rPr>
          <w:sz w:val="28"/>
          <w:szCs w:val="28"/>
        </w:rPr>
      </w:pPr>
      <w:r>
        <w:rPr>
          <w:rFonts w:ascii="Times New Roman" w:hAnsi="Times New Roman"/>
          <w:b/>
          <w:bCs/>
          <w:color w:val="000000"/>
          <w:kern w:val="0"/>
          <w:sz w:val="28"/>
          <w:szCs w:val="28"/>
          <w:lang w:bidi="ar"/>
        </w:rPr>
        <w:t>KEYWORDS</w:t>
      </w:r>
      <w:r>
        <w:rPr>
          <w:rFonts w:ascii="Times New Roman" w:hAnsi="Times New Roman" w:hint="eastAsia"/>
          <w:b/>
          <w:bCs/>
          <w:color w:val="000000"/>
          <w:kern w:val="0"/>
          <w:sz w:val="28"/>
          <w:szCs w:val="28"/>
          <w:lang w:bidi="ar"/>
        </w:rPr>
        <w:t>: virtual reality; foveated rendering, deferred rendering, image mapping, temporal anti-aliasing, human visual model</w:t>
      </w:r>
    </w:p>
    <w:p w14:paraId="4981B3D2" w14:textId="77777777" w:rsidR="00417D94" w:rsidRDefault="00000000">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0FDC60ED" w14:textId="77777777" w:rsidR="00417D94" w:rsidRDefault="00417D94">
      <w:pPr>
        <w:pStyle w:val="TOC1"/>
        <w:tabs>
          <w:tab w:val="right" w:leader="dot" w:pos="8306"/>
        </w:tabs>
      </w:pPr>
    </w:p>
    <w:p w14:paraId="147F0B37" w14:textId="77777777" w:rsidR="00417D94" w:rsidRDefault="00000000">
      <w:pPr>
        <w:pStyle w:val="TOC1"/>
        <w:tabs>
          <w:tab w:val="right" w:leader="dot" w:pos="8306"/>
        </w:tabs>
      </w:pPr>
      <w:r>
        <w:fldChar w:fldCharType="begin"/>
      </w:r>
      <w:r>
        <w:instrText xml:space="preserve">TOC \o "1-3" \h \u </w:instrText>
      </w:r>
      <w:r>
        <w:fldChar w:fldCharType="separate"/>
      </w:r>
      <w:hyperlink w:anchor="_Toc4751" w:history="1">
        <w:r>
          <w:rPr>
            <w:rFonts w:hint="eastAsia"/>
          </w:rPr>
          <w:t xml:space="preserve">1 </w:t>
        </w:r>
        <w:r>
          <w:rPr>
            <w:rFonts w:hint="eastAsia"/>
          </w:rPr>
          <w:t>绪论</w:t>
        </w:r>
        <w:r>
          <w:tab/>
        </w:r>
        <w:r>
          <w:fldChar w:fldCharType="begin"/>
        </w:r>
        <w:r>
          <w:instrText xml:space="preserve"> PAGEREF _Toc4751 \h </w:instrText>
        </w:r>
        <w:r>
          <w:fldChar w:fldCharType="separate"/>
        </w:r>
        <w:r>
          <w:t>7</w:t>
        </w:r>
        <w:r>
          <w:fldChar w:fldCharType="end"/>
        </w:r>
      </w:hyperlink>
    </w:p>
    <w:p w14:paraId="68DDE969" w14:textId="77777777" w:rsidR="00417D94" w:rsidRDefault="00000000">
      <w:pPr>
        <w:pStyle w:val="TOC2"/>
        <w:tabs>
          <w:tab w:val="right" w:leader="dot" w:pos="8306"/>
        </w:tabs>
        <w:ind w:left="480"/>
      </w:pPr>
      <w:hyperlink w:anchor="_Toc30173" w:history="1">
        <w:r>
          <w:rPr>
            <w:rFonts w:hint="eastAsia"/>
          </w:rPr>
          <w:t xml:space="preserve">1.1 </w:t>
        </w:r>
        <w:r>
          <w:rPr>
            <w:rFonts w:hint="eastAsia"/>
          </w:rPr>
          <w:t>研究背景与意义</w:t>
        </w:r>
        <w:r>
          <w:tab/>
        </w:r>
        <w:r>
          <w:fldChar w:fldCharType="begin"/>
        </w:r>
        <w:r>
          <w:instrText xml:space="preserve"> PAGEREF _Toc30173 \h </w:instrText>
        </w:r>
        <w:r>
          <w:fldChar w:fldCharType="separate"/>
        </w:r>
        <w:r>
          <w:t>7</w:t>
        </w:r>
        <w:r>
          <w:fldChar w:fldCharType="end"/>
        </w:r>
      </w:hyperlink>
    </w:p>
    <w:p w14:paraId="24505656" w14:textId="77777777" w:rsidR="00417D94" w:rsidRDefault="00000000">
      <w:pPr>
        <w:pStyle w:val="TOC2"/>
        <w:tabs>
          <w:tab w:val="right" w:leader="dot" w:pos="8306"/>
        </w:tabs>
        <w:ind w:left="480"/>
      </w:pPr>
      <w:hyperlink w:anchor="_Toc26324" w:history="1">
        <w:r>
          <w:rPr>
            <w:rFonts w:hint="eastAsia"/>
          </w:rPr>
          <w:t>1.</w:t>
        </w:r>
        <w:r>
          <w:t>3</w:t>
        </w:r>
        <w:r>
          <w:rPr>
            <w:rFonts w:hint="eastAsia"/>
          </w:rPr>
          <w:t xml:space="preserve"> </w:t>
        </w:r>
        <w:r>
          <w:rPr>
            <w:rFonts w:hint="eastAsia"/>
          </w:rPr>
          <w:t>研究内容</w:t>
        </w:r>
        <w:r>
          <w:tab/>
        </w:r>
        <w:r>
          <w:fldChar w:fldCharType="begin"/>
        </w:r>
        <w:r>
          <w:instrText xml:space="preserve"> PAGEREF _Toc26324 \h </w:instrText>
        </w:r>
        <w:r>
          <w:fldChar w:fldCharType="separate"/>
        </w:r>
        <w:r>
          <w:t>8</w:t>
        </w:r>
        <w:r>
          <w:fldChar w:fldCharType="end"/>
        </w:r>
      </w:hyperlink>
    </w:p>
    <w:p w14:paraId="390CD804" w14:textId="77777777" w:rsidR="00417D94" w:rsidRDefault="00000000">
      <w:pPr>
        <w:pStyle w:val="TOC2"/>
        <w:tabs>
          <w:tab w:val="right" w:leader="dot" w:pos="8306"/>
        </w:tabs>
        <w:ind w:left="480"/>
      </w:pPr>
      <w:hyperlink w:anchor="_Toc25977" w:history="1">
        <w:r>
          <w:rPr>
            <w:rFonts w:hint="eastAsia"/>
          </w:rPr>
          <w:t>1.</w:t>
        </w:r>
        <w:r>
          <w:t>4</w:t>
        </w:r>
        <w:r>
          <w:rPr>
            <w:rFonts w:hint="eastAsia"/>
          </w:rPr>
          <w:t xml:space="preserve"> </w:t>
        </w:r>
        <w:r>
          <w:rPr>
            <w:rFonts w:hint="eastAsia"/>
          </w:rPr>
          <w:t>论文结构</w:t>
        </w:r>
        <w:r>
          <w:tab/>
        </w:r>
        <w:r>
          <w:fldChar w:fldCharType="begin"/>
        </w:r>
        <w:r>
          <w:instrText xml:space="preserve"> PAGEREF _Toc25977 \h </w:instrText>
        </w:r>
        <w:r>
          <w:fldChar w:fldCharType="separate"/>
        </w:r>
        <w:r>
          <w:t>8</w:t>
        </w:r>
        <w:r>
          <w:fldChar w:fldCharType="end"/>
        </w:r>
      </w:hyperlink>
    </w:p>
    <w:p w14:paraId="3CC7E2D3" w14:textId="77777777" w:rsidR="00417D94" w:rsidRDefault="00000000">
      <w:pPr>
        <w:pStyle w:val="TOC2"/>
        <w:tabs>
          <w:tab w:val="right" w:leader="dot" w:pos="8306"/>
        </w:tabs>
        <w:ind w:left="480"/>
      </w:pPr>
      <w:hyperlink w:anchor="_Toc20066" w:history="1">
        <w:r>
          <w:rPr>
            <w:rFonts w:hint="eastAsia"/>
          </w:rPr>
          <w:t>1.</w:t>
        </w:r>
        <w:r>
          <w:t>5</w:t>
        </w:r>
        <w:r>
          <w:rPr>
            <w:rFonts w:hint="eastAsia"/>
          </w:rPr>
          <w:t xml:space="preserve"> </w:t>
        </w:r>
        <w:r>
          <w:rPr>
            <w:rFonts w:hint="eastAsia"/>
          </w:rPr>
          <w:t>研究方法</w:t>
        </w:r>
        <w:r>
          <w:tab/>
        </w:r>
        <w:r>
          <w:fldChar w:fldCharType="begin"/>
        </w:r>
        <w:r>
          <w:instrText xml:space="preserve"> PAGEREF _Toc20066 \h </w:instrText>
        </w:r>
        <w:r>
          <w:fldChar w:fldCharType="separate"/>
        </w:r>
        <w:r>
          <w:t>9</w:t>
        </w:r>
        <w:r>
          <w:fldChar w:fldCharType="end"/>
        </w:r>
      </w:hyperlink>
    </w:p>
    <w:p w14:paraId="5B559C88" w14:textId="77777777" w:rsidR="00417D94" w:rsidRDefault="00000000">
      <w:pPr>
        <w:pStyle w:val="TOC1"/>
        <w:tabs>
          <w:tab w:val="right" w:leader="dot" w:pos="8306"/>
        </w:tabs>
      </w:pPr>
      <w:hyperlink w:anchor="_Toc6346" w:history="1">
        <w:r>
          <w:rPr>
            <w:rFonts w:hint="eastAsia"/>
          </w:rPr>
          <w:t xml:space="preserve">2 </w:t>
        </w:r>
        <w:r>
          <w:rPr>
            <w:rFonts w:hint="eastAsia"/>
          </w:rPr>
          <w:t>注视点渲染系统的相关工作</w:t>
        </w:r>
        <w:r>
          <w:tab/>
        </w:r>
        <w:r>
          <w:fldChar w:fldCharType="begin"/>
        </w:r>
        <w:r>
          <w:instrText xml:space="preserve"> PAGEREF _Toc6346 \h </w:instrText>
        </w:r>
        <w:r>
          <w:fldChar w:fldCharType="separate"/>
        </w:r>
        <w:r>
          <w:t>9</w:t>
        </w:r>
        <w:r>
          <w:fldChar w:fldCharType="end"/>
        </w:r>
      </w:hyperlink>
    </w:p>
    <w:p w14:paraId="7E62EC1D" w14:textId="77777777" w:rsidR="00417D94" w:rsidRDefault="00000000">
      <w:pPr>
        <w:pStyle w:val="TOC2"/>
        <w:tabs>
          <w:tab w:val="right" w:leader="dot" w:pos="8306"/>
        </w:tabs>
        <w:ind w:left="480"/>
      </w:pPr>
      <w:hyperlink w:anchor="_Toc20246" w:history="1">
        <w:r>
          <w:rPr>
            <w:rFonts w:hint="eastAsia"/>
          </w:rPr>
          <w:t xml:space="preserve">2.1 </w:t>
        </w:r>
        <w:r>
          <w:rPr>
            <w:rFonts w:hint="eastAsia"/>
          </w:rPr>
          <w:t>视觉因素</w:t>
        </w:r>
        <w:r>
          <w:tab/>
        </w:r>
        <w:r>
          <w:fldChar w:fldCharType="begin"/>
        </w:r>
        <w:r>
          <w:instrText xml:space="preserve"> PAGEREF _Toc20246 \h </w:instrText>
        </w:r>
        <w:r>
          <w:fldChar w:fldCharType="separate"/>
        </w:r>
        <w:r>
          <w:t>10</w:t>
        </w:r>
        <w:r>
          <w:fldChar w:fldCharType="end"/>
        </w:r>
      </w:hyperlink>
    </w:p>
    <w:p w14:paraId="34090527" w14:textId="77777777" w:rsidR="00417D94" w:rsidRDefault="00000000">
      <w:pPr>
        <w:pStyle w:val="TOC3"/>
        <w:tabs>
          <w:tab w:val="right" w:leader="dot" w:pos="8306"/>
        </w:tabs>
        <w:ind w:left="960"/>
      </w:pPr>
      <w:hyperlink w:anchor="_Toc15578" w:history="1">
        <w:r>
          <w:rPr>
            <w:rFonts w:hint="eastAsia"/>
          </w:rPr>
          <w:t xml:space="preserve">2.1.1 </w:t>
        </w:r>
        <w:r>
          <w:rPr>
            <w:rFonts w:hint="eastAsia"/>
          </w:rPr>
          <w:t>视觉敏锐度</w:t>
        </w:r>
        <w:r>
          <w:tab/>
        </w:r>
        <w:r>
          <w:fldChar w:fldCharType="begin"/>
        </w:r>
        <w:r>
          <w:instrText xml:space="preserve"> PAGEREF _Toc15578 \h </w:instrText>
        </w:r>
        <w:r>
          <w:fldChar w:fldCharType="separate"/>
        </w:r>
        <w:r>
          <w:t>10</w:t>
        </w:r>
        <w:r>
          <w:fldChar w:fldCharType="end"/>
        </w:r>
      </w:hyperlink>
    </w:p>
    <w:p w14:paraId="5917834E" w14:textId="77777777" w:rsidR="00417D94" w:rsidRDefault="00000000">
      <w:pPr>
        <w:pStyle w:val="TOC3"/>
        <w:tabs>
          <w:tab w:val="right" w:leader="dot" w:pos="8306"/>
        </w:tabs>
        <w:ind w:left="960"/>
      </w:pPr>
      <w:hyperlink w:anchor="_Toc3588" w:history="1">
        <w:r>
          <w:rPr>
            <w:rFonts w:hint="eastAsia"/>
          </w:rPr>
          <w:t xml:space="preserve">2.1.2 </w:t>
        </w:r>
        <w:r>
          <w:rPr>
            <w:rFonts w:hint="eastAsia"/>
          </w:rPr>
          <w:t>对比度</w:t>
        </w:r>
        <w:r>
          <w:tab/>
        </w:r>
        <w:r>
          <w:fldChar w:fldCharType="begin"/>
        </w:r>
        <w:r>
          <w:instrText xml:space="preserve"> PAGEREF _Toc3588 \h </w:instrText>
        </w:r>
        <w:r>
          <w:fldChar w:fldCharType="separate"/>
        </w:r>
        <w:r>
          <w:t>11</w:t>
        </w:r>
        <w:r>
          <w:fldChar w:fldCharType="end"/>
        </w:r>
      </w:hyperlink>
    </w:p>
    <w:p w14:paraId="761534E1" w14:textId="77777777" w:rsidR="00417D94" w:rsidRDefault="00000000">
      <w:pPr>
        <w:pStyle w:val="TOC3"/>
        <w:tabs>
          <w:tab w:val="right" w:leader="dot" w:pos="8306"/>
        </w:tabs>
        <w:ind w:left="960"/>
      </w:pPr>
      <w:hyperlink w:anchor="_Toc9683" w:history="1">
        <w:r>
          <w:t>2</w:t>
        </w:r>
        <w:r>
          <w:rPr>
            <w:rFonts w:hint="eastAsia"/>
          </w:rPr>
          <w:t>.</w:t>
        </w:r>
        <w:r>
          <w:t>1</w:t>
        </w:r>
        <w:r>
          <w:rPr>
            <w:rFonts w:hint="eastAsia"/>
          </w:rPr>
          <w:t>.</w:t>
        </w:r>
        <w:r>
          <w:t>3</w:t>
        </w:r>
        <w:r>
          <w:rPr>
            <w:rFonts w:hint="eastAsia"/>
          </w:rPr>
          <w:t xml:space="preserve"> </w:t>
        </w:r>
        <w:r>
          <w:rPr>
            <w:rFonts w:hint="eastAsia"/>
          </w:rPr>
          <w:t>周边运动和闪烁感知</w:t>
        </w:r>
        <w:r>
          <w:tab/>
        </w:r>
        <w:r>
          <w:fldChar w:fldCharType="begin"/>
        </w:r>
        <w:r>
          <w:instrText xml:space="preserve"> PAGEREF _Toc9683 \h </w:instrText>
        </w:r>
        <w:r>
          <w:fldChar w:fldCharType="separate"/>
        </w:r>
        <w:r>
          <w:t>12</w:t>
        </w:r>
        <w:r>
          <w:fldChar w:fldCharType="end"/>
        </w:r>
      </w:hyperlink>
    </w:p>
    <w:p w14:paraId="269A8B02" w14:textId="77777777" w:rsidR="00417D94" w:rsidRDefault="00000000">
      <w:pPr>
        <w:pStyle w:val="TOC2"/>
        <w:tabs>
          <w:tab w:val="right" w:leader="dot" w:pos="8306"/>
        </w:tabs>
        <w:ind w:left="480"/>
      </w:pPr>
      <w:hyperlink w:anchor="_Toc27765" w:history="1">
        <w:r>
          <w:rPr>
            <w:rFonts w:hint="eastAsia"/>
          </w:rPr>
          <w:t xml:space="preserve">2.2 </w:t>
        </w:r>
        <w:r>
          <w:rPr>
            <w:rFonts w:hint="eastAsia"/>
          </w:rPr>
          <w:t>基于偏心率的视觉模型</w:t>
        </w:r>
        <w:r>
          <w:tab/>
        </w:r>
        <w:r>
          <w:fldChar w:fldCharType="begin"/>
        </w:r>
        <w:r>
          <w:instrText xml:space="preserve"> PAGEREF _Toc27765 \h </w:instrText>
        </w:r>
        <w:r>
          <w:fldChar w:fldCharType="separate"/>
        </w:r>
        <w:r>
          <w:t>12</w:t>
        </w:r>
        <w:r>
          <w:fldChar w:fldCharType="end"/>
        </w:r>
      </w:hyperlink>
    </w:p>
    <w:p w14:paraId="11D39B87" w14:textId="77777777" w:rsidR="00417D94" w:rsidRDefault="00000000">
      <w:pPr>
        <w:pStyle w:val="TOC3"/>
        <w:tabs>
          <w:tab w:val="right" w:leader="dot" w:pos="8306"/>
        </w:tabs>
        <w:ind w:left="960"/>
      </w:pPr>
      <w:hyperlink w:anchor="_Toc7827" w:history="1">
        <w:r>
          <w:rPr>
            <w:rFonts w:hint="eastAsia"/>
          </w:rPr>
          <w:t xml:space="preserve">2.2.1 </w:t>
        </w:r>
        <w:r>
          <w:rPr>
            <w:rFonts w:hint="eastAsia"/>
          </w:rPr>
          <w:t>双曲线模型</w:t>
        </w:r>
        <w:r>
          <w:tab/>
        </w:r>
        <w:r>
          <w:fldChar w:fldCharType="begin"/>
        </w:r>
        <w:r>
          <w:instrText xml:space="preserve"> PAGEREF _Toc7827 \h </w:instrText>
        </w:r>
        <w:r>
          <w:fldChar w:fldCharType="separate"/>
        </w:r>
        <w:r>
          <w:t>12</w:t>
        </w:r>
        <w:r>
          <w:fldChar w:fldCharType="end"/>
        </w:r>
      </w:hyperlink>
    </w:p>
    <w:p w14:paraId="7E024EAC" w14:textId="77777777" w:rsidR="00417D94" w:rsidRDefault="00000000">
      <w:pPr>
        <w:pStyle w:val="TOC3"/>
        <w:tabs>
          <w:tab w:val="right" w:leader="dot" w:pos="8306"/>
        </w:tabs>
        <w:ind w:left="960"/>
      </w:pPr>
      <w:hyperlink w:anchor="_Toc9624" w:history="1">
        <w:r>
          <w:rPr>
            <w:rFonts w:hint="eastAsia"/>
          </w:rPr>
          <w:t xml:space="preserve">2.2.2 </w:t>
        </w:r>
        <w:r>
          <w:rPr>
            <w:rFonts w:hint="eastAsia"/>
          </w:rPr>
          <w:t>线性模型</w:t>
        </w:r>
        <w:r>
          <w:tab/>
        </w:r>
        <w:r>
          <w:fldChar w:fldCharType="begin"/>
        </w:r>
        <w:r>
          <w:instrText xml:space="preserve"> PAGEREF _Toc9624 \h </w:instrText>
        </w:r>
        <w:r>
          <w:fldChar w:fldCharType="separate"/>
        </w:r>
        <w:r>
          <w:t>13</w:t>
        </w:r>
        <w:r>
          <w:fldChar w:fldCharType="end"/>
        </w:r>
      </w:hyperlink>
    </w:p>
    <w:p w14:paraId="39912B60" w14:textId="77777777" w:rsidR="00417D94" w:rsidRDefault="00000000">
      <w:pPr>
        <w:pStyle w:val="TOC3"/>
        <w:tabs>
          <w:tab w:val="right" w:leader="dot" w:pos="8306"/>
        </w:tabs>
        <w:ind w:left="960"/>
      </w:pPr>
      <w:hyperlink w:anchor="_Toc27160" w:history="1">
        <w:r>
          <w:rPr>
            <w:rFonts w:hint="eastAsia"/>
          </w:rPr>
          <w:t xml:space="preserve">2.2.3 </w:t>
        </w:r>
        <w:r>
          <w:rPr>
            <w:rFonts w:hint="eastAsia"/>
          </w:rPr>
          <w:t>对数模型</w:t>
        </w:r>
        <w:r>
          <w:tab/>
        </w:r>
        <w:r>
          <w:fldChar w:fldCharType="begin"/>
        </w:r>
        <w:r>
          <w:instrText xml:space="preserve"> PAGEREF _Toc27160 \h </w:instrText>
        </w:r>
        <w:r>
          <w:fldChar w:fldCharType="separate"/>
        </w:r>
        <w:r>
          <w:t>14</w:t>
        </w:r>
        <w:r>
          <w:fldChar w:fldCharType="end"/>
        </w:r>
      </w:hyperlink>
    </w:p>
    <w:p w14:paraId="1139C457" w14:textId="77777777" w:rsidR="00417D94" w:rsidRDefault="00000000">
      <w:pPr>
        <w:pStyle w:val="TOC3"/>
        <w:tabs>
          <w:tab w:val="right" w:leader="dot" w:pos="8306"/>
        </w:tabs>
        <w:ind w:left="960"/>
      </w:pPr>
      <w:hyperlink w:anchor="_Toc15070" w:history="1">
        <w:r>
          <w:rPr>
            <w:rFonts w:hint="eastAsia"/>
          </w:rPr>
          <w:t xml:space="preserve">2.2.4 </w:t>
        </w:r>
        <w:r>
          <w:rPr>
            <w:rFonts w:hint="eastAsia"/>
          </w:rPr>
          <w:t>其他模型</w:t>
        </w:r>
        <w:r>
          <w:tab/>
        </w:r>
        <w:r>
          <w:fldChar w:fldCharType="begin"/>
        </w:r>
        <w:r>
          <w:instrText xml:space="preserve"> PAGEREF _Toc15070 \h </w:instrText>
        </w:r>
        <w:r>
          <w:fldChar w:fldCharType="separate"/>
        </w:r>
        <w:r>
          <w:t>15</w:t>
        </w:r>
        <w:r>
          <w:fldChar w:fldCharType="end"/>
        </w:r>
      </w:hyperlink>
    </w:p>
    <w:p w14:paraId="702DF580" w14:textId="77777777" w:rsidR="00417D94" w:rsidRDefault="00000000">
      <w:pPr>
        <w:pStyle w:val="TOC2"/>
        <w:tabs>
          <w:tab w:val="right" w:leader="dot" w:pos="8306"/>
        </w:tabs>
        <w:ind w:left="480"/>
      </w:pPr>
      <w:hyperlink w:anchor="_Toc11497" w:history="1">
        <w:r>
          <w:rPr>
            <w:rFonts w:hint="eastAsia"/>
          </w:rPr>
          <w:t xml:space="preserve">2.3 </w:t>
        </w:r>
        <w:r>
          <w:rPr>
            <w:rFonts w:hint="eastAsia"/>
          </w:rPr>
          <w:t>注视点渲染空间</w:t>
        </w:r>
        <w:r>
          <w:tab/>
        </w:r>
        <w:r>
          <w:fldChar w:fldCharType="begin"/>
        </w:r>
        <w:r>
          <w:instrText xml:space="preserve"> PAGEREF _Toc11497 \h </w:instrText>
        </w:r>
        <w:r>
          <w:fldChar w:fldCharType="separate"/>
        </w:r>
        <w:r>
          <w:t>16</w:t>
        </w:r>
        <w:r>
          <w:fldChar w:fldCharType="end"/>
        </w:r>
      </w:hyperlink>
    </w:p>
    <w:p w14:paraId="2E301CAC" w14:textId="77777777" w:rsidR="00417D94" w:rsidRDefault="00000000">
      <w:pPr>
        <w:pStyle w:val="TOC3"/>
        <w:tabs>
          <w:tab w:val="right" w:leader="dot" w:pos="8306"/>
        </w:tabs>
        <w:ind w:left="960"/>
      </w:pPr>
      <w:hyperlink w:anchor="_Toc11295" w:history="1">
        <w:r>
          <w:rPr>
            <w:rFonts w:hint="eastAsia"/>
          </w:rPr>
          <w:t xml:space="preserve">2.3.1 </w:t>
        </w:r>
        <w:r>
          <w:rPr>
            <w:rFonts w:hint="eastAsia"/>
          </w:rPr>
          <w:t>屏幕空间</w:t>
        </w:r>
        <w:r>
          <w:tab/>
        </w:r>
        <w:r>
          <w:fldChar w:fldCharType="begin"/>
        </w:r>
        <w:r>
          <w:instrText xml:space="preserve"> PAGEREF _Toc11295 \h </w:instrText>
        </w:r>
        <w:r>
          <w:fldChar w:fldCharType="separate"/>
        </w:r>
        <w:r>
          <w:t>16</w:t>
        </w:r>
        <w:r>
          <w:fldChar w:fldCharType="end"/>
        </w:r>
      </w:hyperlink>
    </w:p>
    <w:p w14:paraId="06C8BEFD" w14:textId="77777777" w:rsidR="00417D94" w:rsidRDefault="00000000">
      <w:pPr>
        <w:pStyle w:val="TOC3"/>
        <w:tabs>
          <w:tab w:val="right" w:leader="dot" w:pos="8306"/>
        </w:tabs>
        <w:ind w:left="960"/>
      </w:pPr>
      <w:hyperlink w:anchor="_Toc26409" w:history="1">
        <w:r>
          <w:rPr>
            <w:rFonts w:hint="eastAsia"/>
          </w:rPr>
          <w:t xml:space="preserve">2.3.2 </w:t>
        </w:r>
        <w:r>
          <w:rPr>
            <w:rFonts w:hint="eastAsia"/>
          </w:rPr>
          <w:t>对象空间</w:t>
        </w:r>
        <w:r>
          <w:tab/>
        </w:r>
        <w:r>
          <w:fldChar w:fldCharType="begin"/>
        </w:r>
        <w:r>
          <w:instrText xml:space="preserve"> PAGEREF _Toc26409 \h </w:instrText>
        </w:r>
        <w:r>
          <w:fldChar w:fldCharType="separate"/>
        </w:r>
        <w:r>
          <w:t>16</w:t>
        </w:r>
        <w:r>
          <w:fldChar w:fldCharType="end"/>
        </w:r>
      </w:hyperlink>
    </w:p>
    <w:p w14:paraId="5E53B4D8" w14:textId="77777777" w:rsidR="00417D94" w:rsidRDefault="00000000">
      <w:pPr>
        <w:pStyle w:val="TOC2"/>
        <w:tabs>
          <w:tab w:val="right" w:leader="dot" w:pos="8306"/>
        </w:tabs>
        <w:ind w:left="480"/>
      </w:pPr>
      <w:hyperlink w:anchor="_Toc8694" w:history="1">
        <w:r>
          <w:rPr>
            <w:rFonts w:hint="eastAsia"/>
          </w:rPr>
          <w:t xml:space="preserve">2.4 </w:t>
        </w:r>
        <w:r>
          <w:rPr>
            <w:rFonts w:hint="eastAsia"/>
          </w:rPr>
          <w:t>注视点类型</w:t>
        </w:r>
        <w:r>
          <w:tab/>
        </w:r>
        <w:r>
          <w:fldChar w:fldCharType="begin"/>
        </w:r>
        <w:r>
          <w:instrText xml:space="preserve"> PAGEREF _Toc8694 \h </w:instrText>
        </w:r>
        <w:r>
          <w:fldChar w:fldCharType="separate"/>
        </w:r>
        <w:r>
          <w:t>17</w:t>
        </w:r>
        <w:r>
          <w:fldChar w:fldCharType="end"/>
        </w:r>
      </w:hyperlink>
    </w:p>
    <w:p w14:paraId="4C4DA081" w14:textId="77777777" w:rsidR="00417D94" w:rsidRDefault="00000000">
      <w:pPr>
        <w:pStyle w:val="TOC3"/>
        <w:tabs>
          <w:tab w:val="right" w:leader="dot" w:pos="8306"/>
        </w:tabs>
        <w:ind w:left="960"/>
      </w:pPr>
      <w:hyperlink w:anchor="_Toc11265" w:history="1">
        <w:r>
          <w:rPr>
            <w:rFonts w:hint="eastAsia"/>
          </w:rPr>
          <w:t xml:space="preserve">2.4.1 </w:t>
        </w:r>
        <w:r>
          <w:rPr>
            <w:rFonts w:hint="eastAsia"/>
          </w:rPr>
          <w:t>静态注视点</w:t>
        </w:r>
        <w:r>
          <w:tab/>
        </w:r>
        <w:r>
          <w:fldChar w:fldCharType="begin"/>
        </w:r>
        <w:r>
          <w:instrText xml:space="preserve"> PAGEREF _Toc11265 \h </w:instrText>
        </w:r>
        <w:r>
          <w:fldChar w:fldCharType="separate"/>
        </w:r>
        <w:r>
          <w:t>17</w:t>
        </w:r>
        <w:r>
          <w:fldChar w:fldCharType="end"/>
        </w:r>
      </w:hyperlink>
    </w:p>
    <w:p w14:paraId="59134D21" w14:textId="77777777" w:rsidR="00417D94" w:rsidRDefault="00000000">
      <w:pPr>
        <w:pStyle w:val="TOC3"/>
        <w:tabs>
          <w:tab w:val="right" w:leader="dot" w:pos="8306"/>
        </w:tabs>
        <w:ind w:left="960"/>
      </w:pPr>
      <w:hyperlink w:anchor="_Toc9210" w:history="1">
        <w:r>
          <w:rPr>
            <w:rFonts w:hint="eastAsia"/>
          </w:rPr>
          <w:t xml:space="preserve">2.4.2 </w:t>
        </w:r>
        <w:r>
          <w:rPr>
            <w:rFonts w:hint="eastAsia"/>
          </w:rPr>
          <w:t>动态注视点</w:t>
        </w:r>
        <w:r>
          <w:tab/>
        </w:r>
        <w:r>
          <w:fldChar w:fldCharType="begin"/>
        </w:r>
        <w:r>
          <w:instrText xml:space="preserve"> PAGEREF _Toc9210 \h </w:instrText>
        </w:r>
        <w:r>
          <w:fldChar w:fldCharType="separate"/>
        </w:r>
        <w:r>
          <w:t>18</w:t>
        </w:r>
        <w:r>
          <w:fldChar w:fldCharType="end"/>
        </w:r>
      </w:hyperlink>
    </w:p>
    <w:p w14:paraId="5482C3C7" w14:textId="77777777" w:rsidR="00417D94" w:rsidRDefault="00000000">
      <w:pPr>
        <w:pStyle w:val="TOC2"/>
        <w:tabs>
          <w:tab w:val="right" w:leader="dot" w:pos="8306"/>
        </w:tabs>
        <w:ind w:left="480"/>
      </w:pPr>
      <w:hyperlink w:anchor="_Toc26999" w:history="1">
        <w:r>
          <w:rPr>
            <w:rFonts w:hint="eastAsia"/>
          </w:rPr>
          <w:t xml:space="preserve">2.5 </w:t>
        </w:r>
        <w:r>
          <w:rPr>
            <w:rFonts w:hint="eastAsia"/>
          </w:rPr>
          <w:t>反走样</w:t>
        </w:r>
        <w:r>
          <w:tab/>
        </w:r>
        <w:r>
          <w:fldChar w:fldCharType="begin"/>
        </w:r>
        <w:r>
          <w:instrText xml:space="preserve"> PAGEREF _Toc26999 \h </w:instrText>
        </w:r>
        <w:r>
          <w:fldChar w:fldCharType="separate"/>
        </w:r>
        <w:r>
          <w:t>18</w:t>
        </w:r>
        <w:r>
          <w:fldChar w:fldCharType="end"/>
        </w:r>
      </w:hyperlink>
    </w:p>
    <w:p w14:paraId="379D8C80" w14:textId="77777777" w:rsidR="00417D94" w:rsidRDefault="00000000">
      <w:pPr>
        <w:pStyle w:val="TOC3"/>
        <w:tabs>
          <w:tab w:val="right" w:leader="dot" w:pos="8306"/>
        </w:tabs>
        <w:ind w:left="960"/>
      </w:pPr>
      <w:hyperlink w:anchor="_Toc441" w:history="1">
        <w:r>
          <w:rPr>
            <w:rFonts w:hint="eastAsia"/>
          </w:rPr>
          <w:t xml:space="preserve">2.5.1 </w:t>
        </w:r>
        <w:r>
          <w:rPr>
            <w:rFonts w:hint="eastAsia"/>
          </w:rPr>
          <w:t>避免走样</w:t>
        </w:r>
        <w:r>
          <w:tab/>
        </w:r>
        <w:r>
          <w:fldChar w:fldCharType="begin"/>
        </w:r>
        <w:r>
          <w:instrText xml:space="preserve"> PAGEREF _Toc441 \h </w:instrText>
        </w:r>
        <w:r>
          <w:fldChar w:fldCharType="separate"/>
        </w:r>
        <w:r>
          <w:t>19</w:t>
        </w:r>
        <w:r>
          <w:fldChar w:fldCharType="end"/>
        </w:r>
      </w:hyperlink>
    </w:p>
    <w:p w14:paraId="3223D0DC" w14:textId="77777777" w:rsidR="00417D94" w:rsidRDefault="00000000">
      <w:pPr>
        <w:pStyle w:val="TOC3"/>
        <w:tabs>
          <w:tab w:val="right" w:leader="dot" w:pos="8306"/>
        </w:tabs>
        <w:ind w:left="960"/>
      </w:pPr>
      <w:hyperlink w:anchor="_Toc27636" w:history="1">
        <w:r>
          <w:rPr>
            <w:rFonts w:hint="eastAsia"/>
          </w:rPr>
          <w:t xml:space="preserve">2.5.2 </w:t>
        </w:r>
        <w:r>
          <w:rPr>
            <w:rFonts w:hint="eastAsia"/>
          </w:rPr>
          <w:t>消除走样</w:t>
        </w:r>
        <w:r>
          <w:tab/>
        </w:r>
        <w:r>
          <w:fldChar w:fldCharType="begin"/>
        </w:r>
        <w:r>
          <w:instrText xml:space="preserve"> PAGEREF _Toc27636 \h </w:instrText>
        </w:r>
        <w:r>
          <w:fldChar w:fldCharType="separate"/>
        </w:r>
        <w:r>
          <w:t>19</w:t>
        </w:r>
        <w:r>
          <w:fldChar w:fldCharType="end"/>
        </w:r>
      </w:hyperlink>
    </w:p>
    <w:p w14:paraId="231050E7" w14:textId="77777777" w:rsidR="00417D94" w:rsidRDefault="00000000">
      <w:pPr>
        <w:pStyle w:val="TOC1"/>
        <w:tabs>
          <w:tab w:val="right" w:leader="dot" w:pos="8306"/>
        </w:tabs>
      </w:pPr>
      <w:hyperlink w:anchor="_Toc3241" w:history="1">
        <w:r>
          <w:rPr>
            <w:rFonts w:hint="eastAsia"/>
          </w:rPr>
          <w:t xml:space="preserve">3 </w:t>
        </w:r>
        <w:r>
          <w:rPr>
            <w:rFonts w:hint="eastAsia"/>
          </w:rPr>
          <w:t>方法理论与设计</w:t>
        </w:r>
        <w:r>
          <w:tab/>
        </w:r>
        <w:r>
          <w:fldChar w:fldCharType="begin"/>
        </w:r>
        <w:r>
          <w:instrText xml:space="preserve"> PAGEREF _Toc3241 \h </w:instrText>
        </w:r>
        <w:r>
          <w:fldChar w:fldCharType="separate"/>
        </w:r>
        <w:r>
          <w:t>21</w:t>
        </w:r>
        <w:r>
          <w:fldChar w:fldCharType="end"/>
        </w:r>
      </w:hyperlink>
    </w:p>
    <w:p w14:paraId="43FC849C" w14:textId="77777777" w:rsidR="00417D94" w:rsidRDefault="00000000">
      <w:pPr>
        <w:pStyle w:val="TOC2"/>
        <w:tabs>
          <w:tab w:val="right" w:leader="dot" w:pos="8306"/>
        </w:tabs>
        <w:ind w:left="480"/>
      </w:pPr>
      <w:hyperlink w:anchor="_Toc25352" w:history="1">
        <w:r>
          <w:rPr>
            <w:rFonts w:hint="eastAsia"/>
          </w:rPr>
          <w:t>3.</w:t>
        </w:r>
        <w:r>
          <w:t xml:space="preserve">1 </w:t>
        </w:r>
        <w:r>
          <w:rPr>
            <w:rFonts w:hint="eastAsia"/>
          </w:rPr>
          <w:t>基于矩形内部映射的图像变换</w:t>
        </w:r>
        <w:r>
          <w:tab/>
        </w:r>
        <w:r>
          <w:fldChar w:fldCharType="begin"/>
        </w:r>
        <w:r>
          <w:instrText xml:space="preserve"> PAGEREF _Toc25352 \h </w:instrText>
        </w:r>
        <w:r>
          <w:fldChar w:fldCharType="separate"/>
        </w:r>
        <w:r>
          <w:t>21</w:t>
        </w:r>
        <w:r>
          <w:fldChar w:fldCharType="end"/>
        </w:r>
      </w:hyperlink>
    </w:p>
    <w:p w14:paraId="49783494" w14:textId="77777777" w:rsidR="00417D94" w:rsidRDefault="00000000">
      <w:pPr>
        <w:pStyle w:val="TOC3"/>
        <w:tabs>
          <w:tab w:val="right" w:leader="dot" w:pos="8306"/>
        </w:tabs>
        <w:ind w:left="960"/>
      </w:pPr>
      <w:hyperlink w:anchor="_Toc29281" w:history="1">
        <w:r>
          <w:rPr>
            <w:rFonts w:hint="eastAsia"/>
          </w:rPr>
          <w:t>3</w:t>
        </w:r>
        <w:r>
          <w:t xml:space="preserve">.1.1 </w:t>
        </w:r>
        <w:r>
          <w:rPr>
            <w:rFonts w:hint="eastAsia"/>
          </w:rPr>
          <w:t>一维空间下的采样点分布</w:t>
        </w:r>
        <w:r>
          <w:tab/>
        </w:r>
        <w:r>
          <w:fldChar w:fldCharType="begin"/>
        </w:r>
        <w:r>
          <w:instrText xml:space="preserve"> PAGEREF _Toc29281 \h </w:instrText>
        </w:r>
        <w:r>
          <w:fldChar w:fldCharType="separate"/>
        </w:r>
        <w:r>
          <w:t>21</w:t>
        </w:r>
        <w:r>
          <w:fldChar w:fldCharType="end"/>
        </w:r>
      </w:hyperlink>
    </w:p>
    <w:p w14:paraId="2385FECA" w14:textId="77777777" w:rsidR="00417D94" w:rsidRDefault="00000000">
      <w:pPr>
        <w:pStyle w:val="TOC3"/>
        <w:tabs>
          <w:tab w:val="right" w:leader="dot" w:pos="8306"/>
        </w:tabs>
        <w:ind w:left="960"/>
      </w:pPr>
      <w:hyperlink w:anchor="_Toc6437" w:history="1">
        <w:r>
          <w:rPr>
            <w:rFonts w:hint="eastAsia"/>
          </w:rPr>
          <w:t>3.</w:t>
        </w:r>
        <w:r>
          <w:t>1</w:t>
        </w:r>
        <w:r>
          <w:rPr>
            <w:rFonts w:hint="eastAsia"/>
          </w:rPr>
          <w:t>.</w:t>
        </w:r>
        <w:r>
          <w:t xml:space="preserve">2 </w:t>
        </w:r>
        <w:r>
          <w:rPr>
            <w:rFonts w:hint="eastAsia"/>
          </w:rPr>
          <w:t>二维空间下的采样点映射</w:t>
        </w:r>
        <w:r>
          <w:tab/>
        </w:r>
        <w:r>
          <w:fldChar w:fldCharType="begin"/>
        </w:r>
        <w:r>
          <w:instrText xml:space="preserve"> PAGEREF _Toc6437 \h </w:instrText>
        </w:r>
        <w:r>
          <w:fldChar w:fldCharType="separate"/>
        </w:r>
        <w:r>
          <w:t>23</w:t>
        </w:r>
        <w:r>
          <w:fldChar w:fldCharType="end"/>
        </w:r>
      </w:hyperlink>
    </w:p>
    <w:p w14:paraId="668C49DF" w14:textId="77777777" w:rsidR="00417D94" w:rsidRDefault="00000000">
      <w:pPr>
        <w:pStyle w:val="TOC2"/>
        <w:tabs>
          <w:tab w:val="right" w:leader="dot" w:pos="8306"/>
        </w:tabs>
        <w:ind w:left="480"/>
      </w:pPr>
      <w:hyperlink w:anchor="_Toc16857" w:history="1">
        <w:r>
          <w:rPr>
            <w:rFonts w:hint="eastAsia"/>
          </w:rPr>
          <w:t>3.</w:t>
        </w:r>
        <w:r>
          <w:t xml:space="preserve">2 </w:t>
        </w:r>
        <w:r>
          <w:rPr>
            <w:rFonts w:hint="eastAsia"/>
          </w:rPr>
          <w:t>矩形与圆盘的区域映射</w:t>
        </w:r>
        <w:r>
          <w:tab/>
        </w:r>
        <w:r>
          <w:fldChar w:fldCharType="begin"/>
        </w:r>
        <w:r>
          <w:instrText xml:space="preserve"> PAGEREF _Toc16857 \h </w:instrText>
        </w:r>
        <w:r>
          <w:fldChar w:fldCharType="separate"/>
        </w:r>
        <w:r>
          <w:t>25</w:t>
        </w:r>
        <w:r>
          <w:fldChar w:fldCharType="end"/>
        </w:r>
      </w:hyperlink>
    </w:p>
    <w:p w14:paraId="2EFADC96" w14:textId="77777777" w:rsidR="00417D94" w:rsidRDefault="00000000">
      <w:pPr>
        <w:pStyle w:val="TOC3"/>
        <w:tabs>
          <w:tab w:val="right" w:leader="dot" w:pos="8306"/>
        </w:tabs>
        <w:ind w:left="960"/>
      </w:pPr>
      <w:hyperlink w:anchor="_Toc24175" w:history="1">
        <w:r>
          <w:rPr>
            <w:rFonts w:hint="eastAsia"/>
          </w:rPr>
          <w:t>3.</w:t>
        </w:r>
        <w:r>
          <w:t>2</w:t>
        </w:r>
        <w:r>
          <w:rPr>
            <w:rFonts w:hint="eastAsia"/>
          </w:rPr>
          <w:t>.</w:t>
        </w:r>
        <w:r>
          <w:t xml:space="preserve">1 </w:t>
        </w:r>
        <w:r>
          <w:rPr>
            <w:rFonts w:hint="eastAsia"/>
          </w:rPr>
          <w:t>矩形内部映射存在的问题</w:t>
        </w:r>
        <w:r>
          <w:tab/>
        </w:r>
        <w:r>
          <w:fldChar w:fldCharType="begin"/>
        </w:r>
        <w:r>
          <w:instrText xml:space="preserve"> PAGEREF _Toc24175 \h </w:instrText>
        </w:r>
        <w:r>
          <w:fldChar w:fldCharType="separate"/>
        </w:r>
        <w:r>
          <w:t>25</w:t>
        </w:r>
        <w:r>
          <w:fldChar w:fldCharType="end"/>
        </w:r>
      </w:hyperlink>
    </w:p>
    <w:p w14:paraId="68ED2189" w14:textId="77777777" w:rsidR="00417D94" w:rsidRDefault="00000000">
      <w:pPr>
        <w:pStyle w:val="TOC3"/>
        <w:tabs>
          <w:tab w:val="right" w:leader="dot" w:pos="8306"/>
        </w:tabs>
        <w:ind w:left="960"/>
      </w:pPr>
      <w:hyperlink w:anchor="_Toc15242" w:history="1">
        <w:r>
          <w:rPr>
            <w:rFonts w:hint="eastAsia"/>
          </w:rPr>
          <w:t>3.</w:t>
        </w:r>
        <w:r>
          <w:t>2</w:t>
        </w:r>
        <w:r>
          <w:rPr>
            <w:rFonts w:hint="eastAsia"/>
          </w:rPr>
          <w:t>.</w:t>
        </w:r>
        <w:r>
          <w:t>2</w:t>
        </w:r>
        <w:r>
          <w:rPr>
            <w:rFonts w:hint="eastAsia"/>
          </w:rPr>
          <w:t>矩形</w:t>
        </w:r>
        <w:r>
          <w:rPr>
            <w:rFonts w:hint="eastAsia"/>
          </w:rPr>
          <w:t>-</w:t>
        </w:r>
        <w:r>
          <w:rPr>
            <w:rFonts w:hint="eastAsia"/>
          </w:rPr>
          <w:t>圆盘映射的作用与所需性质</w:t>
        </w:r>
        <w:r>
          <w:tab/>
        </w:r>
        <w:r>
          <w:fldChar w:fldCharType="begin"/>
        </w:r>
        <w:r>
          <w:instrText xml:space="preserve"> PAGEREF _Toc15242 \h </w:instrText>
        </w:r>
        <w:r>
          <w:fldChar w:fldCharType="separate"/>
        </w:r>
        <w:r>
          <w:t>26</w:t>
        </w:r>
        <w:r>
          <w:fldChar w:fldCharType="end"/>
        </w:r>
      </w:hyperlink>
    </w:p>
    <w:p w14:paraId="6C2C63B4" w14:textId="77777777" w:rsidR="00417D94" w:rsidRDefault="00000000">
      <w:pPr>
        <w:pStyle w:val="TOC3"/>
        <w:tabs>
          <w:tab w:val="right" w:leader="dot" w:pos="8306"/>
        </w:tabs>
        <w:ind w:left="960"/>
      </w:pPr>
      <w:hyperlink w:anchor="_Toc26323" w:history="1">
        <w:r>
          <w:rPr>
            <w:rFonts w:hint="eastAsia"/>
          </w:rPr>
          <w:t>3.</w:t>
        </w:r>
        <w:r>
          <w:t>2</w:t>
        </w:r>
        <w:r>
          <w:rPr>
            <w:rFonts w:hint="eastAsia"/>
          </w:rPr>
          <w:t>.</w:t>
        </w:r>
        <w:r>
          <w:t xml:space="preserve">3 </w:t>
        </w:r>
        <w:r>
          <w:rPr>
            <w:rFonts w:hint="eastAsia"/>
          </w:rPr>
          <w:t>基于费尔南德斯圆角矩形的映射</w:t>
        </w:r>
        <w:r>
          <w:tab/>
        </w:r>
        <w:r>
          <w:fldChar w:fldCharType="begin"/>
        </w:r>
        <w:r>
          <w:instrText xml:space="preserve"> PAGEREF _Toc26323 \h </w:instrText>
        </w:r>
        <w:r>
          <w:fldChar w:fldCharType="separate"/>
        </w:r>
        <w:r>
          <w:t>29</w:t>
        </w:r>
        <w:r>
          <w:fldChar w:fldCharType="end"/>
        </w:r>
      </w:hyperlink>
    </w:p>
    <w:p w14:paraId="7DF9CF8C" w14:textId="77777777" w:rsidR="00417D94" w:rsidRDefault="00000000">
      <w:pPr>
        <w:pStyle w:val="TOC3"/>
        <w:tabs>
          <w:tab w:val="right" w:leader="dot" w:pos="8306"/>
        </w:tabs>
        <w:ind w:left="960"/>
      </w:pPr>
      <w:hyperlink w:anchor="_Toc19358" w:history="1">
        <w:r>
          <w:rPr>
            <w:rFonts w:hint="eastAsia"/>
          </w:rPr>
          <w:t>3.</w:t>
        </w:r>
        <w:r>
          <w:t>2</w:t>
        </w:r>
        <w:r>
          <w:rPr>
            <w:rFonts w:hint="eastAsia"/>
          </w:rPr>
          <w:t>.</w:t>
        </w:r>
        <w:r>
          <w:t xml:space="preserve">4 </w:t>
        </w:r>
        <w:r>
          <w:rPr>
            <w:rFonts w:hint="eastAsia"/>
          </w:rPr>
          <w:t>计算优化</w:t>
        </w:r>
        <w:r>
          <w:tab/>
        </w:r>
        <w:r>
          <w:fldChar w:fldCharType="begin"/>
        </w:r>
        <w:r>
          <w:instrText xml:space="preserve"> PAGEREF _Toc19358 \h </w:instrText>
        </w:r>
        <w:r>
          <w:fldChar w:fldCharType="separate"/>
        </w:r>
        <w:r>
          <w:t>34</w:t>
        </w:r>
        <w:r>
          <w:fldChar w:fldCharType="end"/>
        </w:r>
      </w:hyperlink>
    </w:p>
    <w:p w14:paraId="739C2212" w14:textId="77777777" w:rsidR="00417D94" w:rsidRDefault="00000000">
      <w:pPr>
        <w:pStyle w:val="TOC2"/>
        <w:tabs>
          <w:tab w:val="right" w:leader="dot" w:pos="8306"/>
        </w:tabs>
        <w:ind w:left="480"/>
      </w:pPr>
      <w:hyperlink w:anchor="_Toc7676" w:history="1">
        <w:r>
          <w:rPr>
            <w:rFonts w:hint="eastAsia"/>
          </w:rPr>
          <w:t>3.</w:t>
        </w:r>
        <w:r>
          <w:t xml:space="preserve">3 </w:t>
        </w:r>
        <w:r>
          <w:rPr>
            <w:rFonts w:hint="eastAsia"/>
          </w:rPr>
          <w:t>帧间反走样</w:t>
        </w:r>
        <w:r>
          <w:tab/>
        </w:r>
        <w:r>
          <w:fldChar w:fldCharType="begin"/>
        </w:r>
        <w:r>
          <w:instrText xml:space="preserve"> PAGEREF _Toc7676 \h </w:instrText>
        </w:r>
        <w:r>
          <w:fldChar w:fldCharType="separate"/>
        </w:r>
        <w:r>
          <w:t>35</w:t>
        </w:r>
        <w:r>
          <w:fldChar w:fldCharType="end"/>
        </w:r>
      </w:hyperlink>
    </w:p>
    <w:p w14:paraId="47D40240" w14:textId="77777777" w:rsidR="00417D94" w:rsidRDefault="00000000">
      <w:pPr>
        <w:pStyle w:val="TOC3"/>
        <w:tabs>
          <w:tab w:val="right" w:leader="dot" w:pos="8306"/>
        </w:tabs>
        <w:ind w:left="960"/>
      </w:pPr>
      <w:hyperlink w:anchor="_Toc18067" w:history="1">
        <w:r>
          <w:rPr>
            <w:rFonts w:hint="eastAsia"/>
          </w:rPr>
          <w:t>3.</w:t>
        </w:r>
        <w:r>
          <w:t>3</w:t>
        </w:r>
        <w:r>
          <w:rPr>
            <w:rFonts w:hint="eastAsia"/>
          </w:rPr>
          <w:t>.</w:t>
        </w:r>
        <w:r>
          <w:t>1</w:t>
        </w:r>
        <w:r>
          <w:rPr>
            <w:rFonts w:hint="eastAsia"/>
          </w:rPr>
          <w:t>背景介绍</w:t>
        </w:r>
        <w:r>
          <w:tab/>
        </w:r>
        <w:r>
          <w:fldChar w:fldCharType="begin"/>
        </w:r>
        <w:r>
          <w:instrText xml:space="preserve"> PAGEREF _Toc18067 \h </w:instrText>
        </w:r>
        <w:r>
          <w:fldChar w:fldCharType="separate"/>
        </w:r>
        <w:r>
          <w:t>36</w:t>
        </w:r>
        <w:r>
          <w:fldChar w:fldCharType="end"/>
        </w:r>
      </w:hyperlink>
    </w:p>
    <w:p w14:paraId="2B6738E1" w14:textId="77777777" w:rsidR="00417D94" w:rsidRDefault="00000000">
      <w:pPr>
        <w:pStyle w:val="TOC3"/>
        <w:tabs>
          <w:tab w:val="right" w:leader="dot" w:pos="8306"/>
        </w:tabs>
        <w:ind w:left="960"/>
      </w:pPr>
      <w:hyperlink w:anchor="_Toc18410" w:history="1">
        <w:r>
          <w:rPr>
            <w:rFonts w:hint="eastAsia"/>
          </w:rPr>
          <w:t>3</w:t>
        </w:r>
        <w:r>
          <w:t xml:space="preserve">.3.2 </w:t>
        </w:r>
        <w:r>
          <w:rPr>
            <w:rFonts w:hint="eastAsia"/>
          </w:rPr>
          <w:t>方差采样</w:t>
        </w:r>
        <w:r>
          <w:tab/>
        </w:r>
        <w:r>
          <w:fldChar w:fldCharType="begin"/>
        </w:r>
        <w:r>
          <w:instrText xml:space="preserve"> PAGEREF _Toc18410 \h </w:instrText>
        </w:r>
        <w:r>
          <w:fldChar w:fldCharType="separate"/>
        </w:r>
        <w:r>
          <w:t>37</w:t>
        </w:r>
        <w:r>
          <w:fldChar w:fldCharType="end"/>
        </w:r>
      </w:hyperlink>
    </w:p>
    <w:p w14:paraId="31FDCB3C" w14:textId="77777777" w:rsidR="00417D94" w:rsidRDefault="00000000">
      <w:pPr>
        <w:pStyle w:val="TOC3"/>
        <w:tabs>
          <w:tab w:val="right" w:leader="dot" w:pos="8306"/>
        </w:tabs>
        <w:ind w:left="960"/>
      </w:pPr>
      <w:hyperlink w:anchor="_Toc1021" w:history="1">
        <w:r>
          <w:rPr>
            <w:rFonts w:hint="eastAsia"/>
          </w:rPr>
          <w:t>3.</w:t>
        </w:r>
        <w:r>
          <w:t>3</w:t>
        </w:r>
        <w:r>
          <w:rPr>
            <w:rFonts w:hint="eastAsia"/>
          </w:rPr>
          <w:t>.</w:t>
        </w:r>
        <w:r>
          <w:t xml:space="preserve">3 </w:t>
        </w:r>
        <w:r>
          <w:rPr>
            <w:rFonts w:hint="eastAsia"/>
          </w:rPr>
          <w:t>减少时间不稳定性</w:t>
        </w:r>
        <w:r>
          <w:tab/>
        </w:r>
        <w:r>
          <w:fldChar w:fldCharType="begin"/>
        </w:r>
        <w:r>
          <w:instrText xml:space="preserve"> PAGEREF _Toc1021 \h </w:instrText>
        </w:r>
        <w:r>
          <w:fldChar w:fldCharType="separate"/>
        </w:r>
        <w:r>
          <w:t>38</w:t>
        </w:r>
        <w:r>
          <w:fldChar w:fldCharType="end"/>
        </w:r>
      </w:hyperlink>
    </w:p>
    <w:p w14:paraId="706A78D0" w14:textId="77777777" w:rsidR="00417D94" w:rsidRDefault="00000000">
      <w:pPr>
        <w:pStyle w:val="TOC1"/>
        <w:tabs>
          <w:tab w:val="right" w:leader="dot" w:pos="8306"/>
        </w:tabs>
      </w:pPr>
      <w:hyperlink w:anchor="_Toc15152" w:history="1">
        <w:r>
          <w:rPr>
            <w:rFonts w:hint="eastAsia"/>
          </w:rPr>
          <w:t xml:space="preserve">4 </w:t>
        </w:r>
        <w:r>
          <w:rPr>
            <w:rFonts w:hint="eastAsia"/>
          </w:rPr>
          <w:t>系统实现</w:t>
        </w:r>
        <w:r>
          <w:tab/>
        </w:r>
        <w:r>
          <w:fldChar w:fldCharType="begin"/>
        </w:r>
        <w:r>
          <w:instrText xml:space="preserve"> PAGEREF _Toc15152 \h </w:instrText>
        </w:r>
        <w:r>
          <w:fldChar w:fldCharType="separate"/>
        </w:r>
        <w:r>
          <w:t>39</w:t>
        </w:r>
        <w:r>
          <w:fldChar w:fldCharType="end"/>
        </w:r>
      </w:hyperlink>
    </w:p>
    <w:p w14:paraId="3FA9B05C" w14:textId="77777777" w:rsidR="00417D94" w:rsidRDefault="00000000">
      <w:pPr>
        <w:pStyle w:val="TOC2"/>
        <w:tabs>
          <w:tab w:val="right" w:leader="dot" w:pos="8306"/>
        </w:tabs>
        <w:ind w:left="480"/>
      </w:pPr>
      <w:hyperlink w:anchor="_Toc4167" w:history="1">
        <w:r>
          <w:rPr>
            <w:rFonts w:hint="eastAsia"/>
          </w:rPr>
          <w:t>4</w:t>
        </w:r>
        <w:r>
          <w:t xml:space="preserve">.1 </w:t>
        </w:r>
        <w:r>
          <w:rPr>
            <w:rFonts w:hint="eastAsia"/>
          </w:rPr>
          <w:t>延迟渲染管线</w:t>
        </w:r>
        <w:r>
          <w:tab/>
        </w:r>
        <w:r>
          <w:fldChar w:fldCharType="begin"/>
        </w:r>
        <w:r>
          <w:instrText xml:space="preserve"> PAGEREF _Toc4167 \h </w:instrText>
        </w:r>
        <w:r>
          <w:fldChar w:fldCharType="separate"/>
        </w:r>
        <w:r>
          <w:t>39</w:t>
        </w:r>
        <w:r>
          <w:fldChar w:fldCharType="end"/>
        </w:r>
      </w:hyperlink>
    </w:p>
    <w:p w14:paraId="6BDF895E" w14:textId="77777777" w:rsidR="00417D94" w:rsidRDefault="00000000">
      <w:pPr>
        <w:pStyle w:val="TOC3"/>
        <w:tabs>
          <w:tab w:val="right" w:leader="dot" w:pos="8306"/>
        </w:tabs>
        <w:ind w:left="960"/>
      </w:pPr>
      <w:hyperlink w:anchor="_Toc10783" w:history="1">
        <w:r>
          <w:rPr>
            <w:rFonts w:hint="eastAsia"/>
          </w:rPr>
          <w:t>4.</w:t>
        </w:r>
        <w:r>
          <w:t>1</w:t>
        </w:r>
        <w:r>
          <w:rPr>
            <w:rFonts w:hint="eastAsia"/>
          </w:rPr>
          <w:t>.</w:t>
        </w:r>
        <w:r>
          <w:t xml:space="preserve">1 </w:t>
        </w:r>
        <w:r>
          <w:rPr>
            <w:rFonts w:hint="eastAsia"/>
          </w:rPr>
          <w:t>几何缓冲区的填充</w:t>
        </w:r>
        <w:r>
          <w:tab/>
        </w:r>
        <w:r>
          <w:fldChar w:fldCharType="begin"/>
        </w:r>
        <w:r>
          <w:instrText xml:space="preserve"> PAGEREF _Toc10783 \h </w:instrText>
        </w:r>
        <w:r>
          <w:fldChar w:fldCharType="separate"/>
        </w:r>
        <w:r>
          <w:t>39</w:t>
        </w:r>
        <w:r>
          <w:fldChar w:fldCharType="end"/>
        </w:r>
      </w:hyperlink>
    </w:p>
    <w:p w14:paraId="79A5D414" w14:textId="77777777" w:rsidR="00417D94" w:rsidRDefault="00000000">
      <w:pPr>
        <w:pStyle w:val="TOC3"/>
        <w:tabs>
          <w:tab w:val="right" w:leader="dot" w:pos="8306"/>
        </w:tabs>
        <w:ind w:left="960"/>
      </w:pPr>
      <w:hyperlink w:anchor="_Toc13741" w:history="1">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r>
          <w:tab/>
        </w:r>
        <w:r>
          <w:fldChar w:fldCharType="begin"/>
        </w:r>
        <w:r>
          <w:instrText xml:space="preserve"> PAGEREF _Toc13741 \h </w:instrText>
        </w:r>
        <w:r>
          <w:fldChar w:fldCharType="separate"/>
        </w:r>
        <w:r>
          <w:t>41</w:t>
        </w:r>
        <w:r>
          <w:fldChar w:fldCharType="end"/>
        </w:r>
      </w:hyperlink>
    </w:p>
    <w:p w14:paraId="69C60A0F" w14:textId="77777777" w:rsidR="00417D94" w:rsidRDefault="00000000">
      <w:pPr>
        <w:pStyle w:val="TOC2"/>
        <w:tabs>
          <w:tab w:val="right" w:leader="dot" w:pos="8306"/>
        </w:tabs>
        <w:ind w:left="480"/>
      </w:pPr>
      <w:hyperlink w:anchor="_Toc23155" w:history="1">
        <w:r>
          <w:rPr>
            <w:rFonts w:hint="eastAsia"/>
          </w:rPr>
          <w:t>4.</w:t>
        </w:r>
        <w:r>
          <w:t xml:space="preserve">2 </w:t>
        </w:r>
        <w:r>
          <w:rPr>
            <w:rFonts w:hint="eastAsia"/>
          </w:rPr>
          <w:t>几何缓冲区的映射</w:t>
        </w:r>
        <w:r>
          <w:tab/>
        </w:r>
        <w:r>
          <w:fldChar w:fldCharType="begin"/>
        </w:r>
        <w:r>
          <w:instrText xml:space="preserve"> PAGEREF _Toc23155 \h </w:instrText>
        </w:r>
        <w:r>
          <w:fldChar w:fldCharType="separate"/>
        </w:r>
        <w:r>
          <w:t>42</w:t>
        </w:r>
        <w:r>
          <w:fldChar w:fldCharType="end"/>
        </w:r>
      </w:hyperlink>
    </w:p>
    <w:p w14:paraId="6D7CD8F5" w14:textId="77777777" w:rsidR="00417D94" w:rsidRDefault="00000000">
      <w:pPr>
        <w:pStyle w:val="TOC2"/>
        <w:tabs>
          <w:tab w:val="right" w:leader="dot" w:pos="8306"/>
        </w:tabs>
        <w:ind w:left="480"/>
      </w:pPr>
      <w:hyperlink w:anchor="_Toc23997" w:history="1">
        <w:r>
          <w:rPr>
            <w:rFonts w:hint="eastAsia"/>
          </w:rPr>
          <w:t>4.</w:t>
        </w:r>
        <w:r>
          <w:t xml:space="preserve">3 </w:t>
        </w:r>
        <w:r>
          <w:rPr>
            <w:rFonts w:hint="eastAsia"/>
          </w:rPr>
          <w:t>反走样的实现</w:t>
        </w:r>
        <w:r>
          <w:tab/>
        </w:r>
        <w:r>
          <w:fldChar w:fldCharType="begin"/>
        </w:r>
        <w:r>
          <w:instrText xml:space="preserve"> PAGEREF _Toc23997 \h </w:instrText>
        </w:r>
        <w:r>
          <w:fldChar w:fldCharType="separate"/>
        </w:r>
        <w:r>
          <w:t>42</w:t>
        </w:r>
        <w:r>
          <w:fldChar w:fldCharType="end"/>
        </w:r>
      </w:hyperlink>
    </w:p>
    <w:p w14:paraId="699C2457" w14:textId="77777777" w:rsidR="00417D94" w:rsidRDefault="00000000">
      <w:pPr>
        <w:pStyle w:val="TOC3"/>
        <w:tabs>
          <w:tab w:val="right" w:leader="dot" w:pos="8306"/>
        </w:tabs>
        <w:ind w:left="960"/>
      </w:pPr>
      <w:hyperlink w:anchor="_Toc26427" w:history="1">
        <w:r>
          <w:rPr>
            <w:rFonts w:hint="eastAsia"/>
          </w:rPr>
          <w:t>4.</w:t>
        </w:r>
        <w:r>
          <w:t>3</w:t>
        </w:r>
        <w:r>
          <w:rPr>
            <w:rFonts w:hint="eastAsia"/>
          </w:rPr>
          <w:t>.</w:t>
        </w:r>
        <w:r>
          <w:t xml:space="preserve">1 </w:t>
        </w:r>
        <w:r>
          <w:rPr>
            <w:rFonts w:hint="eastAsia"/>
          </w:rPr>
          <w:t>抖动当前帧</w:t>
        </w:r>
        <w:r>
          <w:tab/>
        </w:r>
        <w:r>
          <w:fldChar w:fldCharType="begin"/>
        </w:r>
        <w:r>
          <w:instrText xml:space="preserve"> PAGEREF _Toc26427 \h </w:instrText>
        </w:r>
        <w:r>
          <w:fldChar w:fldCharType="separate"/>
        </w:r>
        <w:r>
          <w:t>42</w:t>
        </w:r>
        <w:r>
          <w:fldChar w:fldCharType="end"/>
        </w:r>
      </w:hyperlink>
    </w:p>
    <w:p w14:paraId="262B08D4" w14:textId="77777777" w:rsidR="00417D94" w:rsidRDefault="00000000">
      <w:pPr>
        <w:pStyle w:val="TOC3"/>
        <w:tabs>
          <w:tab w:val="right" w:leader="dot" w:pos="8306"/>
        </w:tabs>
        <w:ind w:left="960"/>
      </w:pPr>
      <w:hyperlink w:anchor="_Toc6174" w:history="1">
        <w:r>
          <w:rPr>
            <w:rFonts w:hint="eastAsia"/>
          </w:rPr>
          <w:t>4</w:t>
        </w:r>
        <w:r>
          <w:t xml:space="preserve">.3.2 </w:t>
        </w:r>
        <w:r>
          <w:rPr>
            <w:rFonts w:hint="eastAsia"/>
          </w:rPr>
          <w:t>解析历史帧</w:t>
        </w:r>
        <w:r>
          <w:tab/>
        </w:r>
        <w:r>
          <w:fldChar w:fldCharType="begin"/>
        </w:r>
        <w:r>
          <w:instrText xml:space="preserve"> PAGEREF _Toc6174 \h </w:instrText>
        </w:r>
        <w:r>
          <w:fldChar w:fldCharType="separate"/>
        </w:r>
        <w:r>
          <w:t>43</w:t>
        </w:r>
        <w:r>
          <w:fldChar w:fldCharType="end"/>
        </w:r>
      </w:hyperlink>
    </w:p>
    <w:p w14:paraId="5BFE8415" w14:textId="77777777" w:rsidR="00417D94" w:rsidRDefault="00000000">
      <w:pPr>
        <w:pStyle w:val="TOC3"/>
        <w:tabs>
          <w:tab w:val="right" w:leader="dot" w:pos="8306"/>
        </w:tabs>
        <w:ind w:left="960"/>
      </w:pPr>
      <w:hyperlink w:anchor="_Toc18185" w:history="1">
        <w:r>
          <w:rPr>
            <w:rFonts w:hint="eastAsia"/>
          </w:rPr>
          <w:t>4.</w:t>
        </w:r>
        <w:r>
          <w:t>3</w:t>
        </w:r>
        <w:r>
          <w:rPr>
            <w:rFonts w:hint="eastAsia"/>
          </w:rPr>
          <w:t>.</w:t>
        </w:r>
        <w:r>
          <w:t xml:space="preserve">3 </w:t>
        </w:r>
        <w:r>
          <w:rPr>
            <w:rFonts w:hint="eastAsia"/>
          </w:rPr>
          <w:t>修正历史帧</w:t>
        </w:r>
        <w:r>
          <w:tab/>
        </w:r>
        <w:r>
          <w:fldChar w:fldCharType="begin"/>
        </w:r>
        <w:r>
          <w:instrText xml:space="preserve"> PAGEREF _Toc18185 \h </w:instrText>
        </w:r>
        <w:r>
          <w:fldChar w:fldCharType="separate"/>
        </w:r>
        <w:r>
          <w:t>45</w:t>
        </w:r>
        <w:r>
          <w:fldChar w:fldCharType="end"/>
        </w:r>
      </w:hyperlink>
    </w:p>
    <w:p w14:paraId="4E1DF604" w14:textId="77777777" w:rsidR="00417D94" w:rsidRDefault="00000000">
      <w:pPr>
        <w:pStyle w:val="TOC2"/>
        <w:tabs>
          <w:tab w:val="right" w:leader="dot" w:pos="8306"/>
        </w:tabs>
        <w:ind w:left="480"/>
      </w:pPr>
      <w:hyperlink w:anchor="_Toc14460" w:history="1">
        <w:r>
          <w:rPr>
            <w:rFonts w:hint="eastAsia"/>
          </w:rPr>
          <w:t>4.</w:t>
        </w:r>
        <w:r>
          <w:t xml:space="preserve">4 </w:t>
        </w:r>
        <w:r>
          <w:rPr>
            <w:rFonts w:hint="eastAsia"/>
          </w:rPr>
          <w:t>采样密度的计算与可视化</w:t>
        </w:r>
        <w:r>
          <w:tab/>
        </w:r>
        <w:r>
          <w:fldChar w:fldCharType="begin"/>
        </w:r>
        <w:r>
          <w:instrText xml:space="preserve"> PAGEREF _Toc14460 \h </w:instrText>
        </w:r>
        <w:r>
          <w:fldChar w:fldCharType="separate"/>
        </w:r>
        <w:r>
          <w:t>46</w:t>
        </w:r>
        <w:r>
          <w:fldChar w:fldCharType="end"/>
        </w:r>
      </w:hyperlink>
    </w:p>
    <w:p w14:paraId="6E73CFDE" w14:textId="77777777" w:rsidR="00417D94" w:rsidRDefault="00000000">
      <w:pPr>
        <w:pStyle w:val="TOC1"/>
        <w:tabs>
          <w:tab w:val="right" w:leader="dot" w:pos="8306"/>
        </w:tabs>
      </w:pPr>
      <w:hyperlink w:anchor="_Toc24759" w:history="1">
        <w:r>
          <w:rPr>
            <w:rFonts w:hint="eastAsia"/>
          </w:rPr>
          <w:t xml:space="preserve">5 </w:t>
        </w:r>
        <w:r>
          <w:rPr>
            <w:rFonts w:hint="eastAsia"/>
          </w:rPr>
          <w:t>实验</w:t>
        </w:r>
        <w:r>
          <w:tab/>
        </w:r>
        <w:r>
          <w:fldChar w:fldCharType="begin"/>
        </w:r>
        <w:r>
          <w:instrText xml:space="preserve"> PAGEREF _Toc24759 \h </w:instrText>
        </w:r>
        <w:r>
          <w:fldChar w:fldCharType="separate"/>
        </w:r>
        <w:r>
          <w:t>46</w:t>
        </w:r>
        <w:r>
          <w:fldChar w:fldCharType="end"/>
        </w:r>
      </w:hyperlink>
    </w:p>
    <w:p w14:paraId="6BFA5E5F" w14:textId="77777777" w:rsidR="00417D94" w:rsidRDefault="00000000">
      <w:pPr>
        <w:pStyle w:val="TOC2"/>
        <w:tabs>
          <w:tab w:val="right" w:leader="dot" w:pos="8306"/>
        </w:tabs>
        <w:ind w:left="480"/>
      </w:pPr>
      <w:hyperlink w:anchor="_Toc19643" w:history="1">
        <w:r>
          <w:rPr>
            <w:rFonts w:hint="eastAsia"/>
          </w:rPr>
          <w:t>5.</w:t>
        </w:r>
        <w:r>
          <w:t xml:space="preserve">1 </w:t>
        </w:r>
        <w:r>
          <w:rPr>
            <w:rFonts w:hint="eastAsia"/>
          </w:rPr>
          <w:t>客观实验</w:t>
        </w:r>
        <w:r>
          <w:tab/>
        </w:r>
        <w:r>
          <w:fldChar w:fldCharType="begin"/>
        </w:r>
        <w:r>
          <w:instrText xml:space="preserve"> PAGEREF _Toc19643 \h </w:instrText>
        </w:r>
        <w:r>
          <w:fldChar w:fldCharType="separate"/>
        </w:r>
        <w:r>
          <w:t>46</w:t>
        </w:r>
        <w:r>
          <w:fldChar w:fldCharType="end"/>
        </w:r>
      </w:hyperlink>
    </w:p>
    <w:p w14:paraId="7F0363E9" w14:textId="77777777" w:rsidR="00417D94" w:rsidRDefault="00000000">
      <w:pPr>
        <w:pStyle w:val="TOC2"/>
        <w:tabs>
          <w:tab w:val="right" w:leader="dot" w:pos="8306"/>
        </w:tabs>
        <w:ind w:left="480"/>
      </w:pPr>
      <w:hyperlink w:anchor="_Toc2883" w:history="1">
        <w:r>
          <w:rPr>
            <w:rFonts w:hint="eastAsia"/>
          </w:rPr>
          <w:t>5.</w:t>
        </w:r>
        <w:r>
          <w:t xml:space="preserve">2 </w:t>
        </w:r>
        <w:r>
          <w:rPr>
            <w:rFonts w:hint="eastAsia"/>
          </w:rPr>
          <w:t>用户实验与分析</w:t>
        </w:r>
        <w:r>
          <w:tab/>
        </w:r>
        <w:r>
          <w:fldChar w:fldCharType="begin"/>
        </w:r>
        <w:r>
          <w:instrText xml:space="preserve"> PAGEREF _Toc2883 \h </w:instrText>
        </w:r>
        <w:r>
          <w:fldChar w:fldCharType="separate"/>
        </w:r>
        <w:r>
          <w:t>46</w:t>
        </w:r>
        <w:r>
          <w:fldChar w:fldCharType="end"/>
        </w:r>
      </w:hyperlink>
    </w:p>
    <w:p w14:paraId="401CD629" w14:textId="77777777" w:rsidR="00417D94" w:rsidRDefault="00000000">
      <w:pPr>
        <w:pStyle w:val="TOC3"/>
        <w:tabs>
          <w:tab w:val="right" w:leader="dot" w:pos="8306"/>
        </w:tabs>
        <w:ind w:left="960"/>
      </w:pPr>
      <w:hyperlink w:anchor="_Toc30179" w:history="1">
        <w:r>
          <w:rPr>
            <w:rFonts w:hint="eastAsia"/>
          </w:rPr>
          <w:t>5.</w:t>
        </w:r>
        <w:r>
          <w:t>2</w:t>
        </w:r>
        <w:r>
          <w:rPr>
            <w:rFonts w:hint="eastAsia"/>
          </w:rPr>
          <w:t>.</w:t>
        </w:r>
        <w:r>
          <w:t xml:space="preserve">1 </w:t>
        </w:r>
        <w:r>
          <w:rPr>
            <w:rFonts w:hint="eastAsia"/>
          </w:rPr>
          <w:t>实验概述</w:t>
        </w:r>
        <w:r>
          <w:tab/>
        </w:r>
        <w:r>
          <w:fldChar w:fldCharType="begin"/>
        </w:r>
        <w:r>
          <w:instrText xml:space="preserve"> PAGEREF _Toc30179 \h </w:instrText>
        </w:r>
        <w:r>
          <w:fldChar w:fldCharType="separate"/>
        </w:r>
        <w:r>
          <w:t>46</w:t>
        </w:r>
        <w:r>
          <w:fldChar w:fldCharType="end"/>
        </w:r>
      </w:hyperlink>
    </w:p>
    <w:p w14:paraId="2D50A7C1" w14:textId="77777777" w:rsidR="00417D94" w:rsidRDefault="00000000">
      <w:pPr>
        <w:pStyle w:val="TOC3"/>
        <w:tabs>
          <w:tab w:val="right" w:leader="dot" w:pos="8306"/>
        </w:tabs>
        <w:ind w:left="960"/>
      </w:pPr>
      <w:hyperlink w:anchor="_Toc31114" w:history="1">
        <w:r>
          <w:rPr>
            <w:rFonts w:hint="eastAsia"/>
          </w:rPr>
          <w:t>5.</w:t>
        </w:r>
        <w:r>
          <w:t>2</w:t>
        </w:r>
        <w:r>
          <w:rPr>
            <w:rFonts w:hint="eastAsia"/>
          </w:rPr>
          <w:t>.</w:t>
        </w:r>
        <w:r>
          <w:t xml:space="preserve">2 </w:t>
        </w:r>
        <w:r>
          <w:rPr>
            <w:rFonts w:hint="eastAsia"/>
          </w:rPr>
          <w:t>实验流程</w:t>
        </w:r>
        <w:r>
          <w:tab/>
        </w:r>
        <w:r>
          <w:fldChar w:fldCharType="begin"/>
        </w:r>
        <w:r>
          <w:instrText xml:space="preserve"> PAGEREF _Toc31114 \h </w:instrText>
        </w:r>
        <w:r>
          <w:fldChar w:fldCharType="separate"/>
        </w:r>
        <w:r>
          <w:t>46</w:t>
        </w:r>
        <w:r>
          <w:fldChar w:fldCharType="end"/>
        </w:r>
      </w:hyperlink>
    </w:p>
    <w:p w14:paraId="0A406E2F" w14:textId="77777777" w:rsidR="00417D94" w:rsidRDefault="00000000">
      <w:pPr>
        <w:pStyle w:val="TOC3"/>
        <w:tabs>
          <w:tab w:val="right" w:leader="dot" w:pos="8306"/>
        </w:tabs>
        <w:ind w:left="960"/>
      </w:pPr>
      <w:hyperlink w:anchor="_Toc16749" w:history="1">
        <w:r>
          <w:rPr>
            <w:rFonts w:hint="eastAsia"/>
          </w:rPr>
          <w:t>5.</w:t>
        </w:r>
        <w:r>
          <w:t>2</w:t>
        </w:r>
        <w:r>
          <w:rPr>
            <w:rFonts w:hint="eastAsia"/>
          </w:rPr>
          <w:t>.</w:t>
        </w:r>
        <w:r>
          <w:t xml:space="preserve">3 </w:t>
        </w:r>
        <w:r>
          <w:rPr>
            <w:rFonts w:hint="eastAsia"/>
          </w:rPr>
          <w:t>实验人员</w:t>
        </w:r>
        <w:r>
          <w:tab/>
        </w:r>
        <w:r>
          <w:fldChar w:fldCharType="begin"/>
        </w:r>
        <w:r>
          <w:instrText xml:space="preserve"> PAGEREF _Toc16749 \h </w:instrText>
        </w:r>
        <w:r>
          <w:fldChar w:fldCharType="separate"/>
        </w:r>
        <w:r>
          <w:t>46</w:t>
        </w:r>
        <w:r>
          <w:fldChar w:fldCharType="end"/>
        </w:r>
      </w:hyperlink>
    </w:p>
    <w:p w14:paraId="64CFB718" w14:textId="77777777" w:rsidR="00417D94" w:rsidRDefault="00000000">
      <w:pPr>
        <w:pStyle w:val="TOC3"/>
        <w:tabs>
          <w:tab w:val="right" w:leader="dot" w:pos="8306"/>
        </w:tabs>
        <w:ind w:left="960"/>
      </w:pPr>
      <w:hyperlink w:anchor="_Toc22770" w:history="1">
        <w:r>
          <w:rPr>
            <w:rFonts w:hint="eastAsia"/>
          </w:rPr>
          <w:t>5.</w:t>
        </w:r>
        <w:r>
          <w:t>2</w:t>
        </w:r>
        <w:r>
          <w:rPr>
            <w:rFonts w:hint="eastAsia"/>
          </w:rPr>
          <w:t>.</w:t>
        </w:r>
        <w:r>
          <w:t xml:space="preserve">1 </w:t>
        </w:r>
        <w:r>
          <w:rPr>
            <w:rFonts w:hint="eastAsia"/>
          </w:rPr>
          <w:t>愉悦度</w:t>
        </w:r>
        <w:r>
          <w:tab/>
        </w:r>
        <w:r>
          <w:fldChar w:fldCharType="begin"/>
        </w:r>
        <w:r>
          <w:instrText xml:space="preserve"> PAGEREF _Toc22770 \h </w:instrText>
        </w:r>
        <w:r>
          <w:fldChar w:fldCharType="separate"/>
        </w:r>
        <w:r>
          <w:t>47</w:t>
        </w:r>
        <w:r>
          <w:fldChar w:fldCharType="end"/>
        </w:r>
      </w:hyperlink>
    </w:p>
    <w:p w14:paraId="0FB01280" w14:textId="77777777" w:rsidR="00417D94" w:rsidRDefault="00000000">
      <w:pPr>
        <w:pStyle w:val="TOC3"/>
        <w:tabs>
          <w:tab w:val="right" w:leader="dot" w:pos="8306"/>
        </w:tabs>
        <w:ind w:left="960"/>
      </w:pPr>
      <w:hyperlink w:anchor="_Toc19913" w:history="1">
        <w:r>
          <w:rPr>
            <w:rFonts w:hint="eastAsia"/>
          </w:rPr>
          <w:t>5.</w:t>
        </w:r>
        <w:r>
          <w:t>2</w:t>
        </w:r>
        <w:r>
          <w:rPr>
            <w:rFonts w:hint="eastAsia"/>
          </w:rPr>
          <w:t>.</w:t>
        </w:r>
        <w:r>
          <w:t xml:space="preserve">2 </w:t>
        </w:r>
        <w:r>
          <w:rPr>
            <w:rFonts w:hint="eastAsia"/>
          </w:rPr>
          <w:t>胜任感</w:t>
        </w:r>
        <w:r>
          <w:tab/>
        </w:r>
        <w:r>
          <w:fldChar w:fldCharType="begin"/>
        </w:r>
        <w:r>
          <w:instrText xml:space="preserve"> PAGEREF _Toc19913 \h </w:instrText>
        </w:r>
        <w:r>
          <w:fldChar w:fldCharType="separate"/>
        </w:r>
        <w:r>
          <w:t>47</w:t>
        </w:r>
        <w:r>
          <w:fldChar w:fldCharType="end"/>
        </w:r>
      </w:hyperlink>
    </w:p>
    <w:p w14:paraId="70C278DC" w14:textId="77777777" w:rsidR="00417D94" w:rsidRDefault="00000000">
      <w:pPr>
        <w:pStyle w:val="TOC3"/>
        <w:tabs>
          <w:tab w:val="right" w:leader="dot" w:pos="8306"/>
        </w:tabs>
        <w:ind w:left="960"/>
      </w:pPr>
      <w:hyperlink w:anchor="_Toc25151" w:history="1">
        <w:r>
          <w:rPr>
            <w:rFonts w:hint="eastAsia"/>
          </w:rPr>
          <w:t>5.</w:t>
        </w:r>
        <w:r>
          <w:t>2</w:t>
        </w:r>
        <w:r>
          <w:rPr>
            <w:rFonts w:hint="eastAsia"/>
          </w:rPr>
          <w:t>.</w:t>
        </w:r>
        <w:r>
          <w:t xml:space="preserve">3 </w:t>
        </w:r>
        <w:r>
          <w:rPr>
            <w:rFonts w:hint="eastAsia"/>
          </w:rPr>
          <w:t>努力感、重要性</w:t>
        </w:r>
        <w:r>
          <w:tab/>
        </w:r>
        <w:r>
          <w:fldChar w:fldCharType="begin"/>
        </w:r>
        <w:r>
          <w:instrText xml:space="preserve"> PAGEREF _Toc25151 \h </w:instrText>
        </w:r>
        <w:r>
          <w:fldChar w:fldCharType="separate"/>
        </w:r>
        <w:r>
          <w:t>47</w:t>
        </w:r>
        <w:r>
          <w:fldChar w:fldCharType="end"/>
        </w:r>
      </w:hyperlink>
    </w:p>
    <w:p w14:paraId="6FA3913F" w14:textId="77777777" w:rsidR="00417D94" w:rsidRDefault="00000000">
      <w:pPr>
        <w:pStyle w:val="TOC3"/>
        <w:tabs>
          <w:tab w:val="right" w:leader="dot" w:pos="8306"/>
        </w:tabs>
        <w:ind w:left="960"/>
      </w:pPr>
      <w:hyperlink w:anchor="_Toc7264" w:history="1">
        <w:r>
          <w:rPr>
            <w:rFonts w:hint="eastAsia"/>
          </w:rPr>
          <w:t>5.</w:t>
        </w:r>
        <w:r>
          <w:t>2</w:t>
        </w:r>
        <w:r>
          <w:rPr>
            <w:rFonts w:hint="eastAsia"/>
          </w:rPr>
          <w:t>.</w:t>
        </w:r>
        <w:r>
          <w:t>4</w:t>
        </w:r>
        <w:r>
          <w:rPr>
            <w:rFonts w:hint="eastAsia"/>
          </w:rPr>
          <w:t>压力、紧张</w:t>
        </w:r>
        <w:r>
          <w:tab/>
        </w:r>
        <w:r>
          <w:fldChar w:fldCharType="begin"/>
        </w:r>
        <w:r>
          <w:instrText xml:space="preserve"> PAGEREF _Toc7264 \h </w:instrText>
        </w:r>
        <w:r>
          <w:fldChar w:fldCharType="separate"/>
        </w:r>
        <w:r>
          <w:t>47</w:t>
        </w:r>
        <w:r>
          <w:fldChar w:fldCharType="end"/>
        </w:r>
      </w:hyperlink>
    </w:p>
    <w:p w14:paraId="71080B81" w14:textId="77777777" w:rsidR="00417D94" w:rsidRDefault="00000000">
      <w:pPr>
        <w:pStyle w:val="TOC1"/>
        <w:tabs>
          <w:tab w:val="right" w:leader="dot" w:pos="8306"/>
        </w:tabs>
      </w:pPr>
      <w:hyperlink w:anchor="_Toc22049" w:history="1">
        <w:r>
          <w:rPr>
            <w:rFonts w:hint="eastAsia"/>
          </w:rPr>
          <w:t xml:space="preserve">6 </w:t>
        </w:r>
        <w:r>
          <w:rPr>
            <w:rFonts w:hint="eastAsia"/>
          </w:rPr>
          <w:t>结论</w:t>
        </w:r>
        <w:r>
          <w:tab/>
        </w:r>
        <w:r>
          <w:fldChar w:fldCharType="begin"/>
        </w:r>
        <w:r>
          <w:instrText xml:space="preserve"> PAGEREF _Toc22049 \h </w:instrText>
        </w:r>
        <w:r>
          <w:fldChar w:fldCharType="separate"/>
        </w:r>
        <w:r>
          <w:t>47</w:t>
        </w:r>
        <w:r>
          <w:fldChar w:fldCharType="end"/>
        </w:r>
      </w:hyperlink>
    </w:p>
    <w:p w14:paraId="5CAE4A2C" w14:textId="77777777" w:rsidR="00417D94" w:rsidRDefault="00000000">
      <w:pPr>
        <w:pStyle w:val="TOC2"/>
        <w:tabs>
          <w:tab w:val="right" w:leader="dot" w:pos="8306"/>
        </w:tabs>
        <w:ind w:left="480"/>
      </w:pPr>
      <w:hyperlink w:anchor="_Toc17504" w:history="1">
        <w:r>
          <w:rPr>
            <w:rFonts w:hint="eastAsia"/>
          </w:rPr>
          <w:t>6</w:t>
        </w:r>
        <w:r>
          <w:t xml:space="preserve">.1 </w:t>
        </w:r>
        <w:r>
          <w:rPr>
            <w:rFonts w:hint="eastAsia"/>
          </w:rPr>
          <w:t>工作总结</w:t>
        </w:r>
        <w:r>
          <w:tab/>
        </w:r>
        <w:r>
          <w:fldChar w:fldCharType="begin"/>
        </w:r>
        <w:r>
          <w:instrText xml:space="preserve"> PAGEREF _Toc17504 \h </w:instrText>
        </w:r>
        <w:r>
          <w:fldChar w:fldCharType="separate"/>
        </w:r>
        <w:r>
          <w:t>47</w:t>
        </w:r>
        <w:r>
          <w:fldChar w:fldCharType="end"/>
        </w:r>
      </w:hyperlink>
    </w:p>
    <w:p w14:paraId="256072FF" w14:textId="77777777" w:rsidR="00417D94" w:rsidRDefault="00000000">
      <w:pPr>
        <w:pStyle w:val="TOC2"/>
        <w:tabs>
          <w:tab w:val="right" w:leader="dot" w:pos="8306"/>
        </w:tabs>
        <w:ind w:left="480"/>
      </w:pPr>
      <w:hyperlink w:anchor="_Toc27466" w:history="1">
        <w:r>
          <w:rPr>
            <w:rFonts w:hint="eastAsia"/>
          </w:rPr>
          <w:t>6</w:t>
        </w:r>
        <w:r>
          <w:t xml:space="preserve">.2 </w:t>
        </w:r>
        <w:r>
          <w:rPr>
            <w:rFonts w:hint="eastAsia"/>
          </w:rPr>
          <w:t>未来工作展望</w:t>
        </w:r>
        <w:r>
          <w:tab/>
        </w:r>
        <w:r>
          <w:fldChar w:fldCharType="begin"/>
        </w:r>
        <w:r>
          <w:instrText xml:space="preserve"> PAGEREF _Toc27466 \h </w:instrText>
        </w:r>
        <w:r>
          <w:fldChar w:fldCharType="separate"/>
        </w:r>
        <w:r>
          <w:t>47</w:t>
        </w:r>
        <w:r>
          <w:fldChar w:fldCharType="end"/>
        </w:r>
      </w:hyperlink>
    </w:p>
    <w:p w14:paraId="00286187" w14:textId="77777777" w:rsidR="00417D94" w:rsidRDefault="00000000">
      <w:pPr>
        <w:pStyle w:val="TOC1"/>
        <w:tabs>
          <w:tab w:val="right" w:leader="dot" w:pos="8306"/>
        </w:tabs>
      </w:pPr>
      <w:hyperlink w:anchor="_Toc5385" w:history="1">
        <w:r>
          <w:rPr>
            <w:rFonts w:hint="eastAsia"/>
          </w:rPr>
          <w:t>参考文献</w:t>
        </w:r>
        <w:r>
          <w:tab/>
        </w:r>
        <w:r>
          <w:fldChar w:fldCharType="begin"/>
        </w:r>
        <w:r>
          <w:instrText xml:space="preserve"> PAGEREF _Toc5385 \h </w:instrText>
        </w:r>
        <w:r>
          <w:fldChar w:fldCharType="separate"/>
        </w:r>
        <w:r>
          <w:t>48</w:t>
        </w:r>
        <w:r>
          <w:fldChar w:fldCharType="end"/>
        </w:r>
      </w:hyperlink>
    </w:p>
    <w:p w14:paraId="2832370F" w14:textId="77777777" w:rsidR="00417D94" w:rsidRDefault="00000000">
      <w:pPr>
        <w:pStyle w:val="TOC1"/>
        <w:tabs>
          <w:tab w:val="right" w:leader="dot" w:pos="8306"/>
        </w:tabs>
      </w:pPr>
      <w:hyperlink w:anchor="_Toc8708" w:history="1">
        <w:r>
          <w:rPr>
            <w:rFonts w:hint="eastAsia"/>
          </w:rPr>
          <w:t>附录</w:t>
        </w:r>
        <w:r>
          <w:tab/>
        </w:r>
        <w:r>
          <w:fldChar w:fldCharType="begin"/>
        </w:r>
        <w:r>
          <w:instrText xml:space="preserve"> PAGEREF _Toc8708 \h </w:instrText>
        </w:r>
        <w:r>
          <w:fldChar w:fldCharType="separate"/>
        </w:r>
        <w:r>
          <w:t>57</w:t>
        </w:r>
        <w:r>
          <w:fldChar w:fldCharType="end"/>
        </w:r>
      </w:hyperlink>
    </w:p>
    <w:p w14:paraId="29770B13" w14:textId="77777777" w:rsidR="00417D94" w:rsidRDefault="00000000">
      <w:pPr>
        <w:pStyle w:val="TOC1"/>
        <w:tabs>
          <w:tab w:val="right" w:leader="dot" w:pos="8306"/>
        </w:tabs>
      </w:pPr>
      <w:hyperlink w:anchor="_Toc27487" w:history="1">
        <w:r>
          <w:rPr>
            <w:rFonts w:hint="eastAsia"/>
          </w:rPr>
          <w:t>致谢</w:t>
        </w:r>
        <w:r>
          <w:tab/>
        </w:r>
        <w:r>
          <w:fldChar w:fldCharType="begin"/>
        </w:r>
        <w:r>
          <w:instrText xml:space="preserve"> PAGEREF _Toc27487 \h </w:instrText>
        </w:r>
        <w:r>
          <w:fldChar w:fldCharType="separate"/>
        </w:r>
        <w:r>
          <w:t>58</w:t>
        </w:r>
        <w:r>
          <w:fldChar w:fldCharType="end"/>
        </w:r>
      </w:hyperlink>
    </w:p>
    <w:p w14:paraId="56F0AAD9" w14:textId="77777777" w:rsidR="00417D94" w:rsidRDefault="00000000">
      <w:r>
        <w:fldChar w:fldCharType="end"/>
      </w:r>
    </w:p>
    <w:p w14:paraId="69D72397" w14:textId="77777777" w:rsidR="00417D94" w:rsidRDefault="00000000">
      <w:pPr>
        <w:pStyle w:val="1"/>
      </w:pPr>
      <w:r>
        <w:rPr>
          <w:rFonts w:hint="eastAsia"/>
        </w:rPr>
        <w:br w:type="page"/>
      </w:r>
      <w:bookmarkStart w:id="0" w:name="_Toc4751"/>
      <w:r>
        <w:rPr>
          <w:rFonts w:hint="eastAsia"/>
        </w:rPr>
        <w:lastRenderedPageBreak/>
        <w:t xml:space="preserve">1 </w:t>
      </w:r>
      <w:r>
        <w:rPr>
          <w:rFonts w:hint="eastAsia"/>
        </w:rPr>
        <w:t>绪论</w:t>
      </w:r>
      <w:bookmarkEnd w:id="0"/>
    </w:p>
    <w:p w14:paraId="7D7D531C" w14:textId="77777777" w:rsidR="00417D94" w:rsidRDefault="00000000">
      <w:pPr>
        <w:pStyle w:val="2"/>
      </w:pPr>
      <w:bookmarkStart w:id="1" w:name="_Toc30173"/>
      <w:r>
        <w:rPr>
          <w:rFonts w:hint="eastAsia"/>
        </w:rPr>
        <w:t xml:space="preserve">1.1 </w:t>
      </w:r>
      <w:r>
        <w:rPr>
          <w:rFonts w:hint="eastAsia"/>
        </w:rPr>
        <w:t>研究背景与意义</w:t>
      </w:r>
      <w:bookmarkEnd w:id="1"/>
    </w:p>
    <w:p w14:paraId="4BEA51A8" w14:textId="77777777" w:rsidR="00417D94" w:rsidRDefault="00000000">
      <w:r>
        <w:rPr>
          <w:rFonts w:hint="eastAsia"/>
        </w:rPr>
        <w:t>虚拟现实和增强现实（</w:t>
      </w:r>
      <w:r>
        <w:rPr>
          <w:rFonts w:hint="eastAsia"/>
        </w:rPr>
        <w:t xml:space="preserve">VR </w:t>
      </w:r>
      <w:r>
        <w:rPr>
          <w:rFonts w:hint="eastAsia"/>
        </w:rPr>
        <w:t>和</w:t>
      </w:r>
      <w:r>
        <w:rPr>
          <w:rFonts w:hint="eastAsia"/>
        </w:rPr>
        <w:t xml:space="preserve"> AR</w:t>
      </w:r>
      <w:r>
        <w:rPr>
          <w:rFonts w:hint="eastAsia"/>
        </w:rPr>
        <w:t>）将改变以计算机为媒介的通信方式，在科学、工程、医学、艺术、娱乐、商业和其他一些领域都有令人兴奋的应用。尽管目前的</w:t>
      </w:r>
      <w:r>
        <w:rPr>
          <w:rFonts w:hint="eastAsia"/>
        </w:rPr>
        <w:t xml:space="preserve"> VR </w:t>
      </w:r>
      <w:r>
        <w:rPr>
          <w:rFonts w:hint="eastAsia"/>
        </w:rPr>
        <w:t>和</w:t>
      </w:r>
      <w:r>
        <w:rPr>
          <w:rFonts w:hint="eastAsia"/>
        </w:rPr>
        <w:t xml:space="preserve"> AR </w:t>
      </w:r>
      <w:r>
        <w:rPr>
          <w:rFonts w:hint="eastAsia"/>
        </w:rPr>
        <w:t>系统给人留下了深刻印象，但在分辨率、视野和延迟等几个方面，它们还无法与我们在现实世界中体验到的视觉保真度相媲美。实时提供如此高质量的视觉体验需要巨大的计算资源，而最近用于渲染的硬件和软件系统都有所改进。</w:t>
      </w:r>
    </w:p>
    <w:p w14:paraId="774B76DD" w14:textId="77777777" w:rsidR="00417D94" w:rsidRDefault="00417D94"/>
    <w:p w14:paraId="251BFE83" w14:textId="77777777" w:rsidR="00417D94" w:rsidRDefault="00000000">
      <w:r>
        <w:rPr>
          <w:rFonts w:hint="eastAsia"/>
        </w:rPr>
        <w:t>人类视觉系统（</w:t>
      </w:r>
      <w:r>
        <w:rPr>
          <w:rFonts w:hint="eastAsia"/>
        </w:rPr>
        <w:t>HVS</w:t>
      </w:r>
      <w:r>
        <w:rPr>
          <w:rFonts w:hint="eastAsia"/>
        </w:rPr>
        <w:t>）只能感知投射到人类视网膜中心</w:t>
      </w:r>
      <w:r>
        <w:rPr>
          <w:rFonts w:hint="eastAsia"/>
        </w:rPr>
        <w:t>--</w:t>
      </w:r>
      <w:r>
        <w:rPr>
          <w:rFonts w:hint="eastAsia"/>
        </w:rPr>
        <w:t>眼窝上的极小部分场景的最细节。视敏度是观察细节的能力，用光栅分辨率（周期</w:t>
      </w:r>
      <w:r>
        <w:rPr>
          <w:rFonts w:hint="eastAsia"/>
        </w:rPr>
        <w:t>/</w:t>
      </w:r>
      <w:r>
        <w:rPr>
          <w:rFonts w:hint="eastAsia"/>
        </w:rPr>
        <w:t>度）来衡量。研究表明，虽然</w:t>
      </w:r>
      <w:r>
        <w:rPr>
          <w:rFonts w:hint="eastAsia"/>
        </w:rPr>
        <w:t xml:space="preserve"> HVS </w:t>
      </w:r>
      <w:r>
        <w:rPr>
          <w:rFonts w:hint="eastAsia"/>
        </w:rPr>
        <w:t>有很宽的视野（</w:t>
      </w:r>
      <w:r>
        <w:rPr>
          <w:rFonts w:hint="eastAsia"/>
        </w:rPr>
        <w:t>FOV</w:t>
      </w:r>
      <w:r>
        <w:rPr>
          <w:rFonts w:hint="eastAsia"/>
        </w:rPr>
        <w:t>），但视敏度最高的区域（也称为注视点区域）仅覆盖视野中央</w:t>
      </w:r>
      <w:r>
        <w:rPr>
          <w:rFonts w:hint="eastAsia"/>
        </w:rPr>
        <w:t xml:space="preserve"> 2.5</w:t>
      </w:r>
      <w:r>
        <w:rPr>
          <w:rFonts w:hint="eastAsia"/>
        </w:rPr>
        <w:t>°</w:t>
      </w:r>
      <w:r>
        <w:rPr>
          <w:rFonts w:hint="eastAsia"/>
        </w:rPr>
        <w:t xml:space="preserve"> [Levin </w:t>
      </w:r>
      <w:r>
        <w:rPr>
          <w:rFonts w:hint="eastAsia"/>
        </w:rPr>
        <w:t>等人，</w:t>
      </w:r>
      <w:r>
        <w:rPr>
          <w:rFonts w:hint="eastAsia"/>
        </w:rPr>
        <w:t xml:space="preserve">2011 </w:t>
      </w:r>
      <w:r>
        <w:rPr>
          <w:rFonts w:hint="eastAsia"/>
        </w:rPr>
        <w:t>年</w:t>
      </w:r>
      <w:r>
        <w:rPr>
          <w:rFonts w:hint="eastAsia"/>
        </w:rPr>
        <w:t>]</w:t>
      </w:r>
      <w:r>
        <w:rPr>
          <w:rFonts w:hint="eastAsia"/>
        </w:rPr>
        <w:t>。眼窝是指在人类视觉系统中，视敏度随角度距离的增加而降低</w:t>
      </w:r>
      <w:r>
        <w:rPr>
          <w:rFonts w:hint="eastAsia"/>
        </w:rPr>
        <w:t xml:space="preserve">[Guenter </w:t>
      </w:r>
      <w:r>
        <w:rPr>
          <w:rFonts w:hint="eastAsia"/>
        </w:rPr>
        <w:t>等人，</w:t>
      </w:r>
      <w:r>
        <w:rPr>
          <w:rFonts w:hint="eastAsia"/>
        </w:rPr>
        <w:t>2012]</w:t>
      </w:r>
      <w:r>
        <w:rPr>
          <w:rFonts w:hint="eastAsia"/>
        </w:rPr>
        <w:t>。注视点渲染利用了人类视觉系统的这一特点，有选择性地渲染图形帧的一小部分细节。注视点渲染使我们能够在现代</w:t>
      </w:r>
      <w:r>
        <w:rPr>
          <w:rFonts w:hint="eastAsia"/>
        </w:rPr>
        <w:t xml:space="preserve"> VR </w:t>
      </w:r>
      <w:r>
        <w:rPr>
          <w:rFonts w:hint="eastAsia"/>
        </w:rPr>
        <w:t>和</w:t>
      </w:r>
      <w:r>
        <w:rPr>
          <w:rFonts w:hint="eastAsia"/>
        </w:rPr>
        <w:t xml:space="preserve"> AR </w:t>
      </w:r>
      <w:r>
        <w:rPr>
          <w:rFonts w:hint="eastAsia"/>
        </w:rPr>
        <w:t>设备上协调高视觉逼真度、交互帧频和低功耗这几个相互冲突的目标。随着注视点渲染成为未来</w:t>
      </w:r>
      <w:r>
        <w:rPr>
          <w:rFonts w:hint="eastAsia"/>
        </w:rPr>
        <w:t xml:space="preserve"> AR/VR </w:t>
      </w:r>
      <w:r>
        <w:rPr>
          <w:rFonts w:hint="eastAsia"/>
        </w:rPr>
        <w:t>设备不可或缺的一部分，了解该领域的现状和观察到的趋势非常重要。</w:t>
      </w:r>
    </w:p>
    <w:p w14:paraId="3DFFB5BE" w14:textId="77777777" w:rsidR="00417D94" w:rsidRDefault="00417D94"/>
    <w:p w14:paraId="15EBFECF" w14:textId="77777777" w:rsidR="00417D94" w:rsidRDefault="00000000">
      <w:r>
        <w:rPr>
          <w:rFonts w:hint="eastAsia"/>
        </w:rPr>
        <w:t>注视点渲染的概念并不新鲜。视线相关显示的早期实现应用于建筑飞行模拟器</w:t>
      </w:r>
      <w:r>
        <w:rPr>
          <w:rFonts w:hint="eastAsia"/>
        </w:rPr>
        <w:t xml:space="preserve">[Murphy </w:t>
      </w:r>
      <w:r>
        <w:rPr>
          <w:rFonts w:hint="eastAsia"/>
        </w:rPr>
        <w:t>和</w:t>
      </w:r>
      <w:r>
        <w:rPr>
          <w:rFonts w:hint="eastAsia"/>
        </w:rPr>
        <w:t xml:space="preserve"> Duchowski 2001]</w:t>
      </w:r>
      <w:r>
        <w:rPr>
          <w:rFonts w:hint="eastAsia"/>
        </w:rPr>
        <w:t>。不过，早期的方法主要是针对桌面显示器开发的，其视场大约为</w:t>
      </w:r>
      <w:r>
        <w:rPr>
          <w:rFonts w:hint="eastAsia"/>
        </w:rPr>
        <w:t xml:space="preserve"> 43</w:t>
      </w:r>
      <w:r>
        <w:rPr>
          <w:rFonts w:hint="eastAsia"/>
        </w:rPr>
        <w:t>°</w:t>
      </w:r>
      <w:r>
        <w:rPr>
          <w:rFonts w:hint="eastAsia"/>
        </w:rPr>
        <w:t xml:space="preserve"> </w:t>
      </w:r>
      <w:r>
        <w:rPr>
          <w:rFonts w:hint="eastAsia"/>
        </w:rPr>
        <w:t>×</w:t>
      </w:r>
      <w:r>
        <w:rPr>
          <w:rFonts w:hint="eastAsia"/>
        </w:rPr>
        <w:t xml:space="preserve"> 33</w:t>
      </w:r>
      <w:r>
        <w:rPr>
          <w:rFonts w:hint="eastAsia"/>
        </w:rPr>
        <w:t>°</w:t>
      </w:r>
      <w:r>
        <w:rPr>
          <w:rFonts w:hint="eastAsia"/>
        </w:rPr>
        <w:t xml:space="preserve"> [Murphy </w:t>
      </w:r>
      <w:r>
        <w:rPr>
          <w:rFonts w:hint="eastAsia"/>
        </w:rPr>
        <w:t>和</w:t>
      </w:r>
      <w:r>
        <w:rPr>
          <w:rFonts w:hint="eastAsia"/>
        </w:rPr>
        <w:t xml:space="preserve"> Duchowski 2001]</w:t>
      </w:r>
      <w:r>
        <w:rPr>
          <w:rFonts w:hint="eastAsia"/>
        </w:rPr>
        <w:t>。这只是现代宽视场显示器的一小部分。</w:t>
      </w:r>
      <w:r>
        <w:rPr>
          <w:rFonts w:hint="eastAsia"/>
        </w:rPr>
        <w:t xml:space="preserve">Patney </w:t>
      </w:r>
      <w:r>
        <w:rPr>
          <w:rFonts w:hint="eastAsia"/>
        </w:rPr>
        <w:t>等人</w:t>
      </w:r>
      <w:r>
        <w:rPr>
          <w:rFonts w:hint="eastAsia"/>
        </w:rPr>
        <w:t>[2016b]</w:t>
      </w:r>
      <w:r>
        <w:rPr>
          <w:rFonts w:hint="eastAsia"/>
        </w:rPr>
        <w:t>比较了从小视角智能手机屏幕到大视角</w:t>
      </w:r>
      <w:r>
        <w:rPr>
          <w:rFonts w:hint="eastAsia"/>
        </w:rPr>
        <w:t xml:space="preserve"> VR HMD </w:t>
      </w:r>
      <w:r>
        <w:rPr>
          <w:rFonts w:hint="eastAsia"/>
        </w:rPr>
        <w:t>等各种设备外围区域像素的百分比，如图</w:t>
      </w:r>
      <w:r>
        <w:rPr>
          <w:rFonts w:hint="eastAsia"/>
        </w:rPr>
        <w:t xml:space="preserve"> 1 </w:t>
      </w:r>
      <w:r>
        <w:rPr>
          <w:rFonts w:hint="eastAsia"/>
        </w:rPr>
        <w:t>所示。因此，与传统显示器相比，注视点渲染对于</w:t>
      </w:r>
      <w:r>
        <w:rPr>
          <w:rFonts w:hint="eastAsia"/>
        </w:rPr>
        <w:t xml:space="preserve"> VR </w:t>
      </w:r>
      <w:r>
        <w:rPr>
          <w:rFonts w:hint="eastAsia"/>
        </w:rPr>
        <w:t>和</w:t>
      </w:r>
      <w:r>
        <w:rPr>
          <w:rFonts w:hint="eastAsia"/>
        </w:rPr>
        <w:t xml:space="preserve"> AR </w:t>
      </w:r>
      <w:r>
        <w:rPr>
          <w:rFonts w:hint="eastAsia"/>
        </w:rPr>
        <w:t>头显变得更加重要。在</w:t>
      </w:r>
      <w:r>
        <w:rPr>
          <w:rFonts w:hint="eastAsia"/>
        </w:rPr>
        <w:t xml:space="preserve"> 100</w:t>
      </w:r>
      <w:r>
        <w:rPr>
          <w:rFonts w:hint="eastAsia"/>
        </w:rPr>
        <w:t>°</w:t>
      </w:r>
      <w:r>
        <w:rPr>
          <w:rFonts w:hint="eastAsia"/>
        </w:rPr>
        <w:t xml:space="preserve"> </w:t>
      </w:r>
      <w:r>
        <w:rPr>
          <w:rFonts w:hint="eastAsia"/>
        </w:rPr>
        <w:t>宽</w:t>
      </w:r>
      <w:r>
        <w:rPr>
          <w:rFonts w:hint="eastAsia"/>
        </w:rPr>
        <w:t xml:space="preserve"> FOV HMD </w:t>
      </w:r>
      <w:r>
        <w:rPr>
          <w:rFonts w:hint="eastAsia"/>
        </w:rPr>
        <w:t>中，只有</w:t>
      </w:r>
      <w:r>
        <w:rPr>
          <w:rFonts w:hint="eastAsia"/>
        </w:rPr>
        <w:t xml:space="preserve"> 4% </w:t>
      </w:r>
      <w:r>
        <w:rPr>
          <w:rFonts w:hint="eastAsia"/>
        </w:rPr>
        <w:t>的屏幕像素位于注视点区域，其余的都位于外围区域</w:t>
      </w:r>
      <w:r>
        <w:rPr>
          <w:rFonts w:hint="eastAsia"/>
        </w:rPr>
        <w:t xml:space="preserve">[Patney </w:t>
      </w:r>
      <w:r>
        <w:rPr>
          <w:rFonts w:hint="eastAsia"/>
        </w:rPr>
        <w:t>等人，</w:t>
      </w:r>
      <w:r>
        <w:rPr>
          <w:rFonts w:hint="eastAsia"/>
        </w:rPr>
        <w:t>2016b]</w:t>
      </w:r>
      <w:r>
        <w:rPr>
          <w:rFonts w:hint="eastAsia"/>
        </w:rPr>
        <w:t>。当如此大比例的像素位于低视力的外围区域时，高效的渲染系统可以</w:t>
      </w:r>
      <w:r>
        <w:rPr>
          <w:rFonts w:hint="eastAsia"/>
        </w:rPr>
        <w:lastRenderedPageBreak/>
        <w:t>通过分配较少的资源来渲染外围区域，从而获得显著的计算增益。</w:t>
      </w:r>
    </w:p>
    <w:p w14:paraId="199B1B4D" w14:textId="77777777" w:rsidR="00417D94" w:rsidRDefault="00417D94"/>
    <w:p w14:paraId="6E73131D" w14:textId="77777777" w:rsidR="00417D94" w:rsidRDefault="00000000">
      <w:r>
        <w:rPr>
          <w:rFonts w:hint="eastAsia"/>
        </w:rPr>
        <w:t>直到最近，实时眼球跟踪技术在</w:t>
      </w:r>
      <w:r>
        <w:rPr>
          <w:rFonts w:hint="eastAsia"/>
        </w:rPr>
        <w:t xml:space="preserve"> VR </w:t>
      </w:r>
      <w:r>
        <w:rPr>
          <w:rFonts w:hint="eastAsia"/>
        </w:rPr>
        <w:t>和</w:t>
      </w:r>
      <w:r>
        <w:rPr>
          <w:rFonts w:hint="eastAsia"/>
        </w:rPr>
        <w:t xml:space="preserve"> AR </w:t>
      </w:r>
      <w:r>
        <w:rPr>
          <w:rFonts w:hint="eastAsia"/>
        </w:rPr>
        <w:t>头显中还不常见。不过，随着眼球追踪器在</w:t>
      </w:r>
      <w:r>
        <w:rPr>
          <w:rFonts w:hint="eastAsia"/>
        </w:rPr>
        <w:t xml:space="preserve"> VR </w:t>
      </w:r>
      <w:r>
        <w:rPr>
          <w:rFonts w:hint="eastAsia"/>
        </w:rPr>
        <w:t>和</w:t>
      </w:r>
      <w:r>
        <w:rPr>
          <w:rFonts w:hint="eastAsia"/>
        </w:rPr>
        <w:t xml:space="preserve"> AR </w:t>
      </w:r>
      <w:r>
        <w:rPr>
          <w:rFonts w:hint="eastAsia"/>
        </w:rPr>
        <w:t>头显中的商品化，注视点渲染技术可以利用注视点信息动态地以较高的质量渲染注视点区域，而以较低的质量渲染其他区域，同时不会降低图像的整体感知质量。随着未来</w:t>
      </w:r>
      <w:r>
        <w:rPr>
          <w:rFonts w:hint="eastAsia"/>
        </w:rPr>
        <w:t xml:space="preserve"> HMD </w:t>
      </w:r>
      <w:r>
        <w:rPr>
          <w:rFonts w:hint="eastAsia"/>
        </w:rPr>
        <w:t>的</w:t>
      </w:r>
      <w:r>
        <w:rPr>
          <w:rFonts w:hint="eastAsia"/>
        </w:rPr>
        <w:t xml:space="preserve"> FOV </w:t>
      </w:r>
      <w:r>
        <w:rPr>
          <w:rFonts w:hint="eastAsia"/>
        </w:rPr>
        <w:t>增加到与人类视觉相匹配，注视点渲染将成为大规模、宽</w:t>
      </w:r>
      <w:r>
        <w:rPr>
          <w:rFonts w:hint="eastAsia"/>
        </w:rPr>
        <w:t xml:space="preserve"> FOV </w:t>
      </w:r>
      <w:r>
        <w:rPr>
          <w:rFonts w:hint="eastAsia"/>
        </w:rPr>
        <w:t>和高分辨率</w:t>
      </w:r>
      <w:r>
        <w:rPr>
          <w:rFonts w:hint="eastAsia"/>
        </w:rPr>
        <w:t xml:space="preserve"> VR </w:t>
      </w:r>
      <w:r>
        <w:rPr>
          <w:rFonts w:hint="eastAsia"/>
        </w:rPr>
        <w:t>和</w:t>
      </w:r>
      <w:r>
        <w:rPr>
          <w:rFonts w:hint="eastAsia"/>
        </w:rPr>
        <w:t xml:space="preserve"> AR </w:t>
      </w:r>
      <w:r>
        <w:rPr>
          <w:rFonts w:hint="eastAsia"/>
        </w:rPr>
        <w:t>显示屏实时渲染</w:t>
      </w:r>
      <w:r>
        <w:rPr>
          <w:rFonts w:hint="eastAsia"/>
        </w:rPr>
        <w:t xml:space="preserve"> 3D </w:t>
      </w:r>
      <w:r>
        <w:rPr>
          <w:rFonts w:hint="eastAsia"/>
        </w:rPr>
        <w:t>图形管道的重要组成部分。</w:t>
      </w:r>
      <w:r>
        <w:rPr>
          <w:rFonts w:hint="eastAsia"/>
        </w:rPr>
        <w:t xml:space="preserve">4D </w:t>
      </w:r>
      <w:r>
        <w:rPr>
          <w:rFonts w:hint="eastAsia"/>
        </w:rPr>
        <w:t>光场是注视点渲染技术的另一个受益领域。</w:t>
      </w:r>
      <w:r>
        <w:rPr>
          <w:rFonts w:hint="eastAsia"/>
        </w:rPr>
        <w:t xml:space="preserve">4D </w:t>
      </w:r>
      <w:r>
        <w:rPr>
          <w:rFonts w:hint="eastAsia"/>
        </w:rPr>
        <w:t>光场从多个摄像机位置表现一个场景，这会产生巨大的渲染成本。</w:t>
      </w:r>
      <w:r>
        <w:rPr>
          <w:rFonts w:hint="eastAsia"/>
        </w:rPr>
        <w:t xml:space="preserve">Sun </w:t>
      </w:r>
      <w:r>
        <w:rPr>
          <w:rFonts w:hint="eastAsia"/>
        </w:rPr>
        <w:t>等人</w:t>
      </w:r>
      <w:r>
        <w:rPr>
          <w:rFonts w:hint="eastAsia"/>
        </w:rPr>
        <w:t>[2017]</w:t>
      </w:r>
      <w:r>
        <w:rPr>
          <w:rFonts w:hint="eastAsia"/>
        </w:rPr>
        <w:t>和</w:t>
      </w:r>
      <w:r>
        <w:rPr>
          <w:rFonts w:hint="eastAsia"/>
        </w:rPr>
        <w:t xml:space="preserve"> Meng </w:t>
      </w:r>
      <w:r>
        <w:rPr>
          <w:rFonts w:hint="eastAsia"/>
        </w:rPr>
        <w:t>等人</w:t>
      </w:r>
      <w:r>
        <w:rPr>
          <w:rFonts w:hint="eastAsia"/>
        </w:rPr>
        <w:t>[2020b]</w:t>
      </w:r>
      <w:r>
        <w:rPr>
          <w:rFonts w:hint="eastAsia"/>
        </w:rPr>
        <w:t>提出了利用注视点渲染技术加速光场渲染过程的方法，从而实现实时光场渲染。</w:t>
      </w:r>
    </w:p>
    <w:p w14:paraId="4FB13DF0" w14:textId="77777777" w:rsidR="00417D94" w:rsidRDefault="00417D94"/>
    <w:p w14:paraId="5DA20A82" w14:textId="77777777" w:rsidR="00417D94" w:rsidRDefault="00000000">
      <w:pPr>
        <w:pStyle w:val="2"/>
      </w:pPr>
      <w:bookmarkStart w:id="2" w:name="_Toc26324"/>
      <w:r>
        <w:rPr>
          <w:rFonts w:hint="eastAsia"/>
        </w:rPr>
        <w:t>1.</w:t>
      </w:r>
      <w:r>
        <w:t>3</w:t>
      </w:r>
      <w:r>
        <w:rPr>
          <w:rFonts w:hint="eastAsia"/>
        </w:rPr>
        <w:t xml:space="preserve"> </w:t>
      </w:r>
      <w:r>
        <w:rPr>
          <w:rFonts w:hint="eastAsia"/>
        </w:rPr>
        <w:t>研究内容</w:t>
      </w:r>
      <w:bookmarkEnd w:id="2"/>
    </w:p>
    <w:p w14:paraId="2C7A13C4" w14:textId="77777777" w:rsidR="00417D94" w:rsidRDefault="00000000">
      <w:pPr>
        <w:ind w:firstLine="420"/>
      </w:pPr>
      <w:r>
        <w:t>本文针对虚拟现实（</w:t>
      </w:r>
      <w:r>
        <w:t>VR</w:t>
      </w:r>
      <w:r>
        <w:t>）和增强现实（</w:t>
      </w:r>
      <w:r>
        <w:t>AR</w:t>
      </w:r>
      <w:r>
        <w:t>）场景中实时渲染高分辨率和高保真度视觉体验所面临的挑战，研究了基于像素分布匹配的注视点渲染技术。研究内容主要集中在探索人类视觉系统的敏感区域特性，即注视点区域具有更高的视觉敏锐度，而外围视野的分辨率感知能力较低。通过这个特性，提出了一种方法以在不降低整体视觉质量的前提下减少所需的计算资源和提升渲染效率。研究内容包括对现有视觉模型的分析、基于偏心率的视觉因素考虑、针对性的映射策略</w:t>
      </w:r>
      <w:r>
        <w:rPr>
          <w:rFonts w:hint="eastAsia"/>
        </w:rPr>
        <w:t>，整体视野中的时间不稳定性的考虑、</w:t>
      </w:r>
      <w:r>
        <w:t>帧间反走样技术的设计与实现。</w:t>
      </w:r>
    </w:p>
    <w:p w14:paraId="62550750" w14:textId="77777777" w:rsidR="00417D94" w:rsidRDefault="00000000">
      <w:pPr>
        <w:pStyle w:val="2"/>
      </w:pPr>
      <w:bookmarkStart w:id="3" w:name="_Toc25977"/>
      <w:r>
        <w:rPr>
          <w:rFonts w:hint="eastAsia"/>
        </w:rPr>
        <w:t>1.</w:t>
      </w:r>
      <w:r>
        <w:t>4</w:t>
      </w:r>
      <w:r>
        <w:rPr>
          <w:rFonts w:hint="eastAsia"/>
        </w:rPr>
        <w:t xml:space="preserve"> </w:t>
      </w:r>
      <w:r>
        <w:rPr>
          <w:rFonts w:hint="eastAsia"/>
        </w:rPr>
        <w:t>论文结构</w:t>
      </w:r>
      <w:bookmarkEnd w:id="3"/>
    </w:p>
    <w:p w14:paraId="73068258" w14:textId="77777777" w:rsidR="00417D94" w:rsidRDefault="00000000">
      <w:pPr>
        <w:ind w:firstLine="420"/>
      </w:pPr>
      <w:r>
        <w:rPr>
          <w:rFonts w:hint="eastAsia"/>
        </w:rPr>
        <w:t>本文共分为六个章节。每个章节的内容如下。</w:t>
      </w:r>
    </w:p>
    <w:p w14:paraId="5BC35497" w14:textId="77777777" w:rsidR="00417D94" w:rsidRDefault="00000000">
      <w:pPr>
        <w:ind w:firstLine="420"/>
      </w:pPr>
      <w:r>
        <w:rPr>
          <w:rFonts w:hint="eastAsia"/>
        </w:rPr>
        <w:t>第一章为</w:t>
      </w:r>
      <w:r>
        <w:t>绪论</w:t>
      </w:r>
      <w:r>
        <w:rPr>
          <w:rFonts w:hint="eastAsia"/>
        </w:rPr>
        <w:t>，</w:t>
      </w:r>
      <w:r>
        <w:t>介绍研究背景、意义、内容、结构和方法。</w:t>
      </w:r>
    </w:p>
    <w:p w14:paraId="6F9110F9" w14:textId="77777777" w:rsidR="00417D94" w:rsidRDefault="00000000">
      <w:pPr>
        <w:ind w:firstLine="420"/>
      </w:pPr>
      <w:r>
        <w:rPr>
          <w:rFonts w:hint="eastAsia"/>
        </w:rPr>
        <w:t>第二章为</w:t>
      </w:r>
      <w:r>
        <w:t>注视点渲染系统的相关工作</w:t>
      </w:r>
      <w:r>
        <w:rPr>
          <w:rFonts w:hint="eastAsia"/>
        </w:rPr>
        <w:t>，</w:t>
      </w:r>
      <w:r>
        <w:t>回顾了视觉因素、基于偏心率的视觉模型、注视点渲染空间、注视点类型和反走样技术。</w:t>
      </w:r>
    </w:p>
    <w:p w14:paraId="2B4524C8" w14:textId="77777777" w:rsidR="00417D94" w:rsidRDefault="00000000">
      <w:pPr>
        <w:ind w:firstLine="420"/>
      </w:pPr>
      <w:r>
        <w:rPr>
          <w:rFonts w:hint="eastAsia"/>
        </w:rPr>
        <w:lastRenderedPageBreak/>
        <w:t>第三章为</w:t>
      </w:r>
      <w:r>
        <w:t>方法理论与设计</w:t>
      </w:r>
      <w:r>
        <w:rPr>
          <w:rFonts w:hint="eastAsia"/>
        </w:rPr>
        <w:t>，</w:t>
      </w:r>
      <w:r>
        <w:t>提出了基于矩形内部映射的图像变换理论，矩形与圆盘的区域映射及帧间反走样。</w:t>
      </w:r>
    </w:p>
    <w:p w14:paraId="16A0DE1B" w14:textId="77777777" w:rsidR="00417D94" w:rsidRDefault="00000000">
      <w:pPr>
        <w:ind w:firstLine="420"/>
      </w:pPr>
      <w:r>
        <w:rPr>
          <w:rFonts w:hint="eastAsia"/>
        </w:rPr>
        <w:t>第四章为</w:t>
      </w:r>
      <w:r>
        <w:t>系统实现</w:t>
      </w:r>
      <w:r>
        <w:rPr>
          <w:rFonts w:hint="eastAsia"/>
        </w:rPr>
        <w:t>，</w:t>
      </w:r>
      <w:r>
        <w:t>详细描述了延迟渲染管线、几何缓冲区的映射及反走样的具体实现。</w:t>
      </w:r>
    </w:p>
    <w:p w14:paraId="3475764B" w14:textId="77777777" w:rsidR="00417D94" w:rsidRDefault="00000000">
      <w:pPr>
        <w:ind w:firstLine="420"/>
      </w:pPr>
      <w:r>
        <w:rPr>
          <w:rFonts w:hint="eastAsia"/>
        </w:rPr>
        <w:t>第五章为</w:t>
      </w:r>
      <w:r>
        <w:t>实验</w:t>
      </w:r>
      <w:r>
        <w:rPr>
          <w:rFonts w:hint="eastAsia"/>
        </w:rPr>
        <w:t>，</w:t>
      </w:r>
      <w:r>
        <w:t>进行了客观实验和用户实验与分析，评价了所提方法的性能。</w:t>
      </w:r>
    </w:p>
    <w:p w14:paraId="1947F5D6" w14:textId="77777777" w:rsidR="00417D94" w:rsidRDefault="00000000">
      <w:pPr>
        <w:ind w:firstLine="420"/>
      </w:pPr>
      <w:r>
        <w:rPr>
          <w:rFonts w:hint="eastAsia"/>
        </w:rPr>
        <w:t>第六章为</w:t>
      </w:r>
      <w:r>
        <w:t>结论</w:t>
      </w:r>
      <w:r>
        <w:rPr>
          <w:rFonts w:hint="eastAsia"/>
        </w:rPr>
        <w:t>，</w:t>
      </w:r>
      <w:r>
        <w:t>总结了工作内容和未来工作的研究方向。</w:t>
      </w:r>
    </w:p>
    <w:p w14:paraId="78AEDD5E" w14:textId="77777777" w:rsidR="00417D94" w:rsidRDefault="00417D94"/>
    <w:p w14:paraId="676F5C0D" w14:textId="77777777" w:rsidR="00417D94" w:rsidRDefault="00417D94"/>
    <w:p w14:paraId="362B5722" w14:textId="77777777" w:rsidR="00417D94" w:rsidRDefault="00000000">
      <w:pPr>
        <w:pStyle w:val="2"/>
      </w:pPr>
      <w:bookmarkStart w:id="4" w:name="_Toc20066"/>
      <w:r>
        <w:rPr>
          <w:rFonts w:hint="eastAsia"/>
        </w:rPr>
        <w:t>1.</w:t>
      </w:r>
      <w:r>
        <w:t>5</w:t>
      </w:r>
      <w:r>
        <w:rPr>
          <w:rFonts w:hint="eastAsia"/>
        </w:rPr>
        <w:t xml:space="preserve"> </w:t>
      </w:r>
      <w:r>
        <w:rPr>
          <w:rFonts w:hint="eastAsia"/>
        </w:rPr>
        <w:t>研究方法</w:t>
      </w:r>
      <w:bookmarkEnd w:id="4"/>
    </w:p>
    <w:p w14:paraId="37BA8938" w14:textId="77777777" w:rsidR="00417D94" w:rsidRDefault="00000000">
      <w:pPr>
        <w:ind w:firstLine="420"/>
      </w:pPr>
      <w:r>
        <w:rPr>
          <w:rFonts w:hint="eastAsia"/>
        </w:rPr>
        <w:t>文献研究法：通过对现有文献的系统性回顾，梳理了视觉敏感度、对比度及注视点渲染等相关领域的理论和实践研究进展，确定了研究的理论基础和设计参考。</w:t>
      </w:r>
    </w:p>
    <w:p w14:paraId="0A2F0955" w14:textId="77777777" w:rsidR="00417D94" w:rsidRDefault="00000000">
      <w:pPr>
        <w:ind w:firstLine="420"/>
      </w:pPr>
      <w:r>
        <w:rPr>
          <w:rFonts w:hint="eastAsia"/>
        </w:rPr>
        <w:t>定性分析法：基于对人类视觉系统的认识及其在</w:t>
      </w:r>
      <w:r>
        <w:rPr>
          <w:rFonts w:hint="eastAsia"/>
        </w:rPr>
        <w:t>VR/AR</w:t>
      </w:r>
      <w:r>
        <w:rPr>
          <w:rFonts w:hint="eastAsia"/>
        </w:rPr>
        <w:t>中的应用，通过定性分析确定了适合于注视点渲染技术的视觉模型，包括对视觉敏锐度、对比度变化及外围视觉感知特性的理解。</w:t>
      </w:r>
    </w:p>
    <w:p w14:paraId="4985A924" w14:textId="77777777" w:rsidR="00417D94" w:rsidRDefault="00000000">
      <w:pPr>
        <w:ind w:firstLine="420"/>
      </w:pPr>
      <w:r>
        <w:rPr>
          <w:rFonts w:hint="eastAsia"/>
        </w:rPr>
        <w:t>实证研究法：设计了实验方案，包括注视点渲染系统的实现，以及对标注视点渲染技术效果的实证研究，通过客观实验和用户体验测试来评估所提出方法的效能和可行性。</w:t>
      </w:r>
    </w:p>
    <w:p w14:paraId="27B6AAD0" w14:textId="77777777" w:rsidR="00417D94" w:rsidRDefault="00000000">
      <w:pPr>
        <w:ind w:firstLine="420"/>
      </w:pPr>
      <w:r>
        <w:rPr>
          <w:rFonts w:hint="eastAsia"/>
        </w:rPr>
        <w:t>定量分析法：在客观实验中，采集了性能数据，如帧率、延迟等指标，并运用定量分析方法对数据进行分析，从而确证注视点渲染技术对于提升渲染性能的贡献。</w:t>
      </w:r>
    </w:p>
    <w:p w14:paraId="25C3B426" w14:textId="77777777" w:rsidR="00417D94" w:rsidRDefault="00000000">
      <w:pPr>
        <w:ind w:firstLine="420"/>
      </w:pPr>
      <w:r>
        <w:rPr>
          <w:rFonts w:hint="eastAsia"/>
        </w:rPr>
        <w:t>模型法：对所建立的视觉模型进行评估，通过变更参数设置，测试模型对视觉质量和渲染效率的影响，以评估模型的准确性和实际应用价值。针对所设计的帧间反走样算法进行评估，对算法在不同场景下的性能和效果进行了系统测试，并对结果进行了分析和讨论。</w:t>
      </w:r>
    </w:p>
    <w:p w14:paraId="5FE2CD53" w14:textId="77777777" w:rsidR="00417D94" w:rsidRDefault="00417D94"/>
    <w:p w14:paraId="1AEBD9D9" w14:textId="77777777" w:rsidR="00417D94" w:rsidRDefault="00000000">
      <w:pPr>
        <w:pStyle w:val="1"/>
      </w:pPr>
      <w:bookmarkStart w:id="5" w:name="_Toc6346"/>
      <w:r>
        <w:rPr>
          <w:rFonts w:hint="eastAsia"/>
        </w:rPr>
        <w:lastRenderedPageBreak/>
        <w:t xml:space="preserve">2 </w:t>
      </w:r>
      <w:r>
        <w:rPr>
          <w:rFonts w:hint="eastAsia"/>
        </w:rPr>
        <w:t>注视点渲染系统的相关工作</w:t>
      </w:r>
      <w:bookmarkEnd w:id="5"/>
    </w:p>
    <w:p w14:paraId="65111480" w14:textId="77777777" w:rsidR="00417D94" w:rsidRDefault="00000000">
      <w:pPr>
        <w:ind w:firstLine="420"/>
      </w:pPr>
      <w:r>
        <w:rPr>
          <w:rFonts w:hint="eastAsia"/>
        </w:rPr>
        <w:t>视杆细胞和视锥细胞在视网膜上的非均匀分布，以及它们对入射光的不同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4C54F4" w14:textId="77777777" w:rsidR="00417D94" w:rsidRDefault="00000000">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1A640868" w14:textId="77777777" w:rsidR="00417D94" w:rsidRDefault="00000000">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0AA3499D" w14:textId="77777777" w:rsidR="00417D94" w:rsidRDefault="00000000">
      <w:pPr>
        <w:pStyle w:val="2"/>
      </w:pPr>
      <w:bookmarkStart w:id="6" w:name="_Toc20246"/>
      <w:r>
        <w:rPr>
          <w:rFonts w:hint="eastAsia"/>
        </w:rPr>
        <w:t xml:space="preserve">2.1 </w:t>
      </w:r>
      <w:r>
        <w:rPr>
          <w:rFonts w:hint="eastAsia"/>
        </w:rPr>
        <w:t>视觉因素</w:t>
      </w:r>
      <w:bookmarkEnd w:id="6"/>
    </w:p>
    <w:p w14:paraId="354BB89E" w14:textId="77777777" w:rsidR="00417D94" w:rsidRDefault="00000000">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34F66229" w14:textId="77777777" w:rsidR="00417D94" w:rsidRDefault="00000000">
      <w:pPr>
        <w:pStyle w:val="3"/>
      </w:pPr>
      <w:bookmarkStart w:id="7" w:name="_Toc15578"/>
      <w:r>
        <w:rPr>
          <w:rFonts w:hint="eastAsia"/>
        </w:rPr>
        <w:lastRenderedPageBreak/>
        <w:t xml:space="preserve">2.1.1 </w:t>
      </w:r>
      <w:r>
        <w:rPr>
          <w:rFonts w:hint="eastAsia"/>
        </w:rPr>
        <w:t>视觉敏锐度</w:t>
      </w:r>
      <w:bookmarkEnd w:id="7"/>
    </w:p>
    <w:p w14:paraId="6B2093C9" w14:textId="77777777" w:rsidR="00417D94" w:rsidRDefault="00000000">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5BD27E81" w14:textId="77777777" w:rsidR="00417D94" w:rsidRDefault="00000000">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54BF7B3" w14:textId="77777777" w:rsidR="00417D94" w:rsidRDefault="00417D94"/>
    <w:p w14:paraId="3E6A69E4" w14:textId="77777777" w:rsidR="00417D94" w:rsidRDefault="00000000">
      <w:pPr>
        <w:pStyle w:val="3"/>
      </w:pPr>
      <w:bookmarkStart w:id="8" w:name="_Toc3588"/>
      <w:r>
        <w:rPr>
          <w:rFonts w:hint="eastAsia"/>
        </w:rPr>
        <w:t xml:space="preserve">2.1.2 </w:t>
      </w:r>
      <w:r>
        <w:rPr>
          <w:rFonts w:hint="eastAsia"/>
        </w:rPr>
        <w:t>对比度</w:t>
      </w:r>
      <w:bookmarkEnd w:id="8"/>
    </w:p>
    <w:p w14:paraId="136D1DD5" w14:textId="77777777" w:rsidR="00417D94" w:rsidRDefault="00000000">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w:t>
      </w:r>
      <w:r>
        <w:lastRenderedPageBreak/>
        <w:t>对比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C1E2B3A" w14:textId="77777777" w:rsidR="00417D94" w:rsidRDefault="00000000">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0C6D286A" w14:textId="77777777" w:rsidR="00417D94" w:rsidRDefault="00000000">
      <w:pPr>
        <w:pStyle w:val="3"/>
      </w:pPr>
      <w:bookmarkStart w:id="9" w:name="_Toc9683"/>
      <w:r>
        <w:t>2</w:t>
      </w:r>
      <w:r>
        <w:rPr>
          <w:rFonts w:hint="eastAsia"/>
        </w:rPr>
        <w:t>.</w:t>
      </w:r>
      <w:r>
        <w:t>1</w:t>
      </w:r>
      <w:r>
        <w:rPr>
          <w:rFonts w:hint="eastAsia"/>
        </w:rPr>
        <w:t>.</w:t>
      </w:r>
      <w:r>
        <w:t>3</w:t>
      </w:r>
      <w:r>
        <w:rPr>
          <w:rFonts w:hint="eastAsia"/>
        </w:rPr>
        <w:t xml:space="preserve"> </w:t>
      </w:r>
      <w:r>
        <w:rPr>
          <w:rFonts w:hint="eastAsia"/>
        </w:rPr>
        <w:t>周边运动和闪烁感知</w:t>
      </w:r>
      <w:bookmarkEnd w:id="9"/>
      <w:r>
        <w:rPr>
          <w:rFonts w:hint="eastAsia"/>
        </w:rPr>
        <w:t xml:space="preserve"> </w:t>
      </w:r>
    </w:p>
    <w:p w14:paraId="52B423E7" w14:textId="77777777" w:rsidR="00417D94" w:rsidRDefault="00000000">
      <w:pPr>
        <w:ind w:firstLine="420"/>
      </w:pPr>
      <w:r>
        <w:rPr>
          <w:rFonts w:hint="eastAsia"/>
        </w:rPr>
        <w:t>有些任务在整个视野中的表现是一致的。例如，我们区分两个物体速度的能力在整个视野中是相当一致的</w:t>
      </w:r>
      <w:r>
        <w:rPr>
          <w:rFonts w:hint="eastAsia"/>
        </w:rPr>
        <w:t xml:space="preserve">[McKee </w:t>
      </w:r>
      <w:r>
        <w:rPr>
          <w:rFonts w:hint="eastAsia"/>
        </w:rPr>
        <w:t>和</w:t>
      </w:r>
      <w:r>
        <w:rPr>
          <w:rFonts w:hint="eastAsia"/>
        </w:rPr>
        <w:t xml:space="preserve"> Nakayama</w:t>
      </w:r>
      <w:r>
        <w:rPr>
          <w:rFonts w:hint="eastAsia"/>
        </w:rPr>
        <w:t>，</w:t>
      </w:r>
      <w:r>
        <w:rPr>
          <w:rFonts w:hint="eastAsia"/>
        </w:rPr>
        <w:t xml:space="preserve">1984 </w:t>
      </w:r>
      <w:r>
        <w:rPr>
          <w:rFonts w:hint="eastAsia"/>
        </w:rPr>
        <w:t>年</w:t>
      </w:r>
      <w:r>
        <w:rPr>
          <w:rFonts w:hint="eastAsia"/>
        </w:rPr>
        <w:t>]</w:t>
      </w:r>
      <w:r>
        <w:rPr>
          <w:rFonts w:hint="eastAsia"/>
        </w:rPr>
        <w:t>。我们对闪烁的敏感度在整个视野中也是大致保持一致的</w:t>
      </w:r>
      <w:r>
        <w:rPr>
          <w:rFonts w:hint="eastAsia"/>
        </w:rPr>
        <w:t>[Kelly 1984</w:t>
      </w:r>
      <w:r>
        <w:rPr>
          <w:rFonts w:hint="eastAsia"/>
        </w:rPr>
        <w:t>；</w:t>
      </w:r>
      <w:r>
        <w:rPr>
          <w:rFonts w:hint="eastAsia"/>
        </w:rPr>
        <w:t xml:space="preserve">Koenderink </w:t>
      </w:r>
      <w:r>
        <w:rPr>
          <w:rFonts w:hint="eastAsia"/>
        </w:rPr>
        <w:t>等人，</w:t>
      </w:r>
      <w:r>
        <w:rPr>
          <w:rFonts w:hint="eastAsia"/>
        </w:rPr>
        <w:t>1978b</w:t>
      </w:r>
      <w:r>
        <w:rPr>
          <w:rFonts w:hint="eastAsia"/>
        </w:rPr>
        <w:t>；</w:t>
      </w:r>
      <w:r>
        <w:rPr>
          <w:rFonts w:hint="eastAsia"/>
        </w:rPr>
        <w:t xml:space="preserve">Koenderink </w:t>
      </w:r>
      <w:r>
        <w:rPr>
          <w:rFonts w:hint="eastAsia"/>
        </w:rPr>
        <w:t>等人，</w:t>
      </w:r>
      <w:r>
        <w:rPr>
          <w:rFonts w:hint="eastAsia"/>
        </w:rPr>
        <w:t>1978a</w:t>
      </w:r>
      <w:r>
        <w:rPr>
          <w:rFonts w:hint="eastAsia"/>
        </w:rPr>
        <w:t>；</w:t>
      </w:r>
      <w:r>
        <w:rPr>
          <w:rFonts w:hint="eastAsia"/>
        </w:rPr>
        <w:t xml:space="preserve">Koenderink </w:t>
      </w:r>
      <w:r>
        <w:rPr>
          <w:rFonts w:hint="eastAsia"/>
        </w:rPr>
        <w:t>等人，</w:t>
      </w:r>
      <w:r>
        <w:rPr>
          <w:rFonts w:hint="eastAsia"/>
        </w:rPr>
        <w:t>1978c]</w:t>
      </w:r>
      <w:r>
        <w:rPr>
          <w:rFonts w:hint="eastAsia"/>
        </w:rPr>
        <w:t>。</w:t>
      </w:r>
    </w:p>
    <w:p w14:paraId="63D23400" w14:textId="77777777" w:rsidR="00417D94" w:rsidRDefault="00000000">
      <w:pPr>
        <w:ind w:firstLine="420"/>
      </w:pPr>
      <w:r>
        <w:rPr>
          <w:rFonts w:hint="eastAsia"/>
        </w:rPr>
        <w:t>一致的运动和时间敏感度要求注视点渲染器避免出现时间混叠等伪影，因为即使在外围也很容易察觉到这些假象。不考虑时间稳定性的注视点渲染器要么会破坏沉浸感，要么就必须在外围进行适当的处理，取得一个较为保守的结</w:t>
      </w:r>
      <w:r>
        <w:rPr>
          <w:rFonts w:hint="eastAsia"/>
        </w:rPr>
        <w:lastRenderedPageBreak/>
        <w:t>果。</w:t>
      </w:r>
    </w:p>
    <w:p w14:paraId="1221D119" w14:textId="77777777" w:rsidR="00417D94" w:rsidRDefault="00000000">
      <w:pPr>
        <w:pStyle w:val="2"/>
      </w:pPr>
      <w:bookmarkStart w:id="10" w:name="_Toc27765"/>
      <w:r>
        <w:rPr>
          <w:rFonts w:hint="eastAsia"/>
        </w:rPr>
        <w:t xml:space="preserve">2.2 </w:t>
      </w:r>
      <w:r>
        <w:rPr>
          <w:rFonts w:hint="eastAsia"/>
        </w:rPr>
        <w:t>基于偏心率的视觉模型</w:t>
      </w:r>
      <w:bookmarkEnd w:id="10"/>
    </w:p>
    <w:p w14:paraId="365F718B" w14:textId="77777777" w:rsidR="00417D94" w:rsidRDefault="00000000">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0693A396" w14:textId="77777777" w:rsidR="00417D94" w:rsidRDefault="00000000">
      <w:pPr>
        <w:pStyle w:val="3"/>
      </w:pPr>
      <w:bookmarkStart w:id="11" w:name="_Toc7827"/>
      <w:r>
        <w:rPr>
          <w:rFonts w:hint="eastAsia"/>
        </w:rPr>
        <w:t xml:space="preserve">2.2.1 </w:t>
      </w:r>
      <w:r>
        <w:rPr>
          <w:rFonts w:hint="eastAsia"/>
        </w:rPr>
        <w:t>双曲线模型</w:t>
      </w:r>
      <w:bookmarkEnd w:id="11"/>
    </w:p>
    <w:p w14:paraId="68F76CE8" w14:textId="77777777" w:rsidR="00417D94" w:rsidRDefault="00000000">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771A020E" w14:textId="77777777" w:rsidR="00417D94" w:rsidRDefault="00000000">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3BCDC401" w14:textId="77777777" w:rsidR="00417D94" w:rsidRDefault="00000000">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5FE52A03" w14:textId="77777777" w:rsidR="00417D94" w:rsidRDefault="00000000">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5899226" w14:textId="77777777" w:rsidR="00417D94" w:rsidRDefault="00000000">
      <w:pPr>
        <w:ind w:firstLine="420"/>
      </w:pPr>
      <w:r>
        <w:rPr>
          <w:rFonts w:hint="eastAsia"/>
        </w:rPr>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w:t>
      </w:r>
      <w:r>
        <w:rPr>
          <w:rFonts w:hint="eastAsia"/>
        </w:rPr>
        <w:lastRenderedPageBreak/>
        <w:t>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39B8AC93" w14:textId="77777777" w:rsidR="00417D94" w:rsidRDefault="00000000">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°的区域是以统一的分辨率渲染的，这可能会限制注视点渲染的性能。</w:t>
      </w:r>
    </w:p>
    <w:p w14:paraId="7CC1451C" w14:textId="77777777" w:rsidR="00417D94" w:rsidRDefault="00000000">
      <w:pPr>
        <w:pStyle w:val="3"/>
      </w:pPr>
      <w:bookmarkStart w:id="12" w:name="_Toc9624"/>
      <w:r>
        <w:rPr>
          <w:rFonts w:hint="eastAsia"/>
        </w:rPr>
        <w:t xml:space="preserve">2.2.2 </w:t>
      </w:r>
      <w:r>
        <w:rPr>
          <w:rFonts w:hint="eastAsia"/>
        </w:rPr>
        <w:t>线性模型</w:t>
      </w:r>
      <w:bookmarkEnd w:id="12"/>
    </w:p>
    <w:p w14:paraId="1D854ED7" w14:textId="77777777" w:rsidR="00417D94" w:rsidRDefault="00000000">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1E2E57C3" w14:textId="77777777" w:rsidR="00417D94" w:rsidRDefault="00000000">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Pr>
          <w:rFonts w:hAnsi="Cambria Math" w:hint="eastAsia"/>
        </w:rPr>
        <w:t xml:space="preserve">                 (2)</w:t>
      </w:r>
    </w:p>
    <w:p w14:paraId="72E99C84" w14:textId="77777777" w:rsidR="00417D94" w:rsidRDefault="00000000">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07267B81" w14:textId="77777777" w:rsidR="00417D94" w:rsidRDefault="00000000">
      <w:pPr>
        <w:pStyle w:val="3"/>
      </w:pPr>
      <w:bookmarkStart w:id="13" w:name="_Toc27160"/>
      <w:r>
        <w:rPr>
          <w:rFonts w:hint="eastAsia"/>
        </w:rPr>
        <w:t xml:space="preserve">2.2.3 </w:t>
      </w:r>
      <w:r>
        <w:rPr>
          <w:rFonts w:hint="eastAsia"/>
        </w:rPr>
        <w:t>对数模型</w:t>
      </w:r>
      <w:bookmarkEnd w:id="13"/>
    </w:p>
    <w:p w14:paraId="6A5CA79A" w14:textId="77777777" w:rsidR="00417D94" w:rsidRDefault="00000000">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7F96B16F" w14:textId="77777777" w:rsidR="00417D94" w:rsidRDefault="00000000">
      <w:pPr>
        <w:ind w:firstLine="420"/>
      </w:pPr>
      <w:r>
        <w:rPr>
          <w:rFonts w:hint="eastAsia"/>
        </w:rPr>
        <w:lastRenderedPageBreak/>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照明计算在缩小的对数极坐标空间中进行。应用反核函数对数极坐标映射将着色区域映射回笛卡尔屏幕空间。这种方法能够在对数极坐标空间中系统地连续改变采样率和采样分布。</w:t>
      </w:r>
    </w:p>
    <w:p w14:paraId="5321DE24" w14:textId="77777777" w:rsidR="00417D94" w:rsidRDefault="00000000">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5553FDCB" w14:textId="77777777" w:rsidR="00417D94" w:rsidRDefault="00000000">
      <w:pPr>
        <w:pStyle w:val="3"/>
      </w:pPr>
      <w:bookmarkStart w:id="14" w:name="_Toc15070"/>
      <w:r>
        <w:rPr>
          <w:rFonts w:hint="eastAsia"/>
        </w:rPr>
        <w:t xml:space="preserve">2.2.4 </w:t>
      </w:r>
      <w:r>
        <w:rPr>
          <w:rFonts w:hint="eastAsia"/>
        </w:rPr>
        <w:t>其他模型</w:t>
      </w:r>
      <w:bookmarkEnd w:id="14"/>
    </w:p>
    <w:p w14:paraId="123C321C" w14:textId="77777777" w:rsidR="00417D94" w:rsidRDefault="00000000">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的方法使用非线性映射的连续平滑函数来模拟从注视点到周边区域的敏锐度下降。这种平滑过渡有助于减少视觉伪影。</w:t>
      </w:r>
    </w:p>
    <w:p w14:paraId="2A5B1C16" w14:textId="77777777" w:rsidR="00417D94" w:rsidRDefault="00000000">
      <w:pPr>
        <w:ind w:firstLine="420"/>
      </w:pPr>
      <w:r>
        <w:lastRenderedPageBreak/>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04514F83" w14:textId="77777777" w:rsidR="00417D94" w:rsidRDefault="00000000">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3E640E0F" w14:textId="77777777" w:rsidR="00417D94" w:rsidRDefault="00000000">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1F7C3B81" w14:textId="77777777" w:rsidR="00417D94" w:rsidRDefault="00000000">
      <w:pPr>
        <w:pStyle w:val="2"/>
      </w:pPr>
      <w:bookmarkStart w:id="15" w:name="_Toc11497"/>
      <w:r>
        <w:rPr>
          <w:rFonts w:hint="eastAsia"/>
        </w:rPr>
        <w:t xml:space="preserve">2.3 </w:t>
      </w:r>
      <w:r>
        <w:rPr>
          <w:rFonts w:hint="eastAsia"/>
        </w:rPr>
        <w:t>注视点渲染空间</w:t>
      </w:r>
      <w:bookmarkEnd w:id="15"/>
    </w:p>
    <w:p w14:paraId="7C038679" w14:textId="77777777" w:rsidR="00417D94" w:rsidRDefault="00000000">
      <w:pPr>
        <w:ind w:firstLine="420"/>
      </w:pPr>
      <w:r>
        <w:t>我们将注视点渲染技术分为基于屏幕</w:t>
      </w:r>
      <w:r>
        <w:rPr>
          <w:rFonts w:hint="eastAsia"/>
        </w:rPr>
        <w:t>和</w:t>
      </w:r>
      <w:r>
        <w:t>基于物体的方法，其依据是渲染管道中包含注视点概念的阶段：屏幕空间、</w:t>
      </w:r>
      <w:r>
        <w:rPr>
          <w:rFonts w:hint="eastAsia"/>
        </w:rPr>
        <w:t>模型</w:t>
      </w:r>
      <w:r>
        <w:t>空间</w:t>
      </w:r>
      <w:r>
        <w:rPr>
          <w:rFonts w:hint="eastAsia"/>
        </w:rPr>
        <w:t>。</w:t>
      </w:r>
    </w:p>
    <w:p w14:paraId="2E4ABC28" w14:textId="77777777" w:rsidR="00417D94" w:rsidRDefault="00000000">
      <w:pPr>
        <w:pStyle w:val="3"/>
      </w:pPr>
      <w:bookmarkStart w:id="16" w:name="_Toc11295"/>
      <w:r>
        <w:rPr>
          <w:rFonts w:hint="eastAsia"/>
        </w:rPr>
        <w:lastRenderedPageBreak/>
        <w:t xml:space="preserve">2.3.1 </w:t>
      </w:r>
      <w:r>
        <w:rPr>
          <w:rFonts w:hint="eastAsia"/>
        </w:rPr>
        <w:t>屏幕空间</w:t>
      </w:r>
      <w:bookmarkEnd w:id="16"/>
    </w:p>
    <w:p w14:paraId="0421091A" w14:textId="77777777" w:rsidR="00417D94" w:rsidRDefault="00000000">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0266D143" w14:textId="77777777" w:rsidR="00417D94" w:rsidRDefault="00000000">
      <w:pPr>
        <w:pStyle w:val="3"/>
      </w:pPr>
      <w:bookmarkStart w:id="17" w:name="_Toc26409"/>
      <w:r>
        <w:rPr>
          <w:rFonts w:hint="eastAsia"/>
        </w:rPr>
        <w:t xml:space="preserve">2.3.2 </w:t>
      </w:r>
      <w:r>
        <w:rPr>
          <w:rFonts w:hint="eastAsia"/>
        </w:rPr>
        <w:t>对象空间</w:t>
      </w:r>
      <w:bookmarkEnd w:id="17"/>
    </w:p>
    <w:p w14:paraId="3D76AE43" w14:textId="77777777" w:rsidR="00417D94" w:rsidRDefault="00000000">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细分等级由多边形在屏幕空间中的边长与最小可感知长度之比决定。</w:t>
      </w:r>
    </w:p>
    <w:p w14:paraId="0D081FA8" w14:textId="77777777" w:rsidR="00417D94" w:rsidRDefault="00000000">
      <w:pPr>
        <w:pStyle w:val="2"/>
      </w:pPr>
      <w:bookmarkStart w:id="18" w:name="_Toc8694"/>
      <w:r>
        <w:rPr>
          <w:rFonts w:hint="eastAsia"/>
        </w:rPr>
        <w:lastRenderedPageBreak/>
        <w:t xml:space="preserve">2.4 </w:t>
      </w:r>
      <w:r>
        <w:rPr>
          <w:rFonts w:hint="eastAsia"/>
        </w:rPr>
        <w:t>注视点类型</w:t>
      </w:r>
      <w:bookmarkEnd w:id="18"/>
    </w:p>
    <w:p w14:paraId="0BB315F3" w14:textId="77777777" w:rsidR="00417D94" w:rsidRDefault="00000000">
      <w:pPr>
        <w:ind w:firstLine="420"/>
      </w:pPr>
      <w:r>
        <w:rPr>
          <w:rFonts w:hint="eastAsia"/>
        </w:rPr>
        <w:t>本节讨论眼动追踪在注视点渲染系统中的应用，并根据注视点的选取对其进行分类。</w:t>
      </w:r>
    </w:p>
    <w:p w14:paraId="705DBB4E" w14:textId="77777777" w:rsidR="00417D94" w:rsidRDefault="00000000">
      <w:pPr>
        <w:pStyle w:val="3"/>
      </w:pPr>
      <w:bookmarkStart w:id="19" w:name="_Toc11265"/>
      <w:r>
        <w:rPr>
          <w:rFonts w:hint="eastAsia"/>
        </w:rPr>
        <w:t xml:space="preserve">2.4.1 </w:t>
      </w:r>
      <w:r>
        <w:rPr>
          <w:rFonts w:hint="eastAsia"/>
        </w:rPr>
        <w:t>静态注视点</w:t>
      </w:r>
      <w:bookmarkEnd w:id="19"/>
    </w:p>
    <w:p w14:paraId="56E789BC" w14:textId="77777777" w:rsidR="00417D94" w:rsidRDefault="00000000">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0B9BC871" w14:textId="77777777" w:rsidR="00417D94" w:rsidRDefault="00000000">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7265540A" w14:textId="77777777" w:rsidR="00417D94" w:rsidRDefault="00000000">
      <w:pPr>
        <w:pStyle w:val="3"/>
      </w:pPr>
      <w:bookmarkStart w:id="20" w:name="_Toc9210"/>
      <w:r>
        <w:rPr>
          <w:rFonts w:hint="eastAsia"/>
        </w:rPr>
        <w:t xml:space="preserve">2.4.2 </w:t>
      </w:r>
      <w:r>
        <w:rPr>
          <w:rFonts w:hint="eastAsia"/>
        </w:rPr>
        <w:t>动态注视点</w:t>
      </w:r>
      <w:bookmarkEnd w:id="20"/>
    </w:p>
    <w:p w14:paraId="3455FE4B" w14:textId="77777777" w:rsidR="00417D94" w:rsidRDefault="00000000">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中使用实时眼球跟踪成为可能。通过使用眼动跟踪工具主动跟踪用户的注视，注视点周围的一小块区域将以较高分辨率渲染，而周边区域则以较低分辨率渲染。大多数注视点渲染方法都是动态方法，依赖</w:t>
      </w:r>
      <w:r>
        <w:lastRenderedPageBreak/>
        <w:t>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6209440F" w14:textId="77777777" w:rsidR="00417D94" w:rsidRDefault="00000000">
      <w:pPr>
        <w:pStyle w:val="2"/>
      </w:pPr>
      <w:bookmarkStart w:id="21" w:name="_Toc26999"/>
      <w:r>
        <w:rPr>
          <w:rFonts w:hint="eastAsia"/>
        </w:rPr>
        <w:t xml:space="preserve">2.5 </w:t>
      </w:r>
      <w:r>
        <w:rPr>
          <w:rFonts w:hint="eastAsia"/>
        </w:rPr>
        <w:t>反走样</w:t>
      </w:r>
      <w:bookmarkEnd w:id="21"/>
    </w:p>
    <w:p w14:paraId="1884D1DD" w14:textId="77777777" w:rsidR="00417D94" w:rsidRDefault="00000000">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3A73B9AB" w14:textId="77777777" w:rsidR="00417D94" w:rsidRDefault="00000000">
      <w:pPr>
        <w:pStyle w:val="3"/>
      </w:pPr>
      <w:bookmarkStart w:id="22" w:name="_Toc441"/>
      <w:r>
        <w:rPr>
          <w:rFonts w:hint="eastAsia"/>
        </w:rPr>
        <w:t xml:space="preserve">2.5.1 </w:t>
      </w:r>
      <w:r>
        <w:rPr>
          <w:rFonts w:hint="eastAsia"/>
        </w:rPr>
        <w:t>避免走样</w:t>
      </w:r>
      <w:bookmarkEnd w:id="22"/>
    </w:p>
    <w:p w14:paraId="04A6994F" w14:textId="77777777" w:rsidR="00417D94" w:rsidRDefault="00000000">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中采样，然后向上采样并重新投影，以与显示坐标系对齐。现在，世界空间中采样的图像，不会随着转头而移动。因此转头时，图像时间性的变化会降到最</w:t>
      </w:r>
      <w:r>
        <w:rPr>
          <w:rFonts w:hint="eastAsia"/>
        </w:rPr>
        <w:lastRenderedPageBreak/>
        <w:t>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将前一帧的外围区域重新投影到当前帧，只渲染注视点像素和一致性较差的外围像素。他们提出使用片元的精确世界空间像素位置而不是深度值来避免重投影走样。</w:t>
      </w:r>
    </w:p>
    <w:p w14:paraId="06542A6B" w14:textId="77777777" w:rsidR="00417D94" w:rsidRDefault="00000000">
      <w:pPr>
        <w:pStyle w:val="3"/>
      </w:pPr>
      <w:bookmarkStart w:id="23" w:name="_Toc27636"/>
      <w:r>
        <w:rPr>
          <w:rFonts w:hint="eastAsia"/>
        </w:rPr>
        <w:t xml:space="preserve">2.5.2 </w:t>
      </w:r>
      <w:r>
        <w:rPr>
          <w:rFonts w:hint="eastAsia"/>
        </w:rPr>
        <w:t>消除走样</w:t>
      </w:r>
      <w:bookmarkEnd w:id="23"/>
    </w:p>
    <w:p w14:paraId="65EBFF9E" w14:textId="77777777" w:rsidR="00417D94" w:rsidRDefault="00000000">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29BA4BCF" w14:textId="77777777" w:rsidR="00417D94" w:rsidRDefault="00000000">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）、时域重投影、空间采样点在时序上的抖动来减少空间和时间性走样。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6AFAFDE4" w14:textId="77777777" w:rsidR="00417D94" w:rsidRDefault="00000000">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了眼球回旋运动。由于眼球的回旋运动，前一帧的周边区域可能成为当前帧的注视点区域。这种情况需要几帧的信息汇聚到注视点区域所需的细节水平。</w:t>
      </w:r>
      <w:r>
        <w:rPr>
          <w:rFonts w:hint="eastAsia"/>
        </w:rPr>
        <w:lastRenderedPageBreak/>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39EB0EC9" w14:textId="77777777" w:rsidR="00417D94" w:rsidRDefault="00000000">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09A311B6" w14:textId="77777777" w:rsidR="00417D94" w:rsidRDefault="00000000">
      <w:pPr>
        <w:pStyle w:val="1"/>
      </w:pPr>
      <w:bookmarkStart w:id="24" w:name="_Toc3241"/>
      <w:r>
        <w:rPr>
          <w:rFonts w:hint="eastAsia"/>
        </w:rPr>
        <w:t xml:space="preserve">3 </w:t>
      </w:r>
      <w:r>
        <w:rPr>
          <w:rFonts w:hint="eastAsia"/>
        </w:rPr>
        <w:t>方法理论与设计</w:t>
      </w:r>
      <w:bookmarkEnd w:id="24"/>
    </w:p>
    <w:p w14:paraId="4FEB1AAE" w14:textId="77777777" w:rsidR="00417D94" w:rsidRDefault="00000000">
      <w:pPr>
        <w:pStyle w:val="2"/>
      </w:pPr>
      <w:bookmarkStart w:id="25" w:name="_Toc25352"/>
      <w:r>
        <w:rPr>
          <w:rFonts w:hint="eastAsia"/>
        </w:rPr>
        <w:t>3.</w:t>
      </w:r>
      <w:r>
        <w:t xml:space="preserve">1 </w:t>
      </w:r>
      <w:r>
        <w:rPr>
          <w:rFonts w:hint="eastAsia"/>
        </w:rPr>
        <w:t>基于矩形内部映射的图像变换</w:t>
      </w:r>
      <w:bookmarkEnd w:id="25"/>
    </w:p>
    <w:p w14:paraId="096B5B75" w14:textId="77777777" w:rsidR="00417D94" w:rsidRDefault="00000000">
      <w:pPr>
        <w:pStyle w:val="3"/>
      </w:pPr>
      <w:bookmarkStart w:id="26" w:name="_Toc29281"/>
      <w:r>
        <w:rPr>
          <w:rFonts w:hint="eastAsia"/>
        </w:rPr>
        <w:t>3</w:t>
      </w:r>
      <w:r>
        <w:t xml:space="preserve">.1.1 </w:t>
      </w:r>
      <w:r>
        <w:rPr>
          <w:rFonts w:hint="eastAsia"/>
        </w:rPr>
        <w:t>一维空间下的采样点分布</w:t>
      </w:r>
      <w:bookmarkEnd w:id="26"/>
    </w:p>
    <w:p w14:paraId="76A04D99" w14:textId="77777777" w:rsidR="00417D94" w:rsidRDefault="00000000">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27" w:name="_Hlk148195951"/>
      <w:r>
        <w:rPr>
          <w:rFonts w:hint="eastAsia"/>
        </w:rPr>
        <w:t>凸透镜</w:t>
      </w:r>
      <w:bookmarkEnd w:id="27"/>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7ECDEC53" w14:textId="77777777" w:rsidR="00417D94" w:rsidRDefault="00000000">
      <w:pPr>
        <w:ind w:firstLine="420"/>
      </w:pPr>
      <w:r>
        <w:rPr>
          <w:rFonts w:hint="eastAsia"/>
        </w:rPr>
        <w:t>注视点渲染方法一般会考虑渲染样本的非均匀分布，而传统渲染方法中的样本分布是均匀的。本文利用凸透镜方程来获得非均匀样本位置。本文考虑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的情况，以确保映射函数的连续性和单调性。为了方便计算，我们重写等式。</w:t>
      </w:r>
    </w:p>
    <w:p w14:paraId="3CF03532" w14:textId="77777777" w:rsidR="00417D94" w:rsidRDefault="00000000">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m:t>
              </m:r>
              <m:d>
                <m:dPr>
                  <m:ctrlPr>
                    <w:rPr>
                      <w:rFonts w:ascii="Cambria Math" w:hAnsi="Cambria Math"/>
                      <w:i/>
                    </w:rPr>
                  </m:ctrlPr>
                </m:dPr>
                <m:e>
                  <m:r>
                    <w:rPr>
                      <w:rFonts w:ascii="Cambria Math" w:hAnsi="Cambria Math"/>
                    </w:rPr>
                    <m:t>do</m:t>
                  </m:r>
                </m:e>
              </m:d>
            </m:den>
          </m:f>
        </m:oMath>
      </m:oMathPara>
    </w:p>
    <w:p w14:paraId="6635A18B" w14:textId="77777777" w:rsidR="00417D94" w:rsidRDefault="00000000">
      <w:pPr>
        <w:ind w:firstLine="420"/>
      </w:pPr>
      <w:r>
        <w:rPr>
          <w:rFonts w:hint="eastAsia"/>
        </w:rPr>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w:t>
      </w:r>
      <w:r>
        <w:rPr>
          <w:noProof/>
        </w:rPr>
        <w:lastRenderedPageBreak/>
        <w:drawing>
          <wp:anchor distT="0" distB="0" distL="114300" distR="114300" simplePos="0" relativeHeight="251656192" behindDoc="0" locked="0" layoutInCell="1" allowOverlap="1" wp14:anchorId="1F728627" wp14:editId="07915AEA">
            <wp:simplePos x="0" y="0"/>
            <wp:positionH relativeFrom="column">
              <wp:posOffset>1905</wp:posOffset>
            </wp:positionH>
            <wp:positionV relativeFrom="paragraph">
              <wp:posOffset>514350</wp:posOffset>
            </wp:positionV>
            <wp:extent cx="5274310" cy="3956050"/>
            <wp:effectExtent l="0" t="0" r="0" b="0"/>
            <wp:wrapTopAndBottom/>
            <wp:docPr id="32028568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5688" name="图片 1" descr="图表, 直方图&#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hint="eastAsia"/>
        </w:rPr>
        <w:t>外围减少样本来实现有焦点的效果，然后再利用反函数将样本映射回规则空间。</w:t>
      </w:r>
    </w:p>
    <w:p w14:paraId="32833E4B" w14:textId="77777777" w:rsidR="00417D94" w:rsidRDefault="00000000">
      <w:pPr>
        <w:ind w:firstLine="420"/>
        <w:jc w:val="center"/>
      </w:pPr>
      <w:r>
        <w:rPr>
          <w:rFonts w:hint="eastAsia"/>
        </w:rPr>
        <w:t>图：不同的</w:t>
      </w:r>
      <w:r>
        <w:rPr>
          <w:rFonts w:hint="eastAsia"/>
        </w:rPr>
        <w:t>f</w:t>
      </w:r>
      <w:r>
        <w:rPr>
          <w:rFonts w:hint="eastAsia"/>
        </w:rPr>
        <w:t>下，像素的一维分布的映射变化</w:t>
      </w:r>
    </w:p>
    <w:p w14:paraId="6FF99331" w14:textId="77777777" w:rsidR="00417D94" w:rsidRDefault="00000000">
      <w:pPr>
        <w:ind w:firstLine="420"/>
        <w:jc w:val="left"/>
      </w:pPr>
      <w:r>
        <w:tab/>
      </w:r>
      <w:r>
        <w:rPr>
          <w:rFonts w:hint="eastAsia"/>
        </w:rPr>
        <w:t>此时的像素分布已经初具了我们想要的性质——随着</w:t>
      </w:r>
      <w:r>
        <w:rPr>
          <w:rFonts w:hint="eastAsia"/>
        </w:rPr>
        <w:t>f</w:t>
      </w:r>
      <w:r>
        <w:rPr>
          <w:rFonts w:hint="eastAsia"/>
        </w:rPr>
        <w:t>的减小，像素在</w:t>
      </w:r>
      <w:r>
        <w:rPr>
          <w:rFonts w:hint="eastAsia"/>
        </w:rPr>
        <w:t>0</w:t>
      </w:r>
      <w:r>
        <w:rPr>
          <w:rFonts w:hint="eastAsia"/>
        </w:rPr>
        <w:t>点处的分布越密集。为了应用在图像区域的映射上，我们还需要将</w:t>
      </w:r>
      <w:r>
        <w:rPr>
          <w:rFonts w:hint="eastAsia"/>
        </w:rPr>
        <w:t>di</w:t>
      </w:r>
      <w:r>
        <w:rPr>
          <w:rFonts w:hint="eastAsia"/>
        </w:rPr>
        <w:t>的位置归一化到</w:t>
      </w:r>
      <w:r>
        <w:rPr>
          <w:rFonts w:hint="eastAsia"/>
        </w:rPr>
        <w:t>[</w:t>
      </w:r>
      <w:r>
        <w:t>-1,1]</w:t>
      </w:r>
      <w:r>
        <w:rPr>
          <w:rFonts w:hint="eastAsia"/>
        </w:rPr>
        <w:t>的区间内。</w:t>
      </w:r>
    </w:p>
    <w:p w14:paraId="5490B7BC" w14:textId="77777777" w:rsidR="00417D94" w:rsidRDefault="00000000">
      <w:pPr>
        <w:jc w:val="left"/>
      </w:pPr>
      <w:r>
        <w:rPr>
          <w:noProof/>
        </w:rPr>
        <w:lastRenderedPageBreak/>
        <w:drawing>
          <wp:anchor distT="0" distB="0" distL="114300" distR="114300" simplePos="0" relativeHeight="251654144" behindDoc="0" locked="0" layoutInCell="1" allowOverlap="1" wp14:anchorId="6E598731" wp14:editId="7BA447E0">
            <wp:simplePos x="0" y="0"/>
            <wp:positionH relativeFrom="column">
              <wp:posOffset>20955</wp:posOffset>
            </wp:positionH>
            <wp:positionV relativeFrom="paragraph">
              <wp:posOffset>457200</wp:posOffset>
            </wp:positionV>
            <wp:extent cx="5274310" cy="3956050"/>
            <wp:effectExtent l="0" t="0" r="0" b="0"/>
            <wp:wrapTopAndBottom/>
            <wp:docPr id="347581907" name="图片 1" descr="图表&#10;&#10;中度可信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1907" name="图片 1" descr="图表&#10;&#10;中度可信度"/>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4EE587BB" w14:textId="77777777" w:rsidR="00417D94" w:rsidRDefault="00000000">
      <w:pPr>
        <w:ind w:firstLine="420"/>
        <w:jc w:val="center"/>
      </w:pPr>
      <w:r>
        <w:rPr>
          <w:rFonts w:hint="eastAsia"/>
        </w:rPr>
        <w:t>图：归一化后的不同的</w:t>
      </w:r>
      <w:r>
        <w:rPr>
          <w:rFonts w:hint="eastAsia"/>
        </w:rPr>
        <w:t>f</w:t>
      </w:r>
      <w:r>
        <w:rPr>
          <w:rFonts w:hint="eastAsia"/>
        </w:rPr>
        <w:t>下，像素的一维分布的映射变化</w:t>
      </w:r>
    </w:p>
    <w:p w14:paraId="5694E201" w14:textId="77777777" w:rsidR="00417D94" w:rsidRDefault="00000000">
      <w:pPr>
        <w:pStyle w:val="3"/>
      </w:pPr>
      <w:bookmarkStart w:id="28" w:name="_Toc6437"/>
      <w:r>
        <w:rPr>
          <w:rFonts w:hint="eastAsia"/>
        </w:rPr>
        <w:t>3.</w:t>
      </w:r>
      <w:r>
        <w:t>1</w:t>
      </w:r>
      <w:r>
        <w:rPr>
          <w:rFonts w:hint="eastAsia"/>
        </w:rPr>
        <w:t>.</w:t>
      </w:r>
      <w:r>
        <w:t xml:space="preserve">2 </w:t>
      </w:r>
      <w:r>
        <w:rPr>
          <w:rFonts w:hint="eastAsia"/>
        </w:rPr>
        <w:t>二维空间下的采样点映射</w:t>
      </w:r>
      <w:bookmarkEnd w:id="28"/>
    </w:p>
    <w:p w14:paraId="28AF2EBC" w14:textId="77777777" w:rsidR="00417D94" w:rsidRDefault="00000000">
      <w:pPr>
        <w:ind w:firstLine="420"/>
      </w:pPr>
      <w:r>
        <w:rPr>
          <w:rFonts w:hint="eastAsia"/>
        </w:rPr>
        <w:t>现在，我们将这一想法扩展到二维笛卡尔坐标，并引入了基于矩形内部映射的注视点渲染框架。</w:t>
      </w:r>
    </w:p>
    <w:p w14:paraId="63A0AB20" w14:textId="77777777" w:rsidR="00417D94" w:rsidRDefault="00000000">
      <w:pPr>
        <w:ind w:firstLine="420"/>
      </w:pPr>
      <w:r>
        <w:rPr>
          <w:rFonts w:hint="eastAsia"/>
        </w:rPr>
        <w:t>这套映射算法需要结合延迟渲染管线来实现，该管道在生成几何图形缓冲区后执行一次光照计算。在传统延迟渲染管线和本注视点渲染管线中，顶点着色和片段着色阶段均保持不变。在本文的设计中，我们通过引入正向和逆向的矩形映射步骤来影响整个管线。</w:t>
      </w:r>
    </w:p>
    <w:p w14:paraId="25D1D9BF" w14:textId="77777777" w:rsidR="00417D94" w:rsidRDefault="00000000">
      <w:pPr>
        <w:ind w:firstLine="420"/>
      </w:pPr>
      <w:r>
        <w:rPr>
          <w:rFonts w:hint="eastAsia"/>
        </w:rPr>
        <w:t>对于分辨率为</w:t>
      </w:r>
      <w:r>
        <w:rPr>
          <w:rFonts w:hint="eastAsia"/>
        </w:rPr>
        <w:t xml:space="preserve"> W</w:t>
      </w:r>
      <w:r>
        <w:rPr>
          <w:rFonts w:hint="eastAsia"/>
        </w:rPr>
        <w:t>×</w:t>
      </w:r>
      <w:r>
        <w:rPr>
          <w:rFonts w:hint="eastAsia"/>
        </w:rPr>
        <w:t xml:space="preserve">H </w:t>
      </w:r>
      <w:r>
        <w:rPr>
          <w:rFonts w:hint="eastAsia"/>
        </w:rPr>
        <w:t>的全分辨率</w:t>
      </w:r>
      <w:r>
        <w:rPr>
          <w:rFonts w:hint="eastAsia"/>
        </w:rPr>
        <w:t>0</w:t>
      </w:r>
      <w:r>
        <w:rPr>
          <w:rFonts w:hint="eastAsia"/>
        </w:rPr>
        <w:t>号几何缓冲区，我们应用矩形内部映射图像变换，并将变换后的数据保存到分辨率为</w:t>
      </w:r>
      <w:r>
        <w:rPr>
          <w:rFonts w:hint="eastAsia"/>
        </w:rPr>
        <w:t xml:space="preserve"> w</w:t>
      </w:r>
      <w:r>
        <w:rPr>
          <w:rFonts w:hint="eastAsia"/>
        </w:rPr>
        <w:t>×</w:t>
      </w:r>
      <w:r>
        <w:rPr>
          <w:rFonts w:hint="eastAsia"/>
        </w:rPr>
        <w:t xml:space="preserve">h </w:t>
      </w:r>
      <w:r>
        <w:rPr>
          <w:rFonts w:hint="eastAsia"/>
        </w:rPr>
        <w:t>的</w:t>
      </w:r>
      <w:r>
        <w:rPr>
          <w:rFonts w:hint="eastAsia"/>
        </w:rPr>
        <w:t>1</w:t>
      </w:r>
      <w:r>
        <w:rPr>
          <w:rFonts w:hint="eastAsia"/>
        </w:rPr>
        <w:t>号几何缓冲区中。为方便计算。对于给定注视点（</w:t>
      </w:r>
      <w:r>
        <w:t>x˚, y˚</w:t>
      </w:r>
      <w:r>
        <w:rPr>
          <w:rFonts w:hint="eastAsia"/>
        </w:rPr>
        <w:t>），我们将屏幕空间中笛卡尔坐标为</w:t>
      </w:r>
      <w:r>
        <w:t xml:space="preserve"> (x, y) </w:t>
      </w:r>
      <w:r>
        <w:rPr>
          <w:rFonts w:hint="eastAsia"/>
        </w:rPr>
        <w:t>的每个像素，都映射到</w:t>
      </w:r>
      <w:r>
        <w:t xml:space="preserve"> (x’ , y’ )</w:t>
      </w:r>
      <w:r>
        <w:rPr>
          <w:rFonts w:hint="eastAsia"/>
        </w:rPr>
        <w:t>，其中</w:t>
      </w:r>
    </w:p>
    <w:p w14:paraId="7E9B362C" w14:textId="77777777" w:rsidR="00417D94" w:rsidRDefault="00000000">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237A2242" w14:textId="77777777" w:rsidR="00417D94" w:rsidRDefault="00000000">
      <w:pPr>
        <w:ind w:firstLine="420"/>
      </w:pPr>
      <w:r>
        <w:rPr>
          <w:rFonts w:hint="eastAsia"/>
        </w:rPr>
        <w:lastRenderedPageBreak/>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号几何缓冲区中的坐标</w:t>
      </w:r>
      <w:r>
        <w:rPr>
          <w:rFonts w:hint="eastAsia"/>
        </w:rPr>
        <w:t xml:space="preserve"> (x , y ) </w:t>
      </w:r>
      <w:r>
        <w:rPr>
          <w:rFonts w:hint="eastAsia"/>
        </w:rPr>
        <w:t>转换为</w:t>
      </w:r>
      <w:r>
        <w:t>1</w:t>
      </w:r>
      <w:r>
        <w:rPr>
          <w:rFonts w:hint="eastAsia"/>
        </w:rPr>
        <w:t>号几何缓冲区中的坐标</w:t>
      </w:r>
      <w:r>
        <w:rPr>
          <w:rFonts w:hint="eastAsia"/>
        </w:rPr>
        <w:t xml:space="preserve"> (u, v)</w:t>
      </w:r>
      <w:r>
        <w:rPr>
          <w:rFonts w:hint="eastAsia"/>
        </w:rPr>
        <w:t>。</w:t>
      </w:r>
    </w:p>
    <w:p w14:paraId="1F810396" w14:textId="77777777" w:rsidR="00417D94" w:rsidRDefault="00000000">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33736184" w14:textId="77777777" w:rsidR="00417D94" w:rsidRDefault="00000000">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6C70DE7D" w14:textId="77777777" w:rsidR="00417D94" w:rsidRDefault="00000000">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411463EF" w14:textId="77777777" w:rsidR="00417D94" w:rsidRDefault="00000000">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464AB1D9" w14:textId="77777777" w:rsidR="00417D94" w:rsidRDefault="00000000">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3A95AC7F" w14:textId="77777777" w:rsidR="00417D94" w:rsidRDefault="00000000">
      <w:pPr>
        <w:ind w:firstLine="420"/>
      </w:pPr>
      <w:r>
        <w:rPr>
          <w:rFonts w:hint="eastAsia"/>
        </w:rPr>
        <w:t>负坐标像素的等式也同理可得。</w:t>
      </w:r>
    </w:p>
    <w:p w14:paraId="1B0755BC" w14:textId="77777777" w:rsidR="00417D94" w:rsidRDefault="00000000">
      <w:pPr>
        <w:ind w:firstLine="420"/>
      </w:pPr>
      <w:r>
        <w:rPr>
          <w:rFonts w:hint="eastAsia"/>
        </w:rPr>
        <w:t>在光照通道中，像素着色器使用</w:t>
      </w:r>
      <w:r>
        <w:rPr>
          <w:rFonts w:hint="eastAsia"/>
        </w:rPr>
        <w:t>1</w:t>
      </w:r>
      <w:r>
        <w:rPr>
          <w:rFonts w:hint="eastAsia"/>
        </w:rPr>
        <w:t>号几何缓冲区中的信息，计算每个像素的直接和间接光照，并将结果渲染到</w:t>
      </w:r>
      <w:r>
        <w:rPr>
          <w:rFonts w:hint="eastAsia"/>
        </w:rPr>
        <w:t>2</w:t>
      </w:r>
      <w:r>
        <w:rPr>
          <w:rFonts w:hint="eastAsia"/>
        </w:rPr>
        <w:t>号几何缓冲区中。屏幕的宽度（高度），与</w:t>
      </w:r>
      <w:r>
        <w:t>1</w:t>
      </w:r>
      <w:r>
        <w:rPr>
          <w:rFonts w:hint="eastAsia"/>
        </w:rPr>
        <w:t>、</w:t>
      </w:r>
      <w:r>
        <w:rPr>
          <w:rFonts w:hint="eastAsia"/>
        </w:rPr>
        <w:t>2</w:t>
      </w:r>
      <w:r>
        <w:rPr>
          <w:rFonts w:hint="eastAsia"/>
        </w:rPr>
        <w:t>号几何缓冲区的宽度（高度）之比为σ</w:t>
      </w:r>
      <w:r>
        <w:rPr>
          <w:rFonts w:hint="eastAsia"/>
        </w:rPr>
        <w:t xml:space="preserve"> = W</w:t>
      </w:r>
      <w:r>
        <w:t>/</w:t>
      </w:r>
      <w:r>
        <w:rPr>
          <w:rFonts w:hint="eastAsia"/>
        </w:rPr>
        <w:t>w = H</w:t>
      </w:r>
      <w:r>
        <w:t>/</w:t>
      </w:r>
      <w:r>
        <w:rPr>
          <w:rFonts w:hint="eastAsia"/>
        </w:rPr>
        <w:t>h</w:t>
      </w:r>
      <w:r>
        <w:rPr>
          <w:rFonts w:hint="eastAsia"/>
        </w:rPr>
        <w:t>。着色成本与需要着色的像素数量呈线性关系。传统的延迟着色管道会着色</w:t>
      </w:r>
      <w:r>
        <w:rPr>
          <w:rFonts w:hint="eastAsia"/>
        </w:rPr>
        <w:t xml:space="preserve"> W </w:t>
      </w:r>
      <w:r>
        <w:rPr>
          <w:rFonts w:hint="eastAsia"/>
        </w:rPr>
        <w:t>×</w:t>
      </w:r>
      <w:r>
        <w:rPr>
          <w:rFonts w:hint="eastAsia"/>
        </w:rPr>
        <w:t xml:space="preserve"> H </w:t>
      </w:r>
      <w:r>
        <w:rPr>
          <w:rFonts w:hint="eastAsia"/>
        </w:rPr>
        <w:t>像素，而经过像素在矩形内部的映射，本渲染管线会着色</w:t>
      </w:r>
      <w:r>
        <w:rPr>
          <w:rFonts w:hint="eastAsia"/>
        </w:rPr>
        <w:t xml:space="preserve"> w</w:t>
      </w:r>
      <w:r>
        <w:rPr>
          <w:rFonts w:hint="eastAsia"/>
        </w:rPr>
        <w:t>×</w:t>
      </w:r>
      <w:r>
        <w:rPr>
          <w:rFonts w:hint="eastAsia"/>
        </w:rPr>
        <w:t xml:space="preserve">h </w:t>
      </w:r>
      <w:r>
        <w:rPr>
          <w:rFonts w:hint="eastAsia"/>
        </w:rPr>
        <w:t>像素。因此，</w:t>
      </w:r>
      <w:r>
        <w:rPr>
          <w:rFonts w:hint="eastAsia"/>
        </w:rPr>
        <w:t xml:space="preserve">RMFR </w:t>
      </w:r>
      <w:r>
        <w:rPr>
          <w:rFonts w:hint="eastAsia"/>
        </w:rPr>
        <w:t>在着色步骤中的理论提速</w:t>
      </w:r>
      <w:r>
        <w:rPr>
          <w:rFonts w:hint="eastAsia"/>
        </w:rPr>
        <w:t xml:space="preserve"> S </w:t>
      </w:r>
      <w:r>
        <w:rPr>
          <w:rFonts w:hint="eastAsia"/>
        </w:rPr>
        <w:t>为</w:t>
      </w:r>
    </w:p>
    <w:p w14:paraId="0370DFB9" w14:textId="77777777" w:rsidR="00417D94" w:rsidRDefault="00000000">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C436831" w14:textId="77777777" w:rsidR="00417D94" w:rsidRDefault="00000000">
      <w:pPr>
        <w:ind w:firstLine="420"/>
        <w:jc w:val="left"/>
        <w:rPr>
          <w:rStyle w:val="ab"/>
          <w:color w:val="auto"/>
        </w:rPr>
      </w:pPr>
      <w:r>
        <w:rPr>
          <w:rStyle w:val="ab"/>
          <w:rFonts w:hint="eastAsia"/>
          <w:color w:val="auto"/>
        </w:rPr>
        <w:t>最后，渲染器将</w:t>
      </w:r>
      <w:r>
        <w:rPr>
          <w:rStyle w:val="ab"/>
          <w:color w:val="auto"/>
        </w:rPr>
        <w:t>2</w:t>
      </w:r>
      <w:r>
        <w:rPr>
          <w:rStyle w:val="ab"/>
          <w:rFonts w:hint="eastAsia"/>
          <w:color w:val="auto"/>
        </w:rPr>
        <w:t>号几何缓冲区中的渲染场景映射到全分辨率屏幕上，这正是上述过程的逆过程。具体来说，</w:t>
      </w:r>
      <w:r>
        <w:rPr>
          <w:rStyle w:val="ab"/>
          <w:color w:val="auto"/>
        </w:rPr>
        <w:t>2</w:t>
      </w:r>
      <w:r>
        <w:rPr>
          <w:rStyle w:val="ab"/>
          <w:rFonts w:hint="eastAsia"/>
          <w:color w:val="auto"/>
        </w:rPr>
        <w:t>号几何缓冲区中坐标为（</w:t>
      </w:r>
      <w:r>
        <w:rPr>
          <w:rStyle w:val="ab"/>
          <w:rFonts w:hint="eastAsia"/>
          <w:color w:val="auto"/>
        </w:rPr>
        <w:t>u, v</w:t>
      </w:r>
      <w:r>
        <w:rPr>
          <w:rStyle w:val="ab"/>
          <w:rFonts w:hint="eastAsia"/>
          <w:color w:val="auto"/>
        </w:rPr>
        <w:t>）的像素通过下面的公式转换回笛卡尔坐标中的（</w:t>
      </w:r>
      <w:r>
        <w:rPr>
          <w:rStyle w:val="ab"/>
          <w:rFonts w:hint="eastAsia"/>
          <w:color w:val="auto"/>
        </w:rPr>
        <w:t>x, y</w:t>
      </w:r>
      <w:r>
        <w:rPr>
          <w:rStyle w:val="ab"/>
          <w:rFonts w:hint="eastAsia"/>
          <w:color w:val="auto"/>
        </w:rPr>
        <w:t>）。</w:t>
      </w:r>
    </w:p>
    <w:p w14:paraId="6100EB2D" w14:textId="77777777" w:rsidR="00417D94" w:rsidRDefault="00000000">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num>
            <m:den>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den>
          </m:f>
        </m:oMath>
      </m:oMathPara>
    </w:p>
    <w:p w14:paraId="7B4B1335" w14:textId="77777777" w:rsidR="00417D94" w:rsidRDefault="00000000">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num>
            <m:den>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den>
          </m:f>
        </m:oMath>
      </m:oMathPara>
    </w:p>
    <w:p w14:paraId="0A2CCDBF" w14:textId="77777777" w:rsidR="00417D94" w:rsidRDefault="00000000">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73DDC4AB" w14:textId="77777777" w:rsidR="00417D94" w:rsidRDefault="00000000">
      <w:pPr>
        <w:spacing w:before="720" w:after="720"/>
        <w:ind w:firstLine="420"/>
        <w:jc w:val="center"/>
        <w:rPr>
          <w:rStyle w:val="ab"/>
          <w:color w:val="auto"/>
        </w:rPr>
      </w:pPr>
      <m:oMathPara>
        <m:oMath>
          <m:r>
            <w:rPr>
              <w:rStyle w:val="ab"/>
              <w:rFonts w:ascii="Cambria Math" w:hAnsi="Cambria Math" w:hint="eastAsia"/>
              <w:color w:val="auto"/>
            </w:rPr>
            <w:lastRenderedPageBreak/>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num>
            <m:den>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den>
          </m:f>
        </m:oMath>
      </m:oMathPara>
    </w:p>
    <w:p w14:paraId="1DCEBB60" w14:textId="77777777" w:rsidR="00417D94" w:rsidRDefault="00000000">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num>
            <m:den>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den>
          </m:f>
        </m:oMath>
      </m:oMathPara>
    </w:p>
    <w:p w14:paraId="1EF7110B" w14:textId="77777777" w:rsidR="00417D94" w:rsidRDefault="00417D94">
      <w:pPr>
        <w:spacing w:before="960" w:after="720"/>
        <w:ind w:firstLine="420"/>
        <w:jc w:val="center"/>
        <w:rPr>
          <w:rStyle w:val="ab"/>
          <w:color w:val="auto"/>
        </w:rPr>
      </w:pPr>
    </w:p>
    <w:p w14:paraId="07558B32" w14:textId="77777777" w:rsidR="00417D94" w:rsidRDefault="00000000">
      <w:pPr>
        <w:pStyle w:val="2"/>
      </w:pPr>
      <w:bookmarkStart w:id="29" w:name="_Toc16857"/>
      <w:r>
        <w:rPr>
          <w:rFonts w:hint="eastAsia"/>
        </w:rPr>
        <w:t>3.</w:t>
      </w:r>
      <w:r>
        <w:t xml:space="preserve">2 </w:t>
      </w:r>
      <w:r>
        <w:rPr>
          <w:rFonts w:hint="eastAsia"/>
        </w:rPr>
        <w:t>矩形与圆盘的区域映射</w:t>
      </w:r>
      <w:bookmarkEnd w:id="29"/>
    </w:p>
    <w:p w14:paraId="77C9B97A" w14:textId="77777777" w:rsidR="00417D94" w:rsidRDefault="00000000">
      <w:pPr>
        <w:pStyle w:val="3"/>
      </w:pPr>
      <w:bookmarkStart w:id="30" w:name="_Toc24175"/>
      <w:r>
        <w:rPr>
          <w:rFonts w:hint="eastAsia"/>
        </w:rPr>
        <w:t>3.</w:t>
      </w:r>
      <w:r>
        <w:t>2</w:t>
      </w:r>
      <w:r>
        <w:rPr>
          <w:rFonts w:hint="eastAsia"/>
        </w:rPr>
        <w:t>.</w:t>
      </w:r>
      <w:r>
        <w:t xml:space="preserve">1 </w:t>
      </w:r>
      <w:r>
        <w:rPr>
          <w:rFonts w:hint="eastAsia"/>
        </w:rPr>
        <w:t>矩形内部映射存在的问题</w:t>
      </w:r>
      <w:bookmarkEnd w:id="30"/>
    </w:p>
    <w:p w14:paraId="10DD85FE" w14:textId="77777777" w:rsidR="00417D94" w:rsidRDefault="00000000">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1D6A20BD" w14:textId="77777777" w:rsidR="00417D94" w:rsidRDefault="00000000">
      <w:pPr>
        <w:ind w:firstLine="420"/>
      </w:pPr>
      <w:r>
        <w:rPr>
          <w:rFonts w:hint="eastAsia"/>
        </w:rPr>
        <w:t>但是如果研究其变换后的图像，对原图像像素的采样密度。则会发现，相比于缓冲区的对角线方向，其在</w:t>
      </w:r>
      <w:r>
        <w:rPr>
          <w:rFonts w:hint="eastAsia"/>
        </w:rPr>
        <w:t>XY</w:t>
      </w:r>
      <w:r>
        <w:rPr>
          <w:rFonts w:hint="eastAsia"/>
        </w:rPr>
        <w:t>轴方向上有明显的过采样现象。如果我们在几何缓冲区上画一个以注视点为圆心的圆，作为辅助线。可以计算得出相同的偏心率、相同的</w:t>
      </w:r>
      <w:r>
        <w:rPr>
          <w:rFonts w:hint="eastAsia"/>
        </w:rPr>
        <w:t>fx</w:t>
      </w:r>
      <w:r>
        <w:rPr>
          <w:rFonts w:hint="eastAsia"/>
        </w:rPr>
        <w:t>与</w:t>
      </w:r>
      <w:r>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，而对角线方向的采样密度为</w:t>
      </w:r>
      <w:r>
        <w:rPr>
          <w:rFonts w:hint="eastAsia"/>
        </w:rPr>
        <w:t>0.</w:t>
      </w:r>
      <w:r>
        <w:t>29</w:t>
      </w:r>
      <w:r>
        <w:rPr>
          <w:rFonts w:hint="eastAsia"/>
        </w:rPr>
        <w:t>。这样的各向异性显然与任何一种视觉敏锐度都是不相符的，势必会因为局部过采样，导致全局的无效计算变多。</w:t>
      </w:r>
    </w:p>
    <w:p w14:paraId="0B76C6BC" w14:textId="77777777" w:rsidR="00417D94" w:rsidRDefault="00000000">
      <w:pPr>
        <w:ind w:firstLine="420"/>
        <w:jc w:val="center"/>
      </w:pPr>
      <w:r>
        <w:rPr>
          <w:noProof/>
        </w:rPr>
        <w:lastRenderedPageBreak/>
        <w:drawing>
          <wp:anchor distT="0" distB="0" distL="114300" distR="114300" simplePos="0" relativeHeight="251652096" behindDoc="0" locked="0" layoutInCell="1" allowOverlap="1" wp14:anchorId="68665DED" wp14:editId="3A2E292F">
            <wp:simplePos x="0" y="0"/>
            <wp:positionH relativeFrom="column">
              <wp:posOffset>860425</wp:posOffset>
            </wp:positionH>
            <wp:positionV relativeFrom="paragraph">
              <wp:posOffset>-2540</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a:picLocks noChangeAspect="1"/>
                    </pic:cNvPicPr>
                  </pic:nvPicPr>
                  <pic:blipFill>
                    <a:blip r:embed="rId10">
                      <a:extLst>
                        <a:ext uri="{28A0092B-C50C-407E-A947-70E740481C1C}">
                          <a14:useLocalDpi xmlns:a14="http://schemas.microsoft.com/office/drawing/2010/main" val="0"/>
                        </a:ext>
                      </a:extLst>
                    </a:blip>
                    <a:srcRect l="21849" t="15097" r="10910" b="6335"/>
                    <a:stretch>
                      <a:fillRect/>
                    </a:stretch>
                  </pic:blipFill>
                  <pic:spPr>
                    <a:xfrm>
                      <a:off x="0" y="0"/>
                      <a:ext cx="3545840" cy="3107690"/>
                    </a:xfrm>
                    <a:prstGeom prst="rect">
                      <a:avLst/>
                    </a:prstGeom>
                    <a:ln>
                      <a:noFill/>
                    </a:ln>
                  </pic:spPr>
                </pic:pic>
              </a:graphicData>
            </a:graphic>
          </wp:anchor>
        </w:drawing>
      </w:r>
      <w:r>
        <w:rPr>
          <w:rFonts w:hint="eastAsia"/>
        </w:rPr>
        <w:t>图：矩形内部映射后愿图像像素的采样密度（临时）</w:t>
      </w:r>
    </w:p>
    <w:p w14:paraId="66B2C621" w14:textId="77777777" w:rsidR="00417D94" w:rsidRDefault="00000000">
      <w:pPr>
        <w:ind w:firstLine="420"/>
      </w:pPr>
      <w:r>
        <w:rPr>
          <w:noProof/>
        </w:rPr>
        <w:drawing>
          <wp:anchor distT="0" distB="0" distL="114300" distR="114300" simplePos="0" relativeHeight="251653120" behindDoc="0" locked="0" layoutInCell="1" allowOverlap="1" wp14:anchorId="17EED2FB" wp14:editId="4020B808">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anchor>
        </w:drawing>
      </w:r>
    </w:p>
    <w:p w14:paraId="7367C3CA" w14:textId="77777777" w:rsidR="00417D94" w:rsidRDefault="00000000">
      <w:pPr>
        <w:ind w:firstLine="420"/>
        <w:jc w:val="center"/>
      </w:pPr>
      <w:r>
        <w:rPr>
          <w:rFonts w:hint="eastAsia"/>
        </w:rPr>
        <w:t>图：人眼的视觉敏锐度模型</w:t>
      </w:r>
    </w:p>
    <w:p w14:paraId="6ECF1A7C" w14:textId="77777777" w:rsidR="00417D94" w:rsidRDefault="00000000">
      <w:pPr>
        <w:pStyle w:val="3"/>
      </w:pPr>
      <w:bookmarkStart w:id="31" w:name="_Toc15242"/>
      <w:r>
        <w:rPr>
          <w:rFonts w:hint="eastAsia"/>
        </w:rPr>
        <w:t>3.</w:t>
      </w:r>
      <w:r>
        <w:t>2</w:t>
      </w:r>
      <w:r>
        <w:rPr>
          <w:rFonts w:hint="eastAsia"/>
        </w:rPr>
        <w:t>.</w:t>
      </w:r>
      <w:r>
        <w:t>2</w:t>
      </w:r>
      <w:r>
        <w:rPr>
          <w:rFonts w:hint="eastAsia"/>
        </w:rPr>
        <w:t>矩形</w:t>
      </w:r>
      <w:r>
        <w:rPr>
          <w:rFonts w:hint="eastAsia"/>
        </w:rPr>
        <w:t>-</w:t>
      </w:r>
      <w:r>
        <w:rPr>
          <w:rFonts w:hint="eastAsia"/>
        </w:rPr>
        <w:t>圆盘映射的作用与所需性质</w:t>
      </w:r>
      <w:bookmarkEnd w:id="31"/>
    </w:p>
    <w:p w14:paraId="1A37FBDD" w14:textId="77777777" w:rsidR="00417D94" w:rsidRDefault="00000000">
      <w:pPr>
        <w:ind w:firstLine="420"/>
      </w:pPr>
      <w:r>
        <w:rPr>
          <w:rFonts w:hint="eastAsia"/>
        </w:rPr>
        <w:t>为了取得更好的效果，并且保持矩形内部映射的良好性质，本文的解决方法是，加入一个矩形</w:t>
      </w:r>
      <w:r>
        <w:rPr>
          <w:rFonts w:hint="eastAsia"/>
        </w:rPr>
        <w:t>-</w:t>
      </w:r>
      <w:r>
        <w:rPr>
          <w:rFonts w:hint="eastAsia"/>
        </w:rPr>
        <w:t>圆盘映射的中间模块，使变换后的几何缓冲区的采样密度，更符合真实人眼的视觉敏锐度。</w:t>
      </w:r>
    </w:p>
    <w:p w14:paraId="70C607A7" w14:textId="77777777" w:rsidR="00417D94" w:rsidRDefault="00000000">
      <w:pPr>
        <w:jc w:val="center"/>
      </w:pPr>
      <w:r>
        <w:rPr>
          <w:noProof/>
        </w:rPr>
        <w:lastRenderedPageBreak/>
        <w:drawing>
          <wp:anchor distT="0" distB="0" distL="114300" distR="114300" simplePos="0" relativeHeight="251659264" behindDoc="0" locked="0" layoutInCell="1" allowOverlap="1" wp14:anchorId="4240E45F" wp14:editId="4E85E5B4">
            <wp:simplePos x="0" y="0"/>
            <wp:positionH relativeFrom="column">
              <wp:posOffset>2540</wp:posOffset>
            </wp:positionH>
            <wp:positionV relativeFrom="paragraph">
              <wp:posOffset>17145</wp:posOffset>
            </wp:positionV>
            <wp:extent cx="5274310" cy="1914525"/>
            <wp:effectExtent l="0" t="0" r="0" b="0"/>
            <wp:wrapTopAndBottom/>
            <wp:docPr id="873766777" name="图片 1" descr="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777" name="图片 1" descr="瀑布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anchor>
        </w:drawing>
      </w:r>
      <w:r>
        <w:rPr>
          <w:rFonts w:hint="eastAsia"/>
        </w:rPr>
        <w:t>图：完整的几何缓冲区映射方案</w:t>
      </w:r>
    </w:p>
    <w:p w14:paraId="78207E9C" w14:textId="77777777" w:rsidR="00417D94" w:rsidRDefault="00000000">
      <w:pPr>
        <w:ind w:firstLine="420"/>
      </w:pPr>
      <w:r>
        <w:rPr>
          <w:rFonts w:hint="eastAsia"/>
        </w:rPr>
        <w:t>如图，展示了加入矩形</w:t>
      </w:r>
      <w:r>
        <w:rPr>
          <w:rFonts w:hint="eastAsia"/>
        </w:rPr>
        <w:t>-</w:t>
      </w:r>
      <w:r>
        <w:rPr>
          <w:rFonts w:hint="eastAsia"/>
        </w:rPr>
        <w:t>圆盘映射后的延迟着色管线。矩形</w:t>
      </w:r>
      <w:r>
        <w:rPr>
          <w:rFonts w:hint="eastAsia"/>
        </w:rPr>
        <w:t>-</w:t>
      </w:r>
      <w:r>
        <w:rPr>
          <w:rFonts w:hint="eastAsia"/>
        </w:rPr>
        <w:t>圆盘映射，指的是正方形区域和圆盘区域的正向和逆向映射，在渲染管线中的体现是，几何缓冲区在矩形内部映射结束后，进行一次正向的矩形</w:t>
      </w:r>
      <w:r>
        <w:rPr>
          <w:rFonts w:hint="eastAsia"/>
        </w:rPr>
        <w:t>-</w:t>
      </w:r>
      <w:r>
        <w:rPr>
          <w:rFonts w:hint="eastAsia"/>
        </w:rPr>
        <w:t>圆盘映射。在着色阶段完成后，矩形内部映射前，再进行一次逆向的矩形</w:t>
      </w:r>
      <w:r>
        <w:rPr>
          <w:rFonts w:hint="eastAsia"/>
        </w:rPr>
        <w:t>-</w:t>
      </w:r>
      <w:r>
        <w:rPr>
          <w:rFonts w:hint="eastAsia"/>
        </w:rPr>
        <w:t>圆盘映射。因为着色器的处理单元是有待变换的每一个像素，所以，我们用关于</w:t>
      </w:r>
      <w:r>
        <w:rPr>
          <w:rFonts w:hint="eastAsia"/>
        </w:rPr>
        <w:t>x</w:t>
      </w:r>
      <w:r>
        <w:rPr>
          <w:rFonts w:hint="eastAsia"/>
        </w:rPr>
        <w:t>、</w:t>
      </w:r>
      <w:r>
        <w:t>y</w:t>
      </w:r>
      <w:r>
        <w:rPr>
          <w:rFonts w:hint="eastAsia"/>
        </w:rPr>
        <w:t>、</w:t>
      </w:r>
      <w:r>
        <w:t>u</w:t>
      </w:r>
      <w:r>
        <w:rPr>
          <w:rFonts w:hint="eastAsia"/>
        </w:rPr>
        <w:t>、</w:t>
      </w:r>
      <w:r>
        <w:t>v</w:t>
      </w:r>
      <w:r>
        <w:rPr>
          <w:rFonts w:hint="eastAsia"/>
        </w:rPr>
        <w:t>的解析表达式来描述，圆盘上的点</w:t>
      </w:r>
      <w:r>
        <w:rPr>
          <w:rFonts w:hint="eastAsia"/>
        </w:rPr>
        <w:t>(</w:t>
      </w:r>
      <w:r>
        <w:t>u,v)</w:t>
      </w:r>
      <w:r>
        <w:rPr>
          <w:rFonts w:hint="eastAsia"/>
        </w:rPr>
        <w:t>是如何被映射到正方形区域上的点</w:t>
      </w:r>
      <w:r>
        <w:t>(x,y)</w:t>
      </w:r>
      <w:r>
        <w:rPr>
          <w:rFonts w:hint="eastAsia"/>
        </w:rPr>
        <w:t>的。</w:t>
      </w:r>
    </w:p>
    <w:p w14:paraId="11A62B13" w14:textId="77777777" w:rsidR="00417D94" w:rsidRDefault="00000000">
      <w:r>
        <w:tab/>
      </w:r>
      <w:r>
        <w:rPr>
          <w:rFonts w:hint="eastAsia"/>
        </w:rPr>
        <w:t>使用这个模块，需要先讨论一些特性。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保角性（</w:t>
      </w:r>
      <w:r>
        <w:t>conformal</w:t>
      </w:r>
      <w:r>
        <w:rPr>
          <w:rFonts w:hint="eastAsia"/>
        </w:rPr>
        <w:t>），保持尺寸的变换特性称为保面性（</w:t>
      </w:r>
      <w:r>
        <w:t>equiareal</w:t>
      </w:r>
      <w:r>
        <w:rPr>
          <w:rFonts w:hint="eastAsia"/>
        </w:rPr>
        <w:t>）。</w:t>
      </w:r>
    </w:p>
    <w:p w14:paraId="2ECF29E2" w14:textId="77777777" w:rsidR="00417D94" w:rsidRDefault="00000000">
      <w:pPr>
        <w:jc w:val="center"/>
      </w:pPr>
      <w:r>
        <w:rPr>
          <w:rFonts w:hint="eastAsia"/>
        </w:rPr>
        <w:lastRenderedPageBreak/>
        <w:t>图：保角映射与保面映射的例子。</w:t>
      </w:r>
      <w:r>
        <w:rPr>
          <w:noProof/>
        </w:rPr>
        <w:drawing>
          <wp:anchor distT="0" distB="0" distL="114300" distR="114300" simplePos="0" relativeHeight="251655168" behindDoc="0" locked="0" layoutInCell="1" allowOverlap="1" wp14:anchorId="01CA1864" wp14:editId="41165A51">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5C867C7F" w14:textId="77777777" w:rsidR="00417D94" w:rsidRDefault="00000000">
      <w:pPr>
        <w:jc w:val="left"/>
      </w:pPr>
      <w:r>
        <w:tab/>
      </w:r>
      <w:r>
        <w:rPr>
          <w:rFonts w:hint="eastAsia"/>
        </w:rPr>
        <w:t>还有一个映射的理想特性是径向性。直观地说，就是点在映射过程中只能沿着圆盘中心的径向线移动。用数学语言来表达，即点（</w:t>
      </w:r>
      <w:r>
        <w:rPr>
          <w:rFonts w:hint="eastAsia"/>
        </w:rPr>
        <w:t>u,v</w:t>
      </w:r>
      <w:r>
        <w:rPr>
          <w:rFonts w:hint="eastAsia"/>
        </w:rPr>
        <w:t>）与</w:t>
      </w:r>
      <w:r>
        <w:rPr>
          <w:rFonts w:hint="eastAsia"/>
        </w:rPr>
        <w:t xml:space="preserve"> x </w:t>
      </w:r>
      <w:r>
        <w:rPr>
          <w:rFonts w:hint="eastAsia"/>
        </w:rPr>
        <w:t>轴的夹角与点（</w:t>
      </w:r>
      <w:r>
        <w:rPr>
          <w:rFonts w:hint="eastAsia"/>
        </w:rPr>
        <w:t>x,y</w:t>
      </w:r>
      <w:r>
        <w:rPr>
          <w:rFonts w:hint="eastAsia"/>
        </w:rPr>
        <w:t>）的夹角相同。</w:t>
      </w:r>
    </w:p>
    <w:p w14:paraId="2E62F339" w14:textId="77777777" w:rsidR="00417D94" w:rsidRDefault="00000000">
      <w:pPr>
        <w:jc w:val="left"/>
      </w:pPr>
      <w:r>
        <w:tab/>
      </w:r>
      <w:r>
        <w:rPr>
          <w:rFonts w:hint="eastAsia"/>
        </w:rPr>
        <w:t>在本文的场景中，我们希望所使用的变换具有良好的保形性和径向性，而在对角线方向和</w:t>
      </w:r>
      <w:r>
        <w:rPr>
          <w:rFonts w:hint="eastAsia"/>
        </w:rPr>
        <w:t>XY</w:t>
      </w:r>
      <w:r>
        <w:rPr>
          <w:rFonts w:hint="eastAsia"/>
        </w:rPr>
        <w:t>轴向上，其保面性应具有差异。这样才能在保持图像较小的扭曲的同时，对上一模块中过采样的局部区域进行压缩。</w:t>
      </w:r>
    </w:p>
    <w:p w14:paraId="25199871" w14:textId="77777777" w:rsidR="00417D94" w:rsidRDefault="00000000">
      <w:pPr>
        <w:jc w:val="center"/>
      </w:pPr>
      <w:r>
        <w:rPr>
          <w:noProof/>
        </w:rPr>
        <w:lastRenderedPageBreak/>
        <w:drawing>
          <wp:anchor distT="0" distB="0" distL="114300" distR="114300" simplePos="0" relativeHeight="251662336" behindDoc="0" locked="0" layoutInCell="1" allowOverlap="1" wp14:anchorId="1193B2CB" wp14:editId="6A3EC64C">
            <wp:simplePos x="0" y="0"/>
            <wp:positionH relativeFrom="column">
              <wp:posOffset>280035</wp:posOffset>
            </wp:positionH>
            <wp:positionV relativeFrom="paragraph">
              <wp:posOffset>2766060</wp:posOffset>
            </wp:positionV>
            <wp:extent cx="4710430" cy="2065655"/>
            <wp:effectExtent l="0" t="0" r="0" b="0"/>
            <wp:wrapTopAndBottom/>
            <wp:docPr id="959005591" name="图片 1" descr="图片包含 体育, 运动,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5591" name="图片 1" descr="图片包含 体育, 运动, 游戏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10430" cy="2065655"/>
                    </a:xfrm>
                    <a:prstGeom prst="rect">
                      <a:avLst/>
                    </a:prstGeom>
                  </pic:spPr>
                </pic:pic>
              </a:graphicData>
            </a:graphic>
          </wp:anchor>
        </w:drawing>
      </w:r>
      <w:r>
        <w:rPr>
          <w:rFonts w:hint="eastAsia"/>
        </w:rPr>
        <w:t>图：矩形</w:t>
      </w:r>
      <w:r>
        <w:rPr>
          <w:noProof/>
        </w:rPr>
        <w:drawing>
          <wp:anchor distT="0" distB="0" distL="114300" distR="114300" simplePos="0" relativeHeight="251661312" behindDoc="0" locked="0" layoutInCell="1" allowOverlap="1" wp14:anchorId="054A466D" wp14:editId="0D7C7DE5">
            <wp:simplePos x="0" y="0"/>
            <wp:positionH relativeFrom="column">
              <wp:posOffset>216535</wp:posOffset>
            </wp:positionH>
            <wp:positionV relativeFrom="paragraph">
              <wp:posOffset>30480</wp:posOffset>
            </wp:positionV>
            <wp:extent cx="4832350" cy="2228850"/>
            <wp:effectExtent l="0" t="0" r="0" b="0"/>
            <wp:wrapTopAndBottom/>
            <wp:docPr id="101079273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2736" name="图片 1" descr="图表&#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32598" cy="2228965"/>
                    </a:xfrm>
                    <a:prstGeom prst="rect">
                      <a:avLst/>
                    </a:prstGeom>
                  </pic:spPr>
                </pic:pic>
              </a:graphicData>
            </a:graphic>
          </wp:anchor>
        </w:drawing>
      </w:r>
      <w:r>
        <w:rPr>
          <w:rFonts w:hint="eastAsia"/>
        </w:rPr>
        <w:t>-</w:t>
      </w:r>
      <w:r>
        <w:rPr>
          <w:rFonts w:hint="eastAsia"/>
        </w:rPr>
        <w:t>圆盘映射效果图</w:t>
      </w:r>
      <w:r>
        <w:rPr>
          <w:rFonts w:hint="eastAsia"/>
        </w:rPr>
        <w:t>1</w:t>
      </w:r>
    </w:p>
    <w:p w14:paraId="61F9EC82" w14:textId="77777777" w:rsidR="00417D94" w:rsidRDefault="00000000">
      <w:pPr>
        <w:jc w:val="center"/>
      </w:pPr>
      <w:r>
        <w:rPr>
          <w:rFonts w:hint="eastAsia"/>
        </w:rPr>
        <w:t>图：矩形</w:t>
      </w:r>
      <w:r>
        <w:rPr>
          <w:rFonts w:hint="eastAsia"/>
        </w:rPr>
        <w:t>-</w:t>
      </w:r>
      <w:r>
        <w:rPr>
          <w:rFonts w:hint="eastAsia"/>
        </w:rPr>
        <w:t>圆盘映射效果图</w:t>
      </w:r>
      <w:r>
        <w:rPr>
          <w:rFonts w:hint="eastAsia"/>
        </w:rPr>
        <w:t>2</w:t>
      </w:r>
    </w:p>
    <w:p w14:paraId="4BF31FAD" w14:textId="77777777" w:rsidR="00417D94" w:rsidRDefault="00000000">
      <w:pPr>
        <w:jc w:val="left"/>
      </w:pPr>
      <w:r>
        <w:tab/>
      </w:r>
    </w:p>
    <w:p w14:paraId="491311A1" w14:textId="77777777" w:rsidR="00417D94" w:rsidRDefault="00000000">
      <w:pPr>
        <w:pStyle w:val="3"/>
      </w:pPr>
      <w:bookmarkStart w:id="32" w:name="_Toc26323"/>
      <w:r>
        <w:rPr>
          <w:rFonts w:hint="eastAsia"/>
        </w:rPr>
        <w:t>3.</w:t>
      </w:r>
      <w:r>
        <w:t>2</w:t>
      </w:r>
      <w:r>
        <w:rPr>
          <w:rFonts w:hint="eastAsia"/>
        </w:rPr>
        <w:t>.</w:t>
      </w:r>
      <w:r>
        <w:t xml:space="preserve">3 </w:t>
      </w:r>
      <w:r>
        <w:rPr>
          <w:rFonts w:hint="eastAsia"/>
        </w:rPr>
        <w:t>基于费尔南德斯圆角矩形的映射</w:t>
      </w:r>
      <w:bookmarkEnd w:id="32"/>
    </w:p>
    <w:p w14:paraId="7B9828E6" w14:textId="77777777" w:rsidR="00417D94" w:rsidRDefault="00000000">
      <w:pPr>
        <w:pStyle w:val="4"/>
      </w:pPr>
      <w:r>
        <w:rPr>
          <w:rFonts w:hint="eastAsia"/>
        </w:rPr>
        <w:t>3.</w:t>
      </w:r>
      <w:r>
        <w:t>2</w:t>
      </w:r>
      <w:r>
        <w:rPr>
          <w:rFonts w:hint="eastAsia"/>
        </w:rPr>
        <w:t>.</w:t>
      </w:r>
      <w:r>
        <w:t>3</w:t>
      </w:r>
      <w:r>
        <w:rPr>
          <w:rFonts w:hint="eastAsia"/>
        </w:rPr>
        <w:t>.</w:t>
      </w:r>
      <w:r>
        <w:t xml:space="preserve">1 </w:t>
      </w:r>
      <w:r>
        <w:rPr>
          <w:rFonts w:hint="eastAsia"/>
        </w:rPr>
        <w:t>圆角矩形的解析式</w:t>
      </w:r>
    </w:p>
    <w:p w14:paraId="1765F079" w14:textId="77777777" w:rsidR="00417D94" w:rsidRDefault="00000000">
      <w:pPr>
        <w:ind w:firstLine="420"/>
        <w:rPr>
          <w:rFonts w:ascii="等线" w:hAnsi="等线"/>
          <w:sz w:val="21"/>
          <w:szCs w:val="21"/>
        </w:rPr>
      </w:pPr>
      <w:r>
        <w:rPr>
          <w:rFonts w:ascii="宋体" w:hAnsi="宋体" w:hint="eastAsia"/>
        </w:rPr>
        <w:t>这里需要引入一种新的几何图形——圆角方形。用于表示介于圆形和方形之间的形状。</w:t>
      </w:r>
    </w:p>
    <w:p w14:paraId="3CC7219B" w14:textId="77777777" w:rsidR="00417D94" w:rsidRDefault="00000000">
      <w:pPr>
        <w:ind w:firstLine="420"/>
        <w:rPr>
          <w:rFonts w:ascii="宋体" w:hAnsi="宋体"/>
        </w:rPr>
      </w:pPr>
      <w:r>
        <w:rPr>
          <w:rFonts w:ascii="宋体" w:hAnsi="宋体" w:hint="eastAsia"/>
        </w:rPr>
        <w:t>最经典的圆角方形是拉美曲线，是法国科学家拉梅（</w:t>
      </w:r>
      <w:r>
        <w:rPr>
          <w:rFonts w:eastAsia="等线" w:hint="eastAsia"/>
        </w:rPr>
        <w:t>Gabriel Lame</w:t>
      </w:r>
      <w:r>
        <w:rPr>
          <w:rFonts w:ascii="宋体" w:hAnsi="宋体" w:hint="eastAsia"/>
        </w:rPr>
        <w:t>）首先发现和提出的，所以也叫拉梅曲线。拉梅曲线的数学方程如下：</w:t>
      </w:r>
    </w:p>
    <w:p w14:paraId="3E61145F" w14:textId="77777777" w:rsidR="00417D94" w:rsidRDefault="00000000">
      <w:pPr>
        <w:ind w:firstLine="420"/>
        <w:jc w:val="center"/>
        <w:rPr>
          <w:rFonts w:ascii="宋体" w:hAnsi="宋体"/>
        </w:rPr>
      </w:pPr>
      <m:oMathPara>
        <m:oMath>
          <m:r>
            <w:rPr>
              <w:rFonts w:ascii="Cambria Math" w:hAnsi="Cambria Math" w:hint="eastAsia"/>
            </w:rPr>
            <m:t>abs</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p</m:t>
              </m:r>
            </m:sup>
          </m:sSup>
          <m:r>
            <w:rPr>
              <w:rFonts w:ascii="Cambria Math" w:hAnsi="Cambria Math"/>
            </w:rPr>
            <m:t>+abs</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2D574AEB" w14:textId="77777777" w:rsidR="00417D94" w:rsidRDefault="00000000">
      <w:pPr>
        <w:ind w:firstLine="420"/>
        <w:jc w:val="left"/>
        <w:rPr>
          <w:rFonts w:ascii="宋体" w:hAnsi="宋体"/>
        </w:rPr>
      </w:pPr>
      <w:r>
        <w:rPr>
          <w:rFonts w:ascii="宋体" w:hAnsi="宋体" w:hint="eastAsia"/>
        </w:rPr>
        <w:t>用参数方程来表示则如下：</w:t>
      </w:r>
    </w:p>
    <w:p w14:paraId="08E1DB03" w14:textId="77777777" w:rsidR="00417D94" w:rsidRDefault="00000000">
      <w:pPr>
        <w:ind w:firstLine="420"/>
        <w:jc w:val="center"/>
        <w:rPr>
          <w:i/>
        </w:rPr>
      </w:pPr>
      <m:oMathPara>
        <m:oMath>
          <m:r>
            <w:rPr>
              <w:rFonts w:ascii="Cambria Math" w:hAnsi="Cambria Math"/>
            </w:rPr>
            <w:lastRenderedPageBreak/>
            <m:t>x=a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5B9BBA0F" w14:textId="77777777" w:rsidR="00417D94" w:rsidRDefault="00000000">
      <w:pPr>
        <w:ind w:firstLine="420"/>
        <w:jc w:val="center"/>
        <w:rPr>
          <w:i/>
        </w:rPr>
      </w:pPr>
      <m:oMathPara>
        <m:oMath>
          <m:r>
            <w:rPr>
              <w:rFonts w:ascii="Cambria Math" w:hAnsi="Cambria Math"/>
            </w:rPr>
            <m:t>y=a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003DC598" w14:textId="77777777" w:rsidR="00417D94" w:rsidRDefault="00000000">
      <w:pPr>
        <w:ind w:firstLineChars="200" w:firstLine="480"/>
        <w:jc w:val="center"/>
        <w:rPr>
          <w:rFonts w:ascii="微软雅黑" w:hAnsi="微软雅黑"/>
        </w:rPr>
      </w:pPr>
      <w:r>
        <w:rPr>
          <w:rFonts w:ascii="微软雅黑" w:hAnsi="微软雅黑"/>
          <w:noProof/>
        </w:rPr>
        <w:drawing>
          <wp:anchor distT="0" distB="0" distL="114300" distR="114300" simplePos="0" relativeHeight="251663360" behindDoc="0" locked="0" layoutInCell="1" allowOverlap="1" wp14:anchorId="7BF679CD" wp14:editId="39ABB5D8">
            <wp:simplePos x="0" y="0"/>
            <wp:positionH relativeFrom="column">
              <wp:posOffset>1905</wp:posOffset>
            </wp:positionH>
            <wp:positionV relativeFrom="paragraph">
              <wp:posOffset>370205</wp:posOffset>
            </wp:positionV>
            <wp:extent cx="5274310" cy="5274310"/>
            <wp:effectExtent l="0" t="0" r="0" b="0"/>
            <wp:wrapTopAndBottom/>
            <wp:docPr id="205943995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9956" name="图片 1" descr="图表&#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anchor>
        </w:drawing>
      </w:r>
    </w:p>
    <w:p w14:paraId="5CD1FA29" w14:textId="77777777" w:rsidR="00417D94" w:rsidRDefault="00000000">
      <w:pPr>
        <w:ind w:firstLineChars="200" w:firstLine="480"/>
        <w:jc w:val="center"/>
      </w:pPr>
      <w:r>
        <w:rPr>
          <w:rFonts w:ascii="微软雅黑" w:hAnsi="微软雅黑" w:hint="eastAsia"/>
        </w:rPr>
        <w:t>图、不同</w:t>
      </w:r>
      <w:r>
        <w:rPr>
          <w:rFonts w:eastAsia="等线" w:hint="eastAsia"/>
        </w:rPr>
        <w:t>n</w:t>
      </w:r>
      <w:r>
        <w:rPr>
          <w:rFonts w:ascii="微软雅黑" w:hAnsi="微软雅黑" w:hint="eastAsia"/>
        </w:rPr>
        <w:t>值（指数值）下的拉美曲线</w:t>
      </w:r>
    </w:p>
    <w:p w14:paraId="7E76DB99" w14:textId="77777777" w:rsidR="00417D94" w:rsidRDefault="00000000">
      <w:pPr>
        <w:ind w:firstLineChars="200" w:firstLine="480"/>
      </w:pPr>
      <w:r>
        <w:rPr>
          <w:rFonts w:ascii="宋体" w:hAnsi="宋体" w:hint="eastAsia"/>
        </w:rPr>
        <w:t>但是求解析解十分困难，相比之下费尔南德斯圆角方形方程就更具有代数简洁性。</w:t>
      </w:r>
      <w:r>
        <w:rPr>
          <w:rFonts w:hint="eastAsia"/>
        </w:rPr>
        <w:t>他的方程包含一个参数</w:t>
      </w:r>
      <w:r>
        <w:rPr>
          <w:rFonts w:hint="eastAsia"/>
        </w:rPr>
        <w:t xml:space="preserve"> s</w:t>
      </w:r>
      <w:r>
        <w:rPr>
          <w:rFonts w:hint="eastAsia"/>
        </w:rPr>
        <w:t>，可用来平滑地混合圆形和方形。其方程表示如下：</w:t>
      </w:r>
    </w:p>
    <w:p w14:paraId="30D3699B"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39871DE0" w14:textId="77777777" w:rsidR="00417D94" w:rsidRDefault="00000000">
      <w:pPr>
        <w:ind w:firstLineChars="200" w:firstLine="480"/>
        <w:rPr>
          <w:rFonts w:ascii="宋体" w:hAnsi="宋体"/>
        </w:rPr>
      </w:pPr>
      <w:r>
        <w:rPr>
          <w:rFonts w:ascii="宋体" w:hAnsi="宋体" w:hint="eastAsia"/>
        </w:rPr>
        <w:t>下面简述其推导过程。首先观察到：</w:t>
      </w:r>
    </w:p>
    <w:p w14:paraId="0F91E78E" w14:textId="77777777" w:rsidR="00417D94" w:rsidRDefault="00000000">
      <w:pPr>
        <w:spacing w:before="240" w:after="240"/>
        <w:ind w:firstLineChars="200" w:firstLine="480"/>
        <w:jc w:val="center"/>
      </w:pPr>
      <m:oMathPara>
        <m:oMath>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=0</m:t>
          </m:r>
        </m:oMath>
      </m:oMathPara>
    </w:p>
    <w:p w14:paraId="6B6CE982" w14:textId="77777777" w:rsidR="00417D94" w:rsidRDefault="00000000">
      <w:pPr>
        <w:ind w:firstLineChars="200" w:firstLine="480"/>
        <w:rPr>
          <w:rFonts w:ascii="宋体" w:hAnsi="宋体"/>
        </w:rPr>
      </w:pPr>
      <w:r>
        <w:rPr>
          <w:rFonts w:ascii="宋体" w:hAnsi="宋体" w:hint="eastAsia"/>
        </w:rPr>
        <w:lastRenderedPageBreak/>
        <w:t>代表</w:t>
      </w:r>
      <w:r>
        <w:rPr>
          <w:rFonts w:eastAsia="等线" w:hint="eastAsia"/>
        </w:rPr>
        <w:t>x=1</w:t>
      </w:r>
      <w:r>
        <w:rPr>
          <w:rFonts w:ascii="宋体" w:hAnsi="宋体" w:hint="eastAsia"/>
        </w:rPr>
        <w:t>和</w:t>
      </w:r>
      <w:r>
        <w:rPr>
          <w:rFonts w:eastAsia="等线" w:hint="eastAsia"/>
        </w:rPr>
        <w:t>x=-1</w:t>
      </w:r>
      <w:r>
        <w:rPr>
          <w:rFonts w:ascii="宋体" w:hAnsi="宋体" w:hint="eastAsia"/>
        </w:rPr>
        <w:t>两条直线。可以使用两个二项式平方根项的乘积来表示正方形：</w:t>
      </w:r>
    </w:p>
    <w:p w14:paraId="4C46FF89" w14:textId="77777777" w:rsidR="00417D94" w:rsidRDefault="00000000">
      <w:pPr>
        <w:spacing w:before="360" w:after="240"/>
        <w:ind w:firstLineChars="200" w:firstLine="480"/>
        <w:jc w:val="center"/>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=0 </m:t>
          </m:r>
        </m:oMath>
      </m:oMathPara>
    </w:p>
    <w:p w14:paraId="5AC60668" w14:textId="77777777" w:rsidR="00417D94" w:rsidRDefault="00000000">
      <w:pPr>
        <w:ind w:firstLineChars="200" w:firstLine="48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时，可以绘制成笛卡尔平面中的正方形。然后简化方程式，得到：</w:t>
      </w:r>
    </w:p>
    <w:p w14:paraId="79F0A33D" w14:textId="77777777" w:rsidR="00417D94" w:rsidRDefault="00000000">
      <w:pPr>
        <w:spacing w:before="360" w:after="240"/>
        <w:ind w:firstLineChars="200" w:firstLine="480"/>
        <w:jc w:val="center"/>
      </w:pPr>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e>
        </m:rad>
        <m:r>
          <w:rPr>
            <w:rFonts w:ascii="Cambria Math" w:hAnsi="Cambria Math"/>
          </w:rPr>
          <m:t>=0</m:t>
        </m:r>
      </m:oMath>
      <w:r>
        <w:t xml:space="preserve"> </w:t>
      </w:r>
    </w:p>
    <w:p w14:paraId="1FB344BD" w14:textId="77777777" w:rsidR="00417D94" w:rsidRDefault="00000000">
      <w:pPr>
        <w:ind w:firstLineChars="200" w:firstLine="480"/>
        <w:jc w:val="center"/>
        <w:rPr>
          <w:rFonts w:ascii="宋体" w:hAnsi="宋体"/>
        </w:rPr>
      </w:pPr>
      <w:r>
        <w:rPr>
          <w:rFonts w:ascii="宋体" w:hAnsi="宋体"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w:p>
    <w:p w14:paraId="3B60B797" w14:textId="77777777" w:rsidR="00417D94" w:rsidRDefault="00000000">
      <w:pPr>
        <w:ind w:firstLine="42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 xml:space="preserve">时，这是笛卡尔平面中正方形的有效多项式表示。通过在方程中引入方形参数 </w:t>
      </w:r>
      <w:r>
        <w:rPr>
          <w:rFonts w:eastAsia="等线" w:hint="eastAsia"/>
        </w:rPr>
        <w:t>s</w:t>
      </w:r>
      <w:r>
        <w:rPr>
          <w:rFonts w:eastAsia="等线" w:hint="eastAsia"/>
        </w:rPr>
        <w:t>（取值区间为</w:t>
      </w:r>
      <w:r>
        <w:rPr>
          <w:rFonts w:eastAsia="等线" w:hint="eastAsia"/>
        </w:rPr>
        <w:t>[</w:t>
      </w:r>
      <w:r>
        <w:rPr>
          <w:rFonts w:eastAsia="等线"/>
        </w:rPr>
        <w:t>0,1]</w:t>
      </w:r>
      <w:r>
        <w:rPr>
          <w:rFonts w:eastAsia="等线" w:hint="eastAsia"/>
        </w:rPr>
        <w:t>）</w:t>
      </w:r>
      <w:r>
        <w:rPr>
          <w:rFonts w:ascii="宋体" w:hAnsi="宋体" w:hint="eastAsia"/>
        </w:rPr>
        <w:t>，可以生成在正方形和圆形之间插值的形状：</w:t>
      </w:r>
    </w:p>
    <w:p w14:paraId="086FE6CA" w14:textId="77777777" w:rsidR="00417D94" w:rsidRDefault="00000000">
      <w:pPr>
        <w:spacing w:before="240"/>
        <w:ind w:firstLine="42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m:oMathPara>
    </w:p>
    <w:p w14:paraId="47F57912" w14:textId="77777777" w:rsidR="00417D94" w:rsidRDefault="00000000">
      <w:pPr>
        <w:spacing w:before="240"/>
        <w:ind w:firstLineChars="200" w:firstLine="480"/>
        <w:jc w:val="center"/>
      </w:pPr>
      <w:r>
        <w:rPr>
          <w:rFonts w:hint="eastAsia"/>
        </w:rPr>
        <w:t>即：</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2F328F64" w14:textId="77777777" w:rsidR="00417D94" w:rsidRDefault="00000000">
      <w:pPr>
        <w:ind w:firstLine="420"/>
      </w:pPr>
      <w:r>
        <w:rPr>
          <w:rFonts w:ascii="宋体" w:hAnsi="宋体" w:hint="eastAsia"/>
        </w:rPr>
        <w:t>尽管莱姆曲线与费尔南德斯曲线在质量上有相似之处，但两者之间存在一个主要区别。</w:t>
      </w:r>
    </w:p>
    <w:p w14:paraId="41B3BFBA" w14:textId="77777777" w:rsidR="00417D94" w:rsidRDefault="00000000">
      <w:pPr>
        <w:ind w:firstLine="420"/>
      </w:pPr>
      <w:r>
        <w:rPr>
          <w:rFonts w:ascii="宋体" w:hAnsi="宋体" w:hint="eastAsia"/>
        </w:rPr>
        <w:t>莱姆曲线只能逼近正方形。此外，由于莱姆曲线的多项式方程具有无界指数，因此它难以代数操作。相反，费尔南德斯曲线是低阶四次曲线。此外，由于其多项式方程中没有三次项或线性项，因此费尔南德斯曲线本质上是一条更简单的双二次曲线。这使得它更适合代数操作和简化。</w:t>
      </w:r>
    </w:p>
    <w:p w14:paraId="27CF1897" w14:textId="77777777" w:rsidR="00417D94" w:rsidRDefault="00000000">
      <w:pPr>
        <w:pStyle w:val="4"/>
      </w:pPr>
      <w:r>
        <w:rPr>
          <w:rFonts w:hint="eastAsia"/>
        </w:rPr>
        <w:t>3.</w:t>
      </w:r>
      <w:r>
        <w:t>2</w:t>
      </w:r>
      <w:r>
        <w:rPr>
          <w:rFonts w:hint="eastAsia"/>
        </w:rPr>
        <w:t>.</w:t>
      </w:r>
      <w:r>
        <w:t>3</w:t>
      </w:r>
      <w:r>
        <w:rPr>
          <w:rFonts w:hint="eastAsia"/>
        </w:rPr>
        <w:t>.</w:t>
      </w:r>
      <w:r>
        <w:t xml:space="preserve">2 </w:t>
      </w:r>
      <w:r>
        <w:rPr>
          <w:rFonts w:hint="eastAsia"/>
        </w:rPr>
        <w:t>连续体之间的映射</w:t>
      </w:r>
    </w:p>
    <w:p w14:paraId="4EEF2069" w14:textId="77777777" w:rsidR="00417D94" w:rsidRDefault="00000000">
      <w:pPr>
        <w:ind w:firstLine="420"/>
        <w:jc w:val="left"/>
        <w:rPr>
          <w:rFonts w:ascii="宋体" w:hAnsi="宋体"/>
        </w:rPr>
      </w:pPr>
      <w:r>
        <w:rPr>
          <w:rFonts w:hint="eastAsia"/>
        </w:rPr>
        <w:t>对于上文得到的圆角矩形表达式，我们可以了令</w:t>
      </w:r>
      <w:r>
        <w:rPr>
          <w:rFonts w:eastAsia="等线" w:hint="eastAsia"/>
        </w:rPr>
        <w:t>s</w:t>
      </w:r>
      <w:r>
        <w:rPr>
          <w:rFonts w:hint="eastAsia"/>
        </w:rPr>
        <w:t xml:space="preserve"> = </w:t>
      </w:r>
      <w:r>
        <w:rPr>
          <w:rFonts w:eastAsia="等线" w:hint="eastAsia"/>
        </w:rPr>
        <w:t>r</w:t>
      </w:r>
      <w:r>
        <w:rPr>
          <w:rFonts w:hint="eastAsia"/>
        </w:rPr>
        <w:t xml:space="preserve"> </w:t>
      </w:r>
      <w:r>
        <w:rPr>
          <w:rFonts w:ascii="宋体" w:hAnsi="宋体" w:hint="eastAsia"/>
        </w:rPr>
        <w:t>，可以得到:</w:t>
      </w:r>
    </w:p>
    <w:p w14:paraId="46BB47E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19C1D750" w14:textId="77777777" w:rsidR="00417D94" w:rsidRDefault="00000000">
      <w:pPr>
        <w:ind w:firstLine="420"/>
      </w:pPr>
      <w:r>
        <w:rPr>
          <w:rFonts w:hint="eastAsia"/>
        </w:rPr>
        <w:t>在这个等式中。我们有一个参数</w:t>
      </w:r>
      <w:r>
        <w:rPr>
          <w:rFonts w:hint="eastAsia"/>
        </w:rPr>
        <w:t>s</w:t>
      </w:r>
      <w:r>
        <w:rPr>
          <w:rFonts w:hint="eastAsia"/>
        </w:rPr>
        <w:t>，可以控制圆角矩形的正方形程度和大小。从视觉上说，我们可以看到一系列不断“变大”“变方”的形状，它们在</w:t>
      </w:r>
      <w:r>
        <w:rPr>
          <w:rFonts w:hint="eastAsia"/>
        </w:rPr>
        <w:t xml:space="preserve"> s=0 </w:t>
      </w:r>
      <w:r>
        <w:rPr>
          <w:rFonts w:hint="eastAsia"/>
        </w:rPr>
        <w:t>时以一个点开始，在</w:t>
      </w:r>
      <w:r>
        <w:rPr>
          <w:rFonts w:hint="eastAsia"/>
        </w:rPr>
        <w:t xml:space="preserve"> s=1 </w:t>
      </w:r>
      <w:r>
        <w:rPr>
          <w:rFonts w:hint="eastAsia"/>
        </w:rPr>
        <w:t>时以一个正方形结束。</w:t>
      </w:r>
    </w:p>
    <w:p w14:paraId="3C6DD79A" w14:textId="77777777" w:rsidR="00417D94" w:rsidRDefault="00000000">
      <w:r>
        <w:lastRenderedPageBreak/>
        <w:tab/>
      </w:r>
      <w:r>
        <w:rPr>
          <w:rFonts w:hint="eastAsia"/>
        </w:rPr>
        <w:t>我们将这一系列变化的形状组成一个正方形区域。记为：</w:t>
      </w:r>
    </w:p>
    <w:p w14:paraId="5CF509FB"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3F8CD69F" w14:textId="77777777" w:rsidR="00417D94" w:rsidRDefault="00000000">
      <w:pPr>
        <w:jc w:val="left"/>
      </w:pPr>
      <w:r>
        <w:tab/>
      </w:r>
      <w:r>
        <w:rPr>
          <w:rFonts w:hint="eastAsia"/>
        </w:rPr>
        <w:t>而对于我们需要的单位圆盘区域，可以看作是半径从</w:t>
      </w:r>
      <w:r>
        <w:t>0</w:t>
      </w:r>
      <w:r>
        <w:rPr>
          <w:rFonts w:hint="eastAsia"/>
        </w:rPr>
        <w:t>到</w:t>
      </w:r>
      <w:r>
        <w:rPr>
          <w:rFonts w:hint="eastAsia"/>
        </w:rPr>
        <w:t>1</w:t>
      </w:r>
      <w:r>
        <w:rPr>
          <w:rFonts w:hint="eastAsia"/>
        </w:rPr>
        <w:t>的同心圆组成的连续体，从而，可以将单位圆盘记为：</w:t>
      </w:r>
    </w:p>
    <w:p w14:paraId="191275F2"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hint="eastAsia"/>
                        </w:rPr>
                        <m:t>u,v</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744372C4" w14:textId="77777777" w:rsidR="00417D94" w:rsidRDefault="00000000">
      <w:pPr>
        <w:jc w:val="left"/>
      </w:pPr>
      <w:r>
        <w:tab/>
      </w:r>
      <w:r>
        <w:rPr>
          <w:rFonts w:hint="eastAsia"/>
        </w:rPr>
        <w:t>这里，</w:t>
      </w:r>
      <w:r>
        <w:rPr>
          <w:rFonts w:hint="eastAsia"/>
        </w:rPr>
        <w:t>t</w:t>
      </w:r>
      <w:r>
        <w:rPr>
          <w:rFonts w:hint="eastAsia"/>
        </w:rPr>
        <w:t>的意义为点（</w:t>
      </w:r>
      <w:r>
        <w:rPr>
          <w:rFonts w:hint="eastAsia"/>
        </w:rPr>
        <w:t>u,v</w:t>
      </w:r>
      <w:r>
        <w:rPr>
          <w:rFonts w:hint="eastAsia"/>
        </w:rPr>
        <w:t>）到原点的距离。</w:t>
      </w:r>
    </w:p>
    <w:p w14:paraId="5A96CFB3" w14:textId="77777777" w:rsidR="00417D94" w:rsidRDefault="00000000">
      <w:pPr>
        <w:jc w:val="left"/>
      </w:pPr>
      <w:r>
        <w:tab/>
      </w:r>
      <w:r>
        <w:rPr>
          <w:rFonts w:hint="eastAsia"/>
        </w:rPr>
        <w:t>我们可以通过将单位圆盘内部的每一个圆形轮廓，映射到正方形内部的每一个圆角矩形轮廓，来建立单位圆盘和正方形区域之间的对应关系。我们令两组参数</w:t>
      </w:r>
      <w:r>
        <w:rPr>
          <w:rFonts w:hint="eastAsia"/>
        </w:rPr>
        <w:t>t</w:t>
      </w:r>
      <w:r>
        <w:rPr>
          <w:rFonts w:hint="eastAsia"/>
        </w:rPr>
        <w:t>相等，即可得到等式：</w:t>
      </w:r>
    </w:p>
    <w:p w14:paraId="66AAE1AA"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44A01637" w14:textId="77777777" w:rsidR="00417D94" w:rsidRDefault="00000000">
      <w:pPr>
        <w:jc w:val="left"/>
      </w:pPr>
      <w:r>
        <w:tab/>
      </w:r>
      <w:r>
        <w:rPr>
          <w:rFonts w:hint="eastAsia"/>
        </w:rPr>
        <w:t>这个方程将作为求解圆盘</w:t>
      </w:r>
      <w:r>
        <w:rPr>
          <w:rFonts w:hint="eastAsia"/>
        </w:rPr>
        <w:t>-</w:t>
      </w:r>
      <w:r>
        <w:rPr>
          <w:rFonts w:hint="eastAsia"/>
        </w:rPr>
        <w:t>矩形映射的条件之一。</w:t>
      </w:r>
    </w:p>
    <w:p w14:paraId="4C81258E" w14:textId="77777777" w:rsidR="00417D94" w:rsidRDefault="00000000">
      <w:pPr>
        <w:pStyle w:val="4"/>
      </w:pPr>
      <w:r>
        <w:rPr>
          <w:rFonts w:hint="eastAsia"/>
        </w:rPr>
        <w:t>3.</w:t>
      </w:r>
      <w:r>
        <w:t>2</w:t>
      </w:r>
      <w:r>
        <w:rPr>
          <w:rFonts w:hint="eastAsia"/>
        </w:rPr>
        <w:t>.</w:t>
      </w:r>
      <w:r>
        <w:t>3</w:t>
      </w:r>
      <w:r>
        <w:rPr>
          <w:rFonts w:hint="eastAsia"/>
        </w:rPr>
        <w:t>.</w:t>
      </w:r>
      <w:r>
        <w:t xml:space="preserve">3 </w:t>
      </w:r>
      <w:r>
        <w:rPr>
          <w:rFonts w:hint="eastAsia"/>
        </w:rPr>
        <w:t>圆盘到矩形的映射表达式的求解</w:t>
      </w:r>
    </w:p>
    <w:p w14:paraId="118A8FCE" w14:textId="77777777" w:rsidR="00417D94" w:rsidRDefault="00000000">
      <w:pPr>
        <w:ind w:firstLine="420"/>
        <w:jc w:val="left"/>
      </w:pPr>
      <w:r>
        <w:rPr>
          <w:rFonts w:hint="eastAsia"/>
        </w:rPr>
        <w:t>求解圆盘</w:t>
      </w:r>
      <w:r>
        <w:rPr>
          <w:rFonts w:hint="eastAsia"/>
        </w:rPr>
        <w:t>-</w:t>
      </w:r>
      <w:r>
        <w:rPr>
          <w:rFonts w:hint="eastAsia"/>
        </w:rPr>
        <w:t>矩形映射表达式需要的另一个条件是径向约束：</w:t>
      </w:r>
    </w:p>
    <w:p w14:paraId="0BBB95CD" w14:textId="77777777" w:rsidR="00417D94" w:rsidRDefault="00000000">
      <w:pPr>
        <w:spacing w:before="240" w:after="240"/>
        <w:ind w:firstLine="420"/>
        <w:jc w:val="center"/>
        <w:rPr>
          <w:rFonts w:ascii="宋体" w:hAnsi="宋体"/>
        </w:rPr>
      </w:pPr>
      <m:oMathPara>
        <m:oMath>
          <m:r>
            <w:rPr>
              <w:rFonts w:ascii="Cambria Math" w:hAnsi="Cambria Math"/>
            </w:rPr>
            <m:t>u=t*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366E8349" w14:textId="77777777" w:rsidR="00417D94" w:rsidRDefault="00000000">
      <w:pPr>
        <w:spacing w:before="240" w:after="240"/>
        <w:ind w:firstLine="420"/>
        <w:jc w:val="center"/>
        <w:rPr>
          <w:rFonts w:ascii="宋体" w:hAnsi="宋体"/>
        </w:rPr>
      </w:pPr>
      <m:oMathPara>
        <m:oMath>
          <m:r>
            <w:rPr>
              <w:rFonts w:ascii="Cambria Math" w:hAnsi="Cambria Math"/>
            </w:rPr>
            <m:t>v=t*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48AF48A2" w14:textId="77777777" w:rsidR="00417D94" w:rsidRDefault="00000000">
      <w:pPr>
        <w:spacing w:before="240" w:after="240"/>
        <w:ind w:firstLine="420"/>
        <w:jc w:val="left"/>
        <w:rPr>
          <w:rFonts w:ascii="宋体" w:hAnsi="宋体"/>
        </w:rPr>
      </w:pPr>
      <w:r>
        <w:rPr>
          <w:rFonts w:ascii="宋体" w:hAnsi="宋体" w:hint="eastAsia"/>
        </w:rPr>
        <w:t>将t代换，可以得到：</w:t>
      </w:r>
    </w:p>
    <w:p w14:paraId="078242C6" w14:textId="77777777" w:rsidR="00417D94" w:rsidRDefault="00000000">
      <w:pPr>
        <w:spacing w:before="360" w:after="240"/>
        <w:ind w:firstLine="42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B486A31" w14:textId="77777777" w:rsidR="00417D94" w:rsidRDefault="00000000">
      <w:pPr>
        <w:spacing w:before="480" w:after="360"/>
        <w:ind w:firstLine="420"/>
        <w:jc w:val="center"/>
        <w:rPr>
          <w:rFonts w:ascii="宋体" w:hAnsi="宋体"/>
        </w:rPr>
      </w:pPr>
      <m:oMathPara>
        <m:oMath>
          <m:r>
            <w:rPr>
              <w:rFonts w:ascii="Cambria Math" w:hAnsi="Cambria Math"/>
            </w:rPr>
            <m:t>v=</m:t>
          </m:r>
          <m:f>
            <m:fPr>
              <m:ctrlPr>
                <w:rPr>
                  <w:rFonts w:ascii="Cambria Math" w:hAnsi="Cambria Math"/>
                  <w:i/>
                </w:rPr>
              </m:ctrlPr>
            </m:fPr>
            <m:num>
              <m:r>
                <w:rPr>
                  <w:rFonts w:ascii="Cambria Math" w:hAnsi="Cambria Math"/>
                </w:rPr>
                <m:t>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41E9F7D" w14:textId="77777777" w:rsidR="00417D94" w:rsidRDefault="00000000">
      <w:pPr>
        <w:ind w:firstLine="420"/>
        <w:jc w:val="left"/>
        <w:rPr>
          <w:rFonts w:ascii="宋体" w:hAnsi="宋体"/>
        </w:rPr>
      </w:pPr>
      <w:r>
        <w:rPr>
          <w:rFonts w:ascii="宋体" w:hAnsi="宋体" w:hint="eastAsia"/>
        </w:rPr>
        <w:t>这就是从圆盘到矩形的映射表达式。具有良好的径向特性和保形性。</w:t>
      </w:r>
    </w:p>
    <w:p w14:paraId="75D92F09" w14:textId="77777777" w:rsidR="00417D94" w:rsidRDefault="00000000">
      <w:pPr>
        <w:pStyle w:val="4"/>
      </w:pPr>
      <w:r>
        <w:rPr>
          <w:rFonts w:hint="eastAsia"/>
        </w:rPr>
        <w:t>3.</w:t>
      </w:r>
      <w:r>
        <w:t>2</w:t>
      </w:r>
      <w:r>
        <w:rPr>
          <w:rFonts w:hint="eastAsia"/>
        </w:rPr>
        <w:t>.</w:t>
      </w:r>
      <w:r>
        <w:t>3</w:t>
      </w:r>
      <w:r>
        <w:rPr>
          <w:rFonts w:hint="eastAsia"/>
        </w:rPr>
        <w:t>.</w:t>
      </w:r>
      <w:r>
        <w:t>3</w:t>
      </w:r>
      <w:r>
        <w:rPr>
          <w:rFonts w:hint="eastAsia"/>
        </w:rPr>
        <w:t>矩形到圆盘的映射表达式的求解</w:t>
      </w:r>
    </w:p>
    <w:p w14:paraId="27EE680E" w14:textId="77777777" w:rsidR="00417D94" w:rsidRDefault="00000000">
      <w:pPr>
        <w:ind w:firstLineChars="200" w:firstLine="480"/>
      </w:pPr>
      <w:r>
        <w:rPr>
          <w:rFonts w:hint="eastAsia"/>
        </w:rPr>
        <w:t>现在来推导逆向的映射表达式，即从矩形映射到圆盘。首先使用径向约束，</w:t>
      </w:r>
      <w:r>
        <w:rPr>
          <w:rFonts w:hint="eastAsia"/>
        </w:rPr>
        <w:lastRenderedPageBreak/>
        <w:t>我们可以得到一个</w:t>
      </w:r>
      <w:r>
        <w:rPr>
          <w:rFonts w:hint="eastAsia"/>
        </w:rPr>
        <w:t>x</w:t>
      </w:r>
      <w:r>
        <w:rPr>
          <w:rFonts w:hint="eastAsia"/>
        </w:rPr>
        <w:t>与</w:t>
      </w:r>
      <w:r>
        <w:rPr>
          <w:rFonts w:hint="eastAsia"/>
        </w:rPr>
        <w:t>y</w:t>
      </w:r>
      <w:r>
        <w:rPr>
          <w:rFonts w:hint="eastAsia"/>
        </w:rPr>
        <w:t>的关系式。</w:t>
      </w:r>
    </w:p>
    <w:p w14:paraId="001A9743" w14:textId="77777777" w:rsidR="00417D94" w:rsidRDefault="00000000">
      <w:pPr>
        <w:ind w:firstLineChars="200" w:firstLine="480"/>
      </w:pPr>
      <m:oMathPara>
        <m:oMath>
          <m:r>
            <w:rPr>
              <w:rFonts w:ascii="Cambria Math" w:hAnsi="Cambria Math" w:hint="eastAsia"/>
            </w:rPr>
            <m:t>tanθ</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1729A555" w14:textId="77777777" w:rsidR="00417D94" w:rsidRDefault="00000000">
      <w:pPr>
        <w:spacing w:before="240"/>
        <w:ind w:firstLineChars="200" w:firstLine="480"/>
        <w:jc w:val="center"/>
      </w:pPr>
      <w:r>
        <w:rPr>
          <w:rFonts w:hint="eastAsia"/>
        </w:rPr>
        <w:t>即：</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p>
    <w:p w14:paraId="33B86601" w14:textId="77777777" w:rsidR="00417D94" w:rsidRDefault="00000000">
      <w:pPr>
        <w:ind w:firstLineChars="200" w:firstLine="480"/>
        <w:jc w:val="left"/>
      </w:pPr>
      <w:r>
        <w:rPr>
          <w:rFonts w:hint="eastAsia"/>
        </w:rPr>
        <w:t>将其带入另一个表达式条件：</w:t>
      </w:r>
    </w:p>
    <w:p w14:paraId="442DF81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329300C4" w14:textId="77777777" w:rsidR="00417D94" w:rsidRDefault="0000000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oMath>
      </m:oMathPara>
    </w:p>
    <w:p w14:paraId="4C912F73" w14:textId="77777777" w:rsidR="00417D94" w:rsidRDefault="00000000">
      <w:pPr>
        <w:spacing w:before="240"/>
        <w:ind w:firstLineChars="200" w:firstLine="480"/>
        <w:jc w:val="left"/>
        <w:rPr>
          <w:rFonts w:ascii="宋体" w:hAnsi="宋体"/>
        </w:rPr>
      </w:pPr>
      <m:oMathPara>
        <m:oMath>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78D63D38" w14:textId="77777777" w:rsidR="00417D94" w:rsidRDefault="00000000">
      <w:pPr>
        <w:spacing w:before="240"/>
        <w:ind w:firstLineChars="200" w:firstLine="480"/>
        <w:jc w:val="left"/>
        <w:rPr>
          <w:rFonts w:ascii="宋体" w:hAnsi="宋体"/>
        </w:rPr>
      </w:pPr>
      <m:oMathPara>
        <m:oMath>
          <m:r>
            <w:rPr>
              <w:rFonts w:ascii="Cambria Math" w:hAnsi="Cambria Math" w:hint="eastAsia"/>
            </w:rPr>
            <m:t>=</m:t>
          </m:r>
          <m:r>
            <w:rPr>
              <w:rFonts w:ascii="Cambria Math" w:hAnsi="Cambria Math"/>
            </w:rPr>
            <m:t>(1+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4DF78381" w14:textId="77777777" w:rsidR="00417D94" w:rsidRDefault="00000000">
      <w:pPr>
        <w:ind w:firstLine="420"/>
        <w:jc w:val="left"/>
      </w:pPr>
      <w:r>
        <w:rPr>
          <w:rFonts w:hint="eastAsia"/>
        </w:rPr>
        <w:t>整理成</w:t>
      </w:r>
      <w:r>
        <w:rPr>
          <w:rFonts w:hint="eastAsia"/>
        </w:rPr>
        <w:t>x</w:t>
      </w:r>
      <w:r>
        <w:rPr>
          <w:rFonts w:hint="eastAsia"/>
        </w:rPr>
        <w:t>的多项式即：</w:t>
      </w:r>
    </w:p>
    <w:p w14:paraId="2B7CD6F0" w14:textId="77777777" w:rsidR="00417D94" w:rsidRDefault="00000000">
      <w:pPr>
        <w:ind w:firstLineChars="200" w:firstLine="480"/>
        <w:jc w:val="left"/>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r>
            <w:rPr>
              <w:rFonts w:ascii="Cambria Math" w:hAnsi="Cambria Math"/>
            </w:rPr>
            <m:t xml:space="preserve">=0 </m:t>
          </m:r>
        </m:oMath>
      </m:oMathPara>
    </w:p>
    <w:p w14:paraId="6F4E7E51" w14:textId="77777777" w:rsidR="00417D94" w:rsidRDefault="00000000">
      <w:pPr>
        <w:ind w:firstLine="420"/>
        <w:jc w:val="left"/>
      </w:pPr>
      <w:r>
        <w:rPr>
          <w:rFonts w:hint="eastAsia"/>
        </w:rPr>
        <w:t>在这个关于</w:t>
      </w:r>
      <w:r>
        <w:rPr>
          <w:rFonts w:hint="eastAsia"/>
        </w:rPr>
        <w:t>x</w:t>
      </w:r>
      <w:r>
        <w:rPr>
          <w:rFonts w:hint="eastAsia"/>
        </w:rPr>
        <w:t>的四次方程中，没有三次项和线性项。所以可以作为关于</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的二元方程求解。</w:t>
      </w:r>
    </w:p>
    <w:p w14:paraId="3150CE0E" w14:textId="77777777" w:rsidR="00417D94" w:rsidRDefault="00000000">
      <w:pPr>
        <w:jc w:val="center"/>
        <w:rPr>
          <w:i/>
        </w:rPr>
      </w:pPr>
      <m:oMathPara>
        <m:oMath>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03FDC6D5" w14:textId="77777777" w:rsidR="00417D94" w:rsidRDefault="00000000">
      <w:pPr>
        <w:ind w:firstLineChars="200" w:firstLine="480"/>
        <w:jc w:val="cente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C18164" w14:textId="77777777" w:rsidR="00417D94" w:rsidRDefault="00000000">
      <w:pPr>
        <w:ind w:firstLineChars="200" w:firstLine="480"/>
        <w:jc w:val="center"/>
      </w:pPr>
      <m:oMathPara>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oMath>
      </m:oMathPara>
    </w:p>
    <w:p w14:paraId="4F8DB304" w14:textId="77777777" w:rsidR="00417D94" w:rsidRDefault="00000000">
      <w:pPr>
        <w:spacing w:before="360" w:after="360"/>
        <w:ind w:left="357" w:firstLineChars="200" w:firstLine="480"/>
        <w:jc w:val="center"/>
        <w:rPr>
          <w:i/>
        </w:rPr>
      </w:pPr>
      <m:oMathPara>
        <m:oMathParaPr>
          <m:jc m:val="center"/>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0A198A8E" w14:textId="77777777" w:rsidR="00417D94" w:rsidRDefault="00000000">
      <w:pPr>
        <w:spacing w:before="480" w:after="360"/>
        <w:ind w:left="357" w:firstLineChars="200" w:firstLine="480"/>
        <w:jc w:val="center"/>
        <w:rPr>
          <w:i/>
        </w:rPr>
      </w:pPr>
      <m:oMathPara>
        <m:oMathParaPr>
          <m:jc m:val="center"/>
        </m:oMathParaPr>
        <m:oMath>
          <m:r>
            <w:rPr>
              <w:rFonts w:ascii="Cambria Math" w:hAnsi="Cambria Math" w:hint="eastAsia"/>
            </w:rPr>
            <m:t>x</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v</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0E524DB" w14:textId="77777777" w:rsidR="00417D94" w:rsidRDefault="00000000">
      <w:pPr>
        <w:ind w:firstLine="357"/>
        <w:jc w:val="left"/>
      </w:pPr>
      <w:r>
        <w:rPr>
          <w:rFonts w:hint="eastAsia"/>
        </w:rPr>
        <w:t>用径向约束条件的</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r>
        <w:rPr>
          <w:rFonts w:hint="eastAsia"/>
        </w:rPr>
        <w:t>替换</w:t>
      </w:r>
      <w:r>
        <w:rPr>
          <w:rFonts w:hint="eastAsia"/>
        </w:rPr>
        <w:t>x</w:t>
      </w:r>
      <w:r>
        <w:rPr>
          <w:rFonts w:hint="eastAsia"/>
        </w:rPr>
        <w:t>，得到</w:t>
      </w:r>
      <w:r>
        <w:rPr>
          <w:rFonts w:hint="eastAsia"/>
        </w:rPr>
        <w:t>y</w:t>
      </w:r>
      <w:r>
        <w:rPr>
          <w:rFonts w:hint="eastAsia"/>
        </w:rPr>
        <w:t>的表达式：</w:t>
      </w:r>
    </w:p>
    <w:p w14:paraId="41C3B309" w14:textId="77777777" w:rsidR="00417D94" w:rsidRDefault="00000000">
      <w:pPr>
        <w:spacing w:before="480" w:after="360"/>
        <w:ind w:left="357" w:firstLineChars="200" w:firstLine="480"/>
        <w:jc w:val="center"/>
        <w:rPr>
          <w:i/>
        </w:rPr>
      </w:pPr>
      <m:oMathPara>
        <m:oMathParaPr>
          <m:jc m:val="center"/>
        </m:oMathParaPr>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u</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0BB83312" w14:textId="77777777" w:rsidR="00417D94" w:rsidRDefault="00417D94">
      <w:pPr>
        <w:jc w:val="center"/>
      </w:pPr>
    </w:p>
    <w:p w14:paraId="348BE200" w14:textId="77777777" w:rsidR="00417D94" w:rsidRDefault="00000000">
      <w:pPr>
        <w:pStyle w:val="3"/>
      </w:pPr>
      <w:bookmarkStart w:id="33" w:name="_Toc19358"/>
      <w:r>
        <w:rPr>
          <w:rFonts w:hint="eastAsia"/>
        </w:rPr>
        <w:lastRenderedPageBreak/>
        <w:t>3.</w:t>
      </w:r>
      <w:r>
        <w:t>2</w:t>
      </w:r>
      <w:r>
        <w:rPr>
          <w:rFonts w:hint="eastAsia"/>
        </w:rPr>
        <w:t>.</w:t>
      </w:r>
      <w:r>
        <w:t xml:space="preserve">4 </w:t>
      </w:r>
      <w:r>
        <w:rPr>
          <w:rFonts w:hint="eastAsia"/>
        </w:rPr>
        <w:t>计算优化</w:t>
      </w:r>
      <w:bookmarkEnd w:id="33"/>
    </w:p>
    <w:p w14:paraId="7569F722" w14:textId="77777777" w:rsidR="00417D94" w:rsidRDefault="00000000">
      <w:pPr>
        <w:ind w:firstLine="420"/>
        <w:rPr>
          <w:rFonts w:ascii="宋体" w:hAnsi="宋体"/>
        </w:rPr>
      </w:pPr>
      <w:r>
        <w:rPr>
          <w:rFonts w:ascii="宋体" w:hAnsi="宋体" w:hint="eastAsia"/>
        </w:rPr>
        <w:t>上一节中，我们在圆角矩形方程中，</w:t>
      </w:r>
    </w:p>
    <w:p w14:paraId="7D3ACB15" w14:textId="77777777" w:rsidR="00417D94" w:rsidRDefault="00000000">
      <w:pPr>
        <w:spacing w:before="240"/>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38DEF05" w14:textId="77777777" w:rsidR="00417D94" w:rsidRDefault="00000000">
      <w:pPr>
        <w:ind w:firstLine="420"/>
        <w:rPr>
          <w:rFonts w:ascii="宋体" w:hAnsi="宋体"/>
        </w:rPr>
      </w:pPr>
      <w:r>
        <w:rPr>
          <w:rFonts w:ascii="宋体" w:hAnsi="宋体" w:hint="eastAsia"/>
        </w:rPr>
        <w:t>令s</w:t>
      </w:r>
      <w:r>
        <w:rPr>
          <w:rFonts w:ascii="宋体" w:hAnsi="宋体"/>
        </w:rPr>
        <w:t>=t</w:t>
      </w:r>
      <w:r>
        <w:rPr>
          <w:rFonts w:ascii="宋体" w:hAnsi="宋体" w:hint="eastAsia"/>
        </w:rPr>
        <w:t>，得到了描述如下的正方形：</w:t>
      </w:r>
    </w:p>
    <w:p w14:paraId="07177F8B" w14:textId="77777777" w:rsidR="00417D94" w:rsidRDefault="0000000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2B849A1D" w14:textId="77777777" w:rsidR="00417D94" w:rsidRDefault="00000000">
      <w:pPr>
        <w:ind w:firstLine="420"/>
        <w:rPr>
          <w:rFonts w:ascii="宋体" w:hAnsi="宋体"/>
        </w:rPr>
      </w:pPr>
      <w:r>
        <w:rPr>
          <w:rFonts w:ascii="宋体" w:hAnsi="宋体" w:hint="eastAsia"/>
        </w:rPr>
        <w:t>而这只是一种特例，其绝非此类圆角矩形的唯一映射方式。</w:t>
      </w:r>
    </w:p>
    <w:p w14:paraId="1919213B" w14:textId="77777777" w:rsidR="00417D94" w:rsidRDefault="00000000">
      <w:pPr>
        <w:ind w:firstLine="420"/>
        <w:rPr>
          <w:rFonts w:ascii="等线" w:hAnsi="等线"/>
          <w:sz w:val="21"/>
          <w:szCs w:val="21"/>
        </w:rPr>
      </w:pPr>
      <w:r>
        <w:rPr>
          <w:rFonts w:ascii="宋体" w:hAnsi="宋体" w:hint="eastAsia"/>
        </w:rPr>
        <w:t>我们发现，费尔南德斯圆角矩形可以在圆形与正方形之间插值的关键是，在</w:t>
      </w:r>
      <w:r>
        <w:rPr>
          <w:rFonts w:eastAsia="等线" w:hint="eastAsia"/>
        </w:rPr>
        <w:t>r</w:t>
      </w:r>
      <w:r>
        <w:rPr>
          <w:rFonts w:ascii="宋体" w:hAnsi="宋体" w:hint="eastAsia"/>
        </w:rPr>
        <w:t>接近</w:t>
      </w:r>
      <w:r>
        <w:rPr>
          <w:rFonts w:eastAsia="等线" w:hint="eastAsia"/>
        </w:rPr>
        <w:t>0</w:t>
      </w:r>
      <w:r>
        <w:rPr>
          <w:rFonts w:ascii="宋体" w:hAnsi="宋体" w:hint="eastAsia"/>
        </w:rPr>
        <w:t>的时候，</w:t>
      </w:r>
      <w:r>
        <w:rPr>
          <w:rFonts w:eastAsia="等线" w:hint="eastAsia"/>
        </w:rPr>
        <w:t>s</w:t>
      </w:r>
      <w:r>
        <w:rPr>
          <w:rFonts w:ascii="宋体" w:hAnsi="宋体" w:hint="eastAsia"/>
        </w:rPr>
        <w:t>也接近</w:t>
      </w:r>
      <w:r>
        <w:rPr>
          <w:rFonts w:eastAsia="等线" w:hint="eastAsia"/>
        </w:rPr>
        <w:t>0</w:t>
      </w:r>
      <w:r>
        <w:rPr>
          <w:rFonts w:ascii="宋体" w:hAnsi="宋体" w:hint="eastAsia"/>
        </w:rPr>
        <w:t>；在</w:t>
      </w:r>
      <w:r>
        <w:rPr>
          <w:rFonts w:eastAsia="等线" w:hint="eastAsia"/>
        </w:rPr>
        <w:t>r</w:t>
      </w:r>
      <w:r>
        <w:rPr>
          <w:rFonts w:ascii="宋体" w:hAnsi="宋体" w:hint="eastAsia"/>
        </w:rPr>
        <w:t>接近</w:t>
      </w:r>
      <w:r>
        <w:rPr>
          <w:rFonts w:eastAsia="等线" w:hint="eastAsia"/>
        </w:rPr>
        <w:t>1</w:t>
      </w:r>
      <w:r>
        <w:rPr>
          <w:rFonts w:ascii="宋体" w:hAnsi="宋体" w:hint="eastAsia"/>
        </w:rPr>
        <w:t>的时候，</w:t>
      </w:r>
      <w:r>
        <w:rPr>
          <w:rFonts w:eastAsia="等线" w:hint="eastAsia"/>
        </w:rPr>
        <w:t>s</w:t>
      </w:r>
      <w:r>
        <w:rPr>
          <w:rFonts w:ascii="宋体" w:hAnsi="宋体" w:hint="eastAsia"/>
        </w:rPr>
        <w:t>也接近</w:t>
      </w:r>
      <w:r>
        <w:rPr>
          <w:rFonts w:eastAsia="等线" w:hint="eastAsia"/>
        </w:rPr>
        <w:t>1</w:t>
      </w:r>
      <w:r>
        <w:rPr>
          <w:rFonts w:ascii="宋体" w:hAnsi="宋体" w:hint="eastAsia"/>
        </w:rPr>
        <w:t>。得到这样性质的关键在于，</w:t>
      </w:r>
      <m:oMath>
        <m:r>
          <m:rPr>
            <m:sty m:val="p"/>
          </m:rPr>
          <w:rPr>
            <w:rFonts w:ascii="Cambria Math" w:eastAsia="等线" w:hAnsi="Cambria Math" w:hint="eastAsia"/>
          </w:rPr>
          <m:t>s=f(r)</m:t>
        </m:r>
      </m:oMath>
      <w:r>
        <w:rPr>
          <w:rFonts w:ascii="宋体" w:hAnsi="宋体" w:hint="eastAsia"/>
        </w:rPr>
        <w:t>是一条过（</w:t>
      </w:r>
      <w:r>
        <w:rPr>
          <w:rFonts w:eastAsia="等线" w:hint="eastAsia"/>
        </w:rPr>
        <w:t>0,0</w:t>
      </w:r>
      <w:r>
        <w:rPr>
          <w:rFonts w:ascii="宋体" w:hAnsi="宋体" w:hint="eastAsia"/>
        </w:rPr>
        <w:t>）和（</w:t>
      </w:r>
      <w:r>
        <w:rPr>
          <w:rFonts w:eastAsia="等线" w:hint="eastAsia"/>
        </w:rPr>
        <w:t>1,1</w:t>
      </w:r>
      <w:r>
        <w:rPr>
          <w:rFonts w:ascii="宋体" w:hAnsi="宋体" w:hint="eastAsia"/>
        </w:rPr>
        <w:t>）点的单调增函数。</w:t>
      </w:r>
    </w:p>
    <w:p w14:paraId="741C8DFA" w14:textId="77777777" w:rsidR="00417D94" w:rsidRDefault="00000000">
      <w:pPr>
        <w:snapToGrid w:val="0"/>
        <w:spacing w:line="300" w:lineRule="auto"/>
        <w:ind w:firstLineChars="200" w:firstLine="480"/>
        <w:rPr>
          <w:rFonts w:ascii="宋体" w:hAnsi="宋体"/>
        </w:rPr>
      </w:pPr>
      <w:r>
        <w:rPr>
          <w:rFonts w:ascii="宋体" w:hAnsi="宋体" w:hint="eastAsia"/>
        </w:rPr>
        <w:t>令</w:t>
      </w:r>
      <w:r>
        <w:rPr>
          <w:rFonts w:hint="eastAsia"/>
        </w:rPr>
        <w:t xml:space="preserve"> </w:t>
      </w:r>
      <w:r>
        <w:rPr>
          <w:rFonts w:eastAsia="等线" w:hint="eastAsia"/>
        </w:rPr>
        <w:t>s</w:t>
      </w:r>
      <w:r>
        <w:rPr>
          <w:rFonts w:hint="eastAsia"/>
        </w:rPr>
        <w:t xml:space="preserve"> = </w:t>
      </w:r>
      <m:oMath>
        <m:r>
          <w:rPr>
            <w:rFonts w:ascii="Cambria Math" w:hAnsi="Cambria Math"/>
          </w:rPr>
          <m:t xml:space="preserve"> </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Pr>
          <w:rFonts w:ascii="宋体" w:hAnsi="宋体" w:hint="eastAsia"/>
        </w:rPr>
        <w:t>，此时的映射方程为：</w:t>
      </w:r>
    </w:p>
    <w:p w14:paraId="067F9CD8" w14:textId="77777777" w:rsidR="00417D94" w:rsidRDefault="00000000">
      <w:pPr>
        <w:snapToGrid w:val="0"/>
        <w:spacing w:line="300" w:lineRule="auto"/>
        <w:ind w:firstLineChars="200" w:firstLine="480"/>
        <w:jc w:val="center"/>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8B0C908" w14:textId="77777777" w:rsidR="00417D94" w:rsidRDefault="00000000">
      <w:pPr>
        <w:snapToGrid w:val="0"/>
        <w:spacing w:line="300" w:lineRule="auto"/>
        <w:ind w:firstLineChars="200" w:firstLine="480"/>
        <w:rPr>
          <w:rFonts w:ascii="宋体" w:hAnsi="宋体"/>
        </w:rPr>
      </w:pPr>
      <w:r>
        <w:rPr>
          <w:rFonts w:ascii="宋体" w:hAnsi="宋体" w:hint="eastAsia"/>
        </w:rPr>
        <w:t>将</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宋体" w:hAnsi="宋体" w:hint="eastAsia"/>
        </w:rPr>
        <w:t>分离到等式的一边并开根号：</w:t>
      </w:r>
    </w:p>
    <w:p w14:paraId="611D2B72" w14:textId="77777777" w:rsidR="00417D94" w:rsidRDefault="00000000">
      <w:pPr>
        <w:snapToGrid w:val="0"/>
        <w:spacing w:line="300" w:lineRule="auto"/>
        <w:ind w:firstLineChars="200" w:firstLine="480"/>
        <w:jc w:val="center"/>
        <w:rPr>
          <w:rFonts w:ascii="宋体" w:hAnsi="宋体"/>
          <w:i/>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oMath>
      </m:oMathPara>
    </w:p>
    <w:p w14:paraId="371891B3" w14:textId="77777777" w:rsidR="00417D94" w:rsidRDefault="00000000">
      <w:pPr>
        <w:snapToGrid w:val="0"/>
        <w:spacing w:line="300" w:lineRule="auto"/>
        <w:ind w:firstLineChars="200" w:firstLine="480"/>
        <w:rPr>
          <w:rFonts w:ascii="宋体" w:hAnsi="宋体"/>
        </w:rPr>
      </w:pPr>
      <w:r>
        <w:rPr>
          <w:rFonts w:ascii="宋体" w:hAnsi="宋体" w:hint="eastAsia"/>
        </w:rPr>
        <w:t>将t带入表达径向映射的参数方程：</w:t>
      </w:r>
    </w:p>
    <w:p w14:paraId="449A5F56"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14841E0"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C143432" w14:textId="77777777" w:rsidR="00417D94" w:rsidRDefault="00000000">
      <w:pPr>
        <w:snapToGrid w:val="0"/>
        <w:spacing w:line="300" w:lineRule="auto"/>
        <w:ind w:firstLineChars="200" w:firstLine="480"/>
        <w:jc w:val="left"/>
        <w:rPr>
          <w:rFonts w:ascii="宋体" w:hAnsi="宋体"/>
        </w:rPr>
      </w:pPr>
      <w:r>
        <w:rPr>
          <w:rFonts w:ascii="宋体" w:hAnsi="宋体" w:hint="eastAsia"/>
        </w:rPr>
        <w:t>化简可得u、v分别关于x、y的表达式，即正方形域到圆域的映射：</w:t>
      </w:r>
    </w:p>
    <w:p w14:paraId="2E234BE4"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B2328B2" w14:textId="77777777" w:rsidR="00417D94" w:rsidRDefault="00000000">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EDCF75A" w14:textId="77777777" w:rsidR="00417D94" w:rsidRDefault="00000000">
      <w:pPr>
        <w:snapToGrid w:val="0"/>
        <w:spacing w:line="300" w:lineRule="auto"/>
        <w:ind w:firstLineChars="200" w:firstLine="480"/>
        <w:jc w:val="left"/>
        <w:rPr>
          <w:rFonts w:ascii="宋体" w:hAnsi="宋体"/>
        </w:rPr>
      </w:pPr>
      <w:r>
        <w:rPr>
          <w:rFonts w:ascii="宋体" w:hAnsi="宋体" w:hint="eastAsia"/>
        </w:rPr>
        <w:t>对于逆向的映射，与上一节中的计算类似，也是先得到一个以u、v为参数的，关于</w:t>
      </w:r>
      <w:r>
        <w:rPr>
          <w:rFonts w:ascii="宋体" w:hAnsi="宋体"/>
        </w:rPr>
        <w:t>x</w:t>
      </w:r>
      <w:r>
        <w:rPr>
          <w:rFonts w:ascii="宋体" w:hAnsi="宋体" w:hint="eastAsia"/>
        </w:rPr>
        <w:t>的四次方程：</w:t>
      </w:r>
    </w:p>
    <w:p w14:paraId="6E0A047F" w14:textId="77777777" w:rsidR="00417D94" w:rsidRDefault="00000000">
      <w:pPr>
        <w:snapToGrid w:val="0"/>
        <w:spacing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=0</m:t>
          </m:r>
        </m:oMath>
      </m:oMathPara>
    </w:p>
    <w:p w14:paraId="115B5CF2" w14:textId="77777777" w:rsidR="00417D94" w:rsidRDefault="00000000">
      <w:pPr>
        <w:snapToGrid w:val="0"/>
        <w:spacing w:line="300" w:lineRule="auto"/>
        <w:ind w:firstLineChars="200" w:firstLine="480"/>
        <w:rPr>
          <w:rFonts w:ascii="宋体" w:hAnsi="宋体"/>
        </w:rPr>
      </w:pPr>
      <w:r>
        <w:rPr>
          <w:rFonts w:ascii="宋体" w:hAnsi="宋体" w:hint="eastAsia"/>
        </w:rPr>
        <w:lastRenderedPageBreak/>
        <w:t xml:space="preserve">同样是没有三次项和 </w:t>
      </w:r>
      <w:r>
        <w:rPr>
          <w:rFonts w:ascii="宋体" w:hAnsi="宋体"/>
        </w:rPr>
        <w:t xml:space="preserve">     </w:t>
      </w:r>
    </w:p>
    <w:p w14:paraId="79097D76" w14:textId="77777777" w:rsidR="00417D94" w:rsidRDefault="00000000">
      <w:pPr>
        <w:snapToGrid w:val="0"/>
        <w:spacing w:before="240" w:after="240"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7C1F17FE" w14:textId="77777777" w:rsidR="00417D94" w:rsidRDefault="00000000">
      <w:pPr>
        <w:snapToGrid w:val="0"/>
        <w:spacing w:line="300" w:lineRule="auto"/>
        <w:ind w:firstLineChars="200" w:firstLine="480"/>
        <w:rPr>
          <w:rFonts w:ascii="宋体" w:hAnsi="宋体"/>
        </w:rPr>
      </w:pPr>
      <w:r>
        <w:rPr>
          <w:rFonts w:ascii="宋体" w:hAnsi="宋体" w:hint="eastAsia"/>
        </w:rPr>
        <w:t>最终得到圆域到正方形域的映射表达式：</w:t>
      </w:r>
    </w:p>
    <w:p w14:paraId="4FE85C7D" w14:textId="77777777" w:rsidR="00417D94" w:rsidRDefault="00000000">
      <w:pPr>
        <w:snapToGrid w:val="0"/>
        <w:spacing w:before="240" w:after="240" w:line="300" w:lineRule="auto"/>
        <w:ind w:firstLineChars="200" w:firstLine="480"/>
        <w:jc w:val="center"/>
        <w:rPr>
          <w:rFonts w:ascii="宋体" w:hAnsi="宋体"/>
        </w:rPr>
      </w:pPr>
      <m:oMathPara>
        <m:oMath>
          <m:r>
            <w:rPr>
              <w:rFonts w:ascii="Cambria Math" w:hAnsi="Cambria Math"/>
            </w:rPr>
            <m:t>x=</m:t>
          </m:r>
          <m:f>
            <m:fPr>
              <m:ctrlPr>
                <w:rPr>
                  <w:rFonts w:ascii="Cambria Math" w:hAnsi="Cambria Math"/>
                  <w:i/>
                </w:rPr>
              </m:ctrlPr>
            </m:fPr>
            <m:num>
              <m:r>
                <w:rPr>
                  <w:rFonts w:ascii="Cambria Math" w:hAnsi="Cambria Math"/>
                </w:rPr>
                <m:t>sgn(uv)</m:t>
              </m:r>
            </m:num>
            <m:den>
              <m:r>
                <w:rPr>
                  <w:rFonts w:ascii="Cambria Math" w:hAnsi="Cambria Math"/>
                </w:rPr>
                <m:t>v</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203112EF" w14:textId="77777777" w:rsidR="00417D94" w:rsidRDefault="00000000">
      <w:pPr>
        <w:snapToGrid w:val="0"/>
        <w:spacing w:before="240" w:after="240" w:line="300" w:lineRule="auto"/>
        <w:ind w:firstLineChars="200" w:firstLine="480"/>
        <w:jc w:val="center"/>
        <w:rPr>
          <w:rFonts w:ascii="宋体" w:hAnsi="宋体"/>
        </w:rPr>
      </w:pPr>
      <m:oMathPara>
        <m:oMath>
          <m:r>
            <w:rPr>
              <w:rFonts w:ascii="Cambria Math" w:hAnsi="Cambria Math"/>
            </w:rPr>
            <m:t>y=</m:t>
          </m:r>
          <m:f>
            <m:fPr>
              <m:ctrlPr>
                <w:rPr>
                  <w:rFonts w:ascii="Cambria Math" w:hAnsi="Cambria Math"/>
                  <w:i/>
                </w:rPr>
              </m:ctrlPr>
            </m:fPr>
            <m:num>
              <m:r>
                <w:rPr>
                  <w:rFonts w:ascii="Cambria Math" w:hAnsi="Cambria Math"/>
                </w:rPr>
                <m:t>sgn(uv)</m:t>
              </m:r>
            </m:num>
            <m:den>
              <m:r>
                <w:rPr>
                  <w:rFonts w:ascii="Cambria Math" w:hAnsi="Cambria Math"/>
                </w:rPr>
                <m:t>u</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15B02767" w14:textId="77777777" w:rsidR="00417D94" w:rsidRDefault="00000000">
      <w:pPr>
        <w:snapToGrid w:val="0"/>
        <w:spacing w:line="300" w:lineRule="auto"/>
        <w:ind w:firstLineChars="200" w:firstLine="480"/>
      </w:pPr>
      <w:r>
        <w:rPr>
          <w:rFonts w:ascii="宋体" w:hAnsi="宋体" w:hint="eastAsia"/>
        </w:rPr>
        <w:t>因为是上一节中圆域-正方形域映射方程的变形版本，所以其性质与结果类似，仅凭人眼无法直观地区分两种映射的效果，但是其解在计算上更简单。</w:t>
      </w:r>
    </w:p>
    <w:p w14:paraId="21E46653" w14:textId="77777777" w:rsidR="00417D94" w:rsidRDefault="00417D94"/>
    <w:p w14:paraId="523631B4" w14:textId="77777777" w:rsidR="00417D94" w:rsidRDefault="00000000">
      <w:pPr>
        <w:pStyle w:val="2"/>
      </w:pPr>
      <w:bookmarkStart w:id="34" w:name="_Toc7676"/>
      <w:r>
        <w:rPr>
          <w:rFonts w:hint="eastAsia"/>
        </w:rPr>
        <w:t>3.</w:t>
      </w:r>
      <w:r>
        <w:t xml:space="preserve">3 </w:t>
      </w:r>
      <w:r>
        <w:rPr>
          <w:rFonts w:hint="eastAsia"/>
        </w:rPr>
        <w:t>帧间反走样</w:t>
      </w:r>
      <w:bookmarkEnd w:id="34"/>
    </w:p>
    <w:p w14:paraId="041D9F09" w14:textId="77777777" w:rsidR="00417D94" w:rsidRDefault="00000000">
      <w:pPr>
        <w:ind w:firstLine="420"/>
      </w:pPr>
      <w:r>
        <w:rPr>
          <w:rFonts w:hint="eastAsia"/>
        </w:rPr>
        <w:t>粗糙的外围层的伪影，会在场景运动时产生时间走样，很容易令人分心。这些混叠着的伪影，如沿着锐利边缘或较薄的高光层移动，表现尤其糟糕，因为眼睛会被吸引过去。而增加采样密度这种暴力的解决方法，又会抵消我们先前通过对几何着色器做映射而带来的性能提升。除了需要高效之外，抗锯齿的方法还应具有通用性，只需很少或无需修改着色器或几何图形，从而使现有的图形应用软件更容易实现凹陷化。</w:t>
      </w:r>
    </w:p>
    <w:p w14:paraId="7F6ACB2C" w14:textId="77777777" w:rsidR="00417D94" w:rsidRDefault="00000000">
      <w:pPr>
        <w:ind w:firstLine="420"/>
      </w:pPr>
      <w:r>
        <w:rPr>
          <w:rFonts w:hint="eastAsia"/>
        </w:rPr>
        <w:t>所以，根据</w:t>
      </w:r>
      <w:r>
        <w:t>人眼对闪烁的高度敏感性</w:t>
      </w:r>
      <w:r>
        <w:rPr>
          <w:rFonts w:hint="eastAsia"/>
        </w:rPr>
        <w:t>，</w:t>
      </w:r>
      <w:r>
        <w:t>和人眼视觉外围对模糊的低敏感性，我们独特地设计了一种改进</w:t>
      </w:r>
      <w:r>
        <w:rPr>
          <w:rFonts w:hint="eastAsia"/>
        </w:rPr>
        <w:t>帧间凡走样</w:t>
      </w:r>
      <w:r>
        <w:t>算法，该算法通过使用方差</w:t>
      </w:r>
      <w:r>
        <w:rPr>
          <w:rFonts w:hint="eastAsia"/>
        </w:rPr>
        <w:t>采样</w:t>
      </w:r>
      <w:r>
        <w:t>及其它一些创新策略，提供了更好的视觉体验。</w:t>
      </w:r>
    </w:p>
    <w:p w14:paraId="3F014BF3" w14:textId="77777777" w:rsidR="00417D94" w:rsidRDefault="00000000">
      <w:pPr>
        <w:ind w:firstLine="420"/>
      </w:pPr>
      <w:r>
        <w:t>首先，高光闪烁问题的出现主要是由于光线在物体表面反射产生</w:t>
      </w:r>
      <w:r>
        <w:rPr>
          <w:rFonts w:hint="eastAsia"/>
        </w:rPr>
        <w:t>的</w:t>
      </w:r>
      <w:r>
        <w:t>亮斑，</w:t>
      </w:r>
      <w:r>
        <w:rPr>
          <w:rFonts w:hint="eastAsia"/>
        </w:rPr>
        <w:t>具有高频率和高对比度的特性。</w:t>
      </w:r>
      <w:r>
        <w:t>在</w:t>
      </w:r>
      <w:r>
        <w:rPr>
          <w:rFonts w:hint="eastAsia"/>
        </w:rPr>
        <w:t>光栅化</w:t>
      </w:r>
      <w:r>
        <w:t>显示时</w:t>
      </w:r>
      <w:r>
        <w:rPr>
          <w:rFonts w:hint="eastAsia"/>
        </w:rPr>
        <w:t>，因为较低的采样率（尤其是上一节中经过映射后的几何缓冲区，其使得外围像素对场景的采样率更低），所以会</w:t>
      </w:r>
      <w:r>
        <w:t>出现</w:t>
      </w:r>
      <w:r>
        <w:rPr>
          <w:rFonts w:hint="eastAsia"/>
        </w:rPr>
        <w:t>高光</w:t>
      </w:r>
      <w:r>
        <w:t>闪烁</w:t>
      </w:r>
      <w:r>
        <w:rPr>
          <w:rFonts w:hint="eastAsia"/>
        </w:rPr>
        <w:t>的现象</w:t>
      </w:r>
      <w:r>
        <w:t>。传统的</w:t>
      </w:r>
      <w:r>
        <w:rPr>
          <w:rFonts w:hint="eastAsia"/>
        </w:rPr>
        <w:t>各类反走样和滤波的</w:t>
      </w:r>
      <w:r>
        <w:t>方法提供了一种四舍五入的解决方案，这在消除锯齿和一些细微的闪烁上是有效的。但是，当应对</w:t>
      </w:r>
      <w:r>
        <w:lastRenderedPageBreak/>
        <w:t>更</w:t>
      </w:r>
      <w:r>
        <w:rPr>
          <w:rFonts w:hint="eastAsia"/>
        </w:rPr>
        <w:t>具有强对比度和高频率</w:t>
      </w:r>
      <w:r>
        <w:t>的闪烁问题时，其效果难以满足。对于高光闪烁，</w:t>
      </w:r>
      <w:r>
        <w:rPr>
          <w:rFonts w:hint="eastAsia"/>
        </w:rPr>
        <w:t>最大程度的</w:t>
      </w:r>
      <w:r>
        <w:t>消除闪烁效果是我们</w:t>
      </w:r>
      <w:r>
        <w:rPr>
          <w:rFonts w:hint="eastAsia"/>
        </w:rPr>
        <w:t>所</w:t>
      </w:r>
      <w:r>
        <w:t>需要的。</w:t>
      </w:r>
    </w:p>
    <w:p w14:paraId="2FCB7196" w14:textId="77777777" w:rsidR="00417D94" w:rsidRDefault="00000000">
      <w:pPr>
        <w:ind w:firstLine="420"/>
      </w:pPr>
      <w:r>
        <w:rPr>
          <w:rFonts w:hint="eastAsia"/>
        </w:rPr>
        <w:t>如图，</w:t>
      </w:r>
      <w:r>
        <w:t>我们所提出的</w:t>
      </w:r>
      <w:r>
        <w:t>TAA</w:t>
      </w:r>
      <w:r>
        <w:t>算法，通过当前帧与前一帧的图像信息计算，合并产生新的帧，独特的是，在标准</w:t>
      </w:r>
      <w:r>
        <w:t>TAA</w:t>
      </w:r>
      <w:r>
        <w:t>计算中并入了</w:t>
      </w:r>
      <w:r>
        <w:rPr>
          <w:rFonts w:hint="eastAsia"/>
        </w:rPr>
        <w:t>方差</w:t>
      </w:r>
      <w:r>
        <w:t>优化，尽可能地减少图像的尾影效果。</w:t>
      </w:r>
      <w:r>
        <w:rPr>
          <w:rFonts w:hint="eastAsia"/>
        </w:rPr>
        <w:t>其源自</w:t>
      </w:r>
      <w:r>
        <w:rPr>
          <w:rFonts w:hint="eastAsia"/>
        </w:rPr>
        <w:t xml:space="preserve"> Karis [2014] </w:t>
      </w:r>
      <w:r>
        <w:rPr>
          <w:rFonts w:hint="eastAsia"/>
        </w:rPr>
        <w:t>所描述的算法，但引入了可变大小的采样和对历史帧更为严格的纠正。</w:t>
      </w:r>
      <w:r>
        <w:t>以此来消除高光闪烁。同时，利用人眼的生理特性，使得轻微的模糊在外围视觉中不会产生显著的不适感。</w:t>
      </w:r>
    </w:p>
    <w:p w14:paraId="2AD145D6" w14:textId="77777777" w:rsidR="00417D94" w:rsidRDefault="00000000">
      <w:pPr>
        <w:ind w:firstLine="420"/>
        <w:jc w:val="center"/>
      </w:pPr>
      <w:r>
        <w:rPr>
          <w:rFonts w:hint="eastAsia"/>
        </w:rPr>
        <w:t>图：注视点渲染专用的帧间反走样流程图</w:t>
      </w:r>
      <w:r>
        <w:rPr>
          <w:noProof/>
        </w:rPr>
        <w:drawing>
          <wp:anchor distT="0" distB="0" distL="114300" distR="114300" simplePos="0" relativeHeight="251657216" behindDoc="0" locked="0" layoutInCell="1" allowOverlap="1" wp14:anchorId="0B6BE96D" wp14:editId="45E6B8CA">
            <wp:simplePos x="0" y="0"/>
            <wp:positionH relativeFrom="column">
              <wp:posOffset>1270</wp:posOffset>
            </wp:positionH>
            <wp:positionV relativeFrom="paragraph">
              <wp:posOffset>85725</wp:posOffset>
            </wp:positionV>
            <wp:extent cx="5274310" cy="2383790"/>
            <wp:effectExtent l="0" t="0" r="0" b="0"/>
            <wp:wrapTopAndBottom/>
            <wp:docPr id="1156993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3155"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383790"/>
                    </a:xfrm>
                    <a:prstGeom prst="rect">
                      <a:avLst/>
                    </a:prstGeom>
                    <a:noFill/>
                    <a:ln>
                      <a:noFill/>
                    </a:ln>
                  </pic:spPr>
                </pic:pic>
              </a:graphicData>
            </a:graphic>
          </wp:anchor>
        </w:drawing>
      </w:r>
    </w:p>
    <w:p w14:paraId="3970DB04" w14:textId="77777777" w:rsidR="00417D94" w:rsidRDefault="00417D94"/>
    <w:p w14:paraId="398EEBBD" w14:textId="77777777" w:rsidR="00417D94" w:rsidRDefault="00000000">
      <w:pPr>
        <w:pStyle w:val="3"/>
      </w:pPr>
      <w:bookmarkStart w:id="35" w:name="_Toc18067"/>
      <w:r>
        <w:rPr>
          <w:rFonts w:hint="eastAsia"/>
        </w:rPr>
        <w:t>3.</w:t>
      </w:r>
      <w:r>
        <w:t>3</w:t>
      </w:r>
      <w:r>
        <w:rPr>
          <w:rFonts w:hint="eastAsia"/>
        </w:rPr>
        <w:t>.</w:t>
      </w:r>
      <w:r>
        <w:t>1</w:t>
      </w:r>
      <w:r>
        <w:rPr>
          <w:rFonts w:hint="eastAsia"/>
        </w:rPr>
        <w:t>背景介绍</w:t>
      </w:r>
      <w:bookmarkEnd w:id="35"/>
      <w:r>
        <w:rPr>
          <w:rFonts w:hint="eastAsia"/>
        </w:rPr>
        <w:t xml:space="preserve"> </w:t>
      </w:r>
    </w:p>
    <w:p w14:paraId="3AF68FD8" w14:textId="77777777" w:rsidR="00417D94" w:rsidRDefault="00000000">
      <w:pPr>
        <w:ind w:firstLine="420"/>
      </w:pPr>
      <w:r>
        <w:rPr>
          <w:rFonts w:hint="eastAsia"/>
        </w:rPr>
        <w:t>重复使用先前帧的样本需要进行时间重投影，以保持图像的稳定性。</w:t>
      </w:r>
      <w:r>
        <w:rPr>
          <w:rFonts w:hint="eastAsia"/>
        </w:rPr>
        <w:t xml:space="preserve">Guenter </w:t>
      </w:r>
      <w:r>
        <w:rPr>
          <w:rFonts w:hint="eastAsia"/>
        </w:rPr>
        <w:t>等人的研究</w:t>
      </w:r>
      <w:r>
        <w:rPr>
          <w:rFonts w:hint="eastAsia"/>
        </w:rPr>
        <w:t>[2012]</w:t>
      </w:r>
      <w:r>
        <w:rPr>
          <w:rFonts w:hint="eastAsia"/>
        </w:rPr>
        <w:t>依赖于这种投影。最先进的时间抗锯齿（</w:t>
      </w:r>
      <w:r>
        <w:rPr>
          <w:rFonts w:hint="eastAsia"/>
        </w:rPr>
        <w:t>TAA</w:t>
      </w:r>
      <w:r>
        <w:rPr>
          <w:rFonts w:hint="eastAsia"/>
        </w:rPr>
        <w:t>）变体</w:t>
      </w:r>
      <w:r>
        <w:rPr>
          <w:rFonts w:hint="eastAsia"/>
        </w:rPr>
        <w:t>[Karis 2014</w:t>
      </w:r>
      <w:r>
        <w:rPr>
          <w:rFonts w:hint="eastAsia"/>
        </w:rPr>
        <w:t>；</w:t>
      </w:r>
      <w:r>
        <w:rPr>
          <w:rFonts w:hint="eastAsia"/>
        </w:rPr>
        <w:t xml:space="preserve">Jimenez </w:t>
      </w:r>
      <w:r>
        <w:rPr>
          <w:rFonts w:hint="eastAsia"/>
        </w:rPr>
        <w:t>等人，</w:t>
      </w:r>
      <w:r>
        <w:rPr>
          <w:rFonts w:hint="eastAsia"/>
        </w:rPr>
        <w:t>2012]</w:t>
      </w:r>
      <w:r>
        <w:rPr>
          <w:rFonts w:hint="eastAsia"/>
        </w:rPr>
        <w:t>具有最小的计算和内存开销，并能显著改善图像质量。</w:t>
      </w:r>
      <w:r>
        <w:rPr>
          <w:rFonts w:hint="eastAsia"/>
        </w:rPr>
        <w:t xml:space="preserve">TAA </w:t>
      </w:r>
      <w:r>
        <w:rPr>
          <w:rFonts w:hint="eastAsia"/>
        </w:rPr>
        <w:t>可以进行调整，以减少各种噪声和走样，包括高光走样、几何走样、随机噪声。作为减少混叠的交换条件，它往往会去除高频细节或引入重影，因为前一帧的细节在可以正确再投影后仍然存在。</w:t>
      </w:r>
    </w:p>
    <w:p w14:paraId="1FF937AC" w14:textId="77777777" w:rsidR="00417D94" w:rsidRDefault="00000000">
      <w:pPr>
        <w:ind w:firstLine="420"/>
      </w:pPr>
      <w:r>
        <w:rPr>
          <w:rFonts w:hint="eastAsia"/>
        </w:rPr>
        <w:t>持续整合前一帧的色彩样本是摊销超采样成本的常用方法</w:t>
      </w:r>
      <w:r>
        <w:rPr>
          <w:rFonts w:hint="eastAsia"/>
        </w:rPr>
        <w:t xml:space="preserve">[Yang </w:t>
      </w:r>
      <w:r>
        <w:rPr>
          <w:rFonts w:hint="eastAsia"/>
        </w:rPr>
        <w:t>等人，</w:t>
      </w:r>
      <w:r>
        <w:rPr>
          <w:rFonts w:hint="eastAsia"/>
        </w:rPr>
        <w:t>2009]</w:t>
      </w:r>
      <w:r>
        <w:rPr>
          <w:rFonts w:hint="eastAsia"/>
        </w:rPr>
        <w:t>，但在使用陈旧样本时很容易产生重影走样。</w:t>
      </w:r>
      <w:r>
        <w:rPr>
          <w:rFonts w:hint="eastAsia"/>
        </w:rPr>
        <w:t xml:space="preserve">Karis [2014] </w:t>
      </w:r>
      <w:r>
        <w:rPr>
          <w:rFonts w:hint="eastAsia"/>
        </w:rPr>
        <w:t>的</w:t>
      </w:r>
      <w:r>
        <w:rPr>
          <w:rFonts w:hint="eastAsia"/>
        </w:rPr>
        <w:t xml:space="preserve"> TAA </w:t>
      </w:r>
      <w:r>
        <w:rPr>
          <w:rFonts w:hint="eastAsia"/>
        </w:rPr>
        <w:t>技术通过调节与当前帧样本不一致的前一帧色彩样本来减少重影。</w:t>
      </w:r>
    </w:p>
    <w:p w14:paraId="36D99208" w14:textId="77777777" w:rsidR="00417D94" w:rsidRDefault="00000000">
      <w:pPr>
        <w:ind w:firstLine="420"/>
      </w:pPr>
      <w:r>
        <w:rPr>
          <w:rFonts w:hint="eastAsia"/>
        </w:rPr>
        <w:lastRenderedPageBreak/>
        <w:t>首先，该方法在色彩空间中计算出一个轴对齐的边界框，其中包含当前帧中局部</w:t>
      </w:r>
      <w:r>
        <w:rPr>
          <w:rFonts w:hint="eastAsia"/>
        </w:rPr>
        <w:t>3</w:t>
      </w:r>
      <w:r>
        <w:rPr>
          <w:rFonts w:hint="eastAsia"/>
        </w:rPr>
        <w:t>×</w:t>
      </w:r>
      <w:r>
        <w:rPr>
          <w:rFonts w:hint="eastAsia"/>
        </w:rPr>
        <w:t>3</w:t>
      </w:r>
      <w:r>
        <w:rPr>
          <w:rFonts w:hint="eastAsia"/>
        </w:rPr>
        <w:t>像素窗口内的所有色彩样本。</w:t>
      </w:r>
      <w:r>
        <w:rPr>
          <w:rFonts w:hint="eastAsia"/>
        </w:rPr>
        <w:t>3</w:t>
      </w:r>
      <w:r>
        <w:rPr>
          <w:rFonts w:hint="eastAsia"/>
        </w:rPr>
        <w:t>×</w:t>
      </w:r>
      <w:r>
        <w:rPr>
          <w:rFonts w:hint="eastAsia"/>
        </w:rPr>
        <w:t xml:space="preserve">3 </w:t>
      </w:r>
      <w:r>
        <w:rPr>
          <w:rFonts w:hint="eastAsia"/>
        </w:rPr>
        <w:t>窗口以当前像素为中心。当前像素颜色记为</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oMath>
      <w:r>
        <w:rPr>
          <w:rFonts w:hint="eastAsia"/>
        </w:rPr>
        <w:t>。其次，将上一帧的反向投影和重新采样的颜色</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夹在该边界框中。从上一帧重新使用的数据如果被包围在边界框内，则不会受到影响。相反，经过截断操作后，重新使用的数据将位于边界框的边缘，从而与当前的色彩数据更加一致。最后，通过使用指数移动平均法对新的着色数据和截断后的颜色样本</w:t>
      </w:r>
      <m:oMath>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进行整合，实现时间超采样：</w:t>
      </w:r>
    </w:p>
    <w:p w14:paraId="53C420DC" w14:textId="77777777" w:rsidR="00417D94" w:rsidRDefault="00000000">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hint="eastAsia"/>
            </w:rPr>
            <m:t>=α</m:t>
          </m:r>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α</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m:oMathPara>
    </w:p>
    <w:p w14:paraId="262D7D9A" w14:textId="77777777" w:rsidR="00417D94" w:rsidRDefault="00000000">
      <w:r>
        <w:tab/>
      </w:r>
      <w:r>
        <w:rPr>
          <w:rFonts w:hint="eastAsia"/>
        </w:rPr>
        <w:t>这里的参数α一般使用</w:t>
      </w:r>
      <w:r>
        <w:rPr>
          <w:rFonts w:hint="eastAsia"/>
        </w:rPr>
        <w:t>0.</w:t>
      </w:r>
      <w:r>
        <w:t>1</w:t>
      </w:r>
      <w:r>
        <w:rPr>
          <w:rFonts w:hint="eastAsia"/>
        </w:rPr>
        <w:t>。也就是说，当我们对上一帧的像素颜色没有做修正时，当前帧的像素颜色的</w:t>
      </w:r>
      <w:r>
        <w:rPr>
          <w:rFonts w:hint="eastAsia"/>
        </w:rPr>
        <w:t>9</w:t>
      </w:r>
      <w:r>
        <w:t>0</w:t>
      </w:r>
      <w:r>
        <w:rPr>
          <w:rFonts w:hint="eastAsia"/>
        </w:rPr>
        <w:t>%</w:t>
      </w:r>
      <w:r>
        <w:rPr>
          <w:rFonts w:hint="eastAsia"/>
        </w:rPr>
        <w:t>来自上一帧。</w:t>
      </w:r>
    </w:p>
    <w:p w14:paraId="3A384314" w14:textId="77777777" w:rsidR="00417D94" w:rsidRDefault="00000000">
      <w:pPr>
        <w:pStyle w:val="3"/>
      </w:pPr>
      <w:bookmarkStart w:id="36" w:name="_Toc18410"/>
      <w:r>
        <w:rPr>
          <w:rFonts w:hint="eastAsia"/>
        </w:rPr>
        <w:t>3</w:t>
      </w:r>
      <w:r>
        <w:t xml:space="preserve">.3.2 </w:t>
      </w:r>
      <w:r>
        <w:rPr>
          <w:rFonts w:hint="eastAsia"/>
        </w:rPr>
        <w:t>方差采样</w:t>
      </w:r>
      <w:bookmarkEnd w:id="36"/>
      <w:r>
        <w:rPr>
          <w:rFonts w:hint="eastAsia"/>
        </w:rPr>
        <w:t xml:space="preserve"> </w:t>
      </w:r>
    </w:p>
    <w:p w14:paraId="1B7230B5" w14:textId="77777777" w:rsidR="00417D94" w:rsidRDefault="00000000">
      <w:pPr>
        <w:ind w:firstLine="420"/>
      </w:pPr>
      <w:r>
        <w:rPr>
          <w:rFonts w:hint="eastAsia"/>
        </w:rPr>
        <w:t>上述方法在游戏中已经得到了广泛的使用，但仍存在明显的重影走样问题。这是由于离群的色彩样本大大扩展了边界框，使其无法很好地呈现局部色彩分布。此外，以往的注视点渲染技术也不能很好地与这种方法配合使用，因为色彩样本会被复制到许多像素上，从而削弱了我们对局部色彩分布的感知。在更大的像素窗口上计算色彩空间边界框，能显著改善我们对局部色彩分布的了解，但成本高昂。</w:t>
      </w:r>
    </w:p>
    <w:p w14:paraId="06C34C73" w14:textId="77777777" w:rsidR="00417D94" w:rsidRDefault="00000000">
      <w:pPr>
        <w:ind w:firstLine="420"/>
      </w:pPr>
      <w:r>
        <w:rPr>
          <w:rFonts w:hint="eastAsia"/>
        </w:rPr>
        <w:t>因此，我们引入了方差采样。</w:t>
      </w:r>
    </w:p>
    <w:p w14:paraId="0D589034" w14:textId="77777777" w:rsidR="00417D94" w:rsidRDefault="00000000">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e>
          </m:nary>
        </m:oMath>
      </m:oMathPara>
    </w:p>
    <w:p w14:paraId="19A0C5C1" w14:textId="77777777" w:rsidR="00417D94" w:rsidRDefault="00000000">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e>
          </m:nary>
        </m:oMath>
      </m:oMathPara>
    </w:p>
    <w:p w14:paraId="47CF2CB1" w14:textId="77777777" w:rsidR="00417D94" w:rsidRDefault="00000000">
      <w:pPr>
        <w:ind w:firstLine="420"/>
      </w:pPr>
      <w:r>
        <w:rPr>
          <w:rFonts w:hint="eastAsia"/>
        </w:rPr>
        <w:t>这样，我们就能得出分布均值：</w:t>
      </w:r>
    </w:p>
    <w:p w14:paraId="71F26940" w14:textId="77777777" w:rsidR="00417D94" w:rsidRDefault="00000000">
      <w:pPr>
        <w:ind w:firstLine="420"/>
      </w:pPr>
      <m:oMathPara>
        <m:oMath>
          <m:sSub>
            <m:sSubPr>
              <m:ctrlPr>
                <w:rPr>
                  <w:rFonts w:ascii="Cambria Math" w:hAnsi="Cambria Math"/>
                  <w:i/>
                </w:rPr>
              </m:ctrlPr>
            </m:sSubPr>
            <m:e>
              <m:r>
                <w:rPr>
                  <w:rFonts w:ascii="Cambria Math" w:hAnsi="Cambria Math" w:hint="eastAsia"/>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1i</m:t>
              </m:r>
            </m:sub>
          </m:sSub>
        </m:oMath>
      </m:oMathPara>
    </w:p>
    <w:p w14:paraId="7BBCAC1D" w14:textId="77777777" w:rsidR="00417D94" w:rsidRDefault="00000000">
      <w:pPr>
        <w:ind w:firstLine="420"/>
      </w:pPr>
      <w:r>
        <w:rPr>
          <w:rFonts w:hint="eastAsia"/>
        </w:rPr>
        <w:t>和标准偏差</w:t>
      </w:r>
      <w:r>
        <w:rPr>
          <w:rFonts w:hint="eastAsia"/>
        </w:rPr>
        <w:t xml:space="preserve"> </w:t>
      </w:r>
      <w:r>
        <w:rPr>
          <w:rFonts w:hint="eastAsia"/>
        </w:rPr>
        <w:t>：</w:t>
      </w:r>
    </w:p>
    <w:p w14:paraId="1023DC15" w14:textId="77777777" w:rsidR="00417D94" w:rsidRDefault="00000000">
      <w:pPr>
        <w:ind w:firstLine="420"/>
      </w:pPr>
      <m:oMathPara>
        <m:oMath>
          <m:sSub>
            <m:sSubPr>
              <m:ctrlPr>
                <w:rPr>
                  <w:rFonts w:ascii="Cambria Math" w:hAnsi="Cambria Math"/>
                  <w:i/>
                </w:rPr>
              </m:ctrlPr>
            </m:sSubPr>
            <m:e>
              <m:r>
                <w:rPr>
                  <w:rFonts w:ascii="Cambria Math" w:hAnsi="Cambria Math" w:hint="eastAsia"/>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1i</m:t>
                  </m:r>
                </m:sub>
                <m:sup>
                  <m:r>
                    <w:rPr>
                      <w:rFonts w:ascii="Cambria Math" w:hAnsi="Cambria Math"/>
                    </w:rPr>
                    <m:t>2</m:t>
                  </m:r>
                </m:sup>
              </m:sSubSup>
              <m:r>
                <w:rPr>
                  <w:rFonts w:ascii="Cambria Math" w:hAnsi="Cambria Math"/>
                </w:rPr>
                <m:t>)</m:t>
              </m:r>
            </m:e>
          </m:rad>
        </m:oMath>
      </m:oMathPara>
    </w:p>
    <w:p w14:paraId="4ABEDBBC" w14:textId="77777777" w:rsidR="00417D94" w:rsidRDefault="00000000">
      <w:pPr>
        <w:ind w:firstLine="420"/>
      </w:pPr>
      <w:r>
        <w:rPr>
          <w:rFonts w:hint="eastAsia"/>
        </w:rPr>
        <w:t>从而生成一个以</w:t>
      </w:r>
      <m:oMath>
        <m:sSub>
          <m:sSubPr>
            <m:ctrlPr>
              <w:rPr>
                <w:rFonts w:ascii="Cambria Math" w:hAnsi="Cambria Math"/>
                <w:i/>
              </w:rPr>
            </m:ctrlPr>
          </m:sSubPr>
          <m:e>
            <m:r>
              <w:rPr>
                <w:rFonts w:ascii="Cambria Math" w:hAnsi="Cambria Math" w:hint="eastAsia"/>
              </w:rPr>
              <m:t>μ</m:t>
            </m:r>
          </m:e>
          <m:sub>
            <m:r>
              <w:rPr>
                <w:rFonts w:ascii="Cambria Math" w:hAnsi="Cambria Math"/>
              </w:rPr>
              <m:t>i</m:t>
            </m:r>
          </m:sub>
        </m:sSub>
      </m:oMath>
      <w:r>
        <w:rPr>
          <w:rFonts w:hint="eastAsia"/>
        </w:rPr>
        <w:t>为中心的包围盒，包围盒的范围由</w:t>
      </w:r>
      <m:oMath>
        <m:sSub>
          <m:sSubPr>
            <m:ctrlPr>
              <w:rPr>
                <w:rFonts w:ascii="Cambria Math" w:hAnsi="Cambria Math"/>
                <w:i/>
              </w:rPr>
            </m:ctrlPr>
          </m:sSubPr>
          <m:e>
            <m:r>
              <w:rPr>
                <w:rFonts w:ascii="Cambria Math" w:hAnsi="Cambria Math" w:hint="eastAsia"/>
              </w:rPr>
              <m:t>σ</m:t>
            </m:r>
          </m:e>
          <m:sub>
            <m:r>
              <w:rPr>
                <w:rFonts w:ascii="Cambria Math" w:hAnsi="Cambria Math"/>
              </w:rPr>
              <m:t>i</m:t>
            </m:r>
          </m:sub>
        </m:sSub>
      </m:oMath>
      <w:r>
        <w:rPr>
          <w:rFonts w:hint="eastAsia"/>
        </w:rPr>
        <w:t>确定。这种方法有两大好处。首先，我们的色彩边界框倾向于自然排除异常值，它能更好地包围当</w:t>
      </w:r>
      <w:r>
        <w:rPr>
          <w:rFonts w:hint="eastAsia"/>
        </w:rPr>
        <w:lastRenderedPageBreak/>
        <w:t>前帧色彩样本所在的色彩空间区域，与之前的方法相比，能有效减少重影走样，同时不增加计算和内存带宽成本。其次，分布的一阶原始矩是线性量，可以在大图像区域内进行预过滤。这一特性使得多尺度</w:t>
      </w:r>
      <w:r>
        <w:rPr>
          <w:rFonts w:hint="eastAsia"/>
        </w:rPr>
        <w:t>TAA</w:t>
      </w:r>
      <w:r>
        <w:rPr>
          <w:rFonts w:hint="eastAsia"/>
        </w:rPr>
        <w:t>对采样不足的图像区域，可以有效地确定其统计特性，并提高其时间稳定性。</w:t>
      </w:r>
    </w:p>
    <w:p w14:paraId="1700876D" w14:textId="77777777" w:rsidR="00417D94" w:rsidRDefault="00000000">
      <w:pPr>
        <w:ind w:firstLine="420"/>
        <w:jc w:val="center"/>
      </w:pPr>
      <w:r>
        <w:rPr>
          <w:rFonts w:hint="eastAsia"/>
        </w:rPr>
        <w:t>图：包围盒对历史颜色的</w:t>
      </w:r>
      <w:r>
        <w:rPr>
          <w:rFonts w:hint="eastAsia"/>
        </w:rPr>
        <w:t>Clip</w:t>
      </w:r>
      <w:r>
        <w:rPr>
          <w:rFonts w:hint="eastAsia"/>
        </w:rPr>
        <w:t>约束和</w:t>
      </w:r>
      <w:r>
        <w:rPr>
          <w:rFonts w:hint="eastAsia"/>
        </w:rPr>
        <w:t>Clamp</w:t>
      </w:r>
      <w:r>
        <w:rPr>
          <w:rFonts w:hint="eastAsia"/>
        </w:rPr>
        <w:t>约束的区别</w:t>
      </w:r>
      <w:r>
        <w:rPr>
          <w:noProof/>
        </w:rPr>
        <w:drawing>
          <wp:anchor distT="0" distB="0" distL="114300" distR="114300" simplePos="0" relativeHeight="251660288" behindDoc="0" locked="0" layoutInCell="1" allowOverlap="1" wp14:anchorId="3F4BEE15" wp14:editId="5EF96728">
            <wp:simplePos x="0" y="0"/>
            <wp:positionH relativeFrom="column">
              <wp:posOffset>2540</wp:posOffset>
            </wp:positionH>
            <wp:positionV relativeFrom="paragraph">
              <wp:posOffset>68580</wp:posOffset>
            </wp:positionV>
            <wp:extent cx="5274310" cy="3956050"/>
            <wp:effectExtent l="0" t="0" r="0" b="0"/>
            <wp:wrapTopAndBottom/>
            <wp:docPr id="1381794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4344" name="图片 1" descr="图表, 折线图&#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0A58290F" w14:textId="77777777" w:rsidR="00417D94" w:rsidRDefault="00000000">
      <w:pPr>
        <w:pStyle w:val="3"/>
      </w:pPr>
      <w:bookmarkStart w:id="37" w:name="_Toc1021"/>
      <w:r>
        <w:rPr>
          <w:rFonts w:hint="eastAsia"/>
        </w:rPr>
        <w:t>3.</w:t>
      </w:r>
      <w:r>
        <w:t>3</w:t>
      </w:r>
      <w:r>
        <w:rPr>
          <w:rFonts w:hint="eastAsia"/>
        </w:rPr>
        <w:t>.</w:t>
      </w:r>
      <w:r>
        <w:t xml:space="preserve">3 </w:t>
      </w:r>
      <w:r>
        <w:rPr>
          <w:rFonts w:hint="eastAsia"/>
        </w:rPr>
        <w:t>减少时间不稳定性</w:t>
      </w:r>
      <w:bookmarkEnd w:id="37"/>
    </w:p>
    <w:p w14:paraId="732BCA5C" w14:textId="77777777" w:rsidR="00417D94" w:rsidRDefault="00000000">
      <w:r>
        <w:tab/>
      </w:r>
      <w:r>
        <w:rPr>
          <w:rFonts w:hint="eastAsia"/>
        </w:rPr>
        <w:t xml:space="preserve">TAA </w:t>
      </w:r>
      <w:r>
        <w:rPr>
          <w:rFonts w:hint="eastAsia"/>
        </w:rPr>
        <w:t>的主要目标之一是减少帧的时间不稳定性，如高光闪烁或摩尔纹伪影。由于在每一帧中都会对视口应用不同的抖动偏移，因此即使摄像机保持静止不动，为像素计算的着色样本也会在每一帧中发生变化。通常情况下，样本累积步骤（当前帧与上一帧混合）会吸收这些差异，从而提供正确滤波的像素。但是，历史记录剔除或纠正算法，可能会因抖动引起的样本颜色变化，而错误地</w:t>
      </w:r>
    </w:p>
    <w:p w14:paraId="71FF282D" w14:textId="77777777" w:rsidR="00417D94" w:rsidRDefault="00000000">
      <w:pPr>
        <w:jc w:val="center"/>
      </w:pPr>
      <w:r>
        <w:rPr>
          <w:noProof/>
        </w:rPr>
        <w:lastRenderedPageBreak/>
        <w:drawing>
          <wp:anchor distT="0" distB="0" distL="114300" distR="114300" simplePos="0" relativeHeight="251658240" behindDoc="0" locked="0" layoutInCell="1" allowOverlap="1" wp14:anchorId="20F746F8" wp14:editId="496A5EFA">
            <wp:simplePos x="0" y="0"/>
            <wp:positionH relativeFrom="column">
              <wp:posOffset>244475</wp:posOffset>
            </wp:positionH>
            <wp:positionV relativeFrom="paragraph">
              <wp:posOffset>45085</wp:posOffset>
            </wp:positionV>
            <wp:extent cx="4794250" cy="2197100"/>
            <wp:effectExtent l="0" t="0" r="0" b="0"/>
            <wp:wrapTopAndBottom/>
            <wp:docPr id="1274820178"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178" name="图片 1" descr="建筑的摆设布局&#10;&#10;中度可信度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4250" cy="2197100"/>
                    </a:xfrm>
                    <a:prstGeom prst="rect">
                      <a:avLst/>
                    </a:prstGeom>
                  </pic:spPr>
                </pic:pic>
              </a:graphicData>
            </a:graphic>
          </wp:anchor>
        </w:drawing>
      </w:r>
      <w:r>
        <w:rPr>
          <w:rFonts w:hint="eastAsia"/>
        </w:rPr>
        <w:t>图：注视点渲染尚存在的时间不稳定性问题</w:t>
      </w:r>
    </w:p>
    <w:p w14:paraId="64B530D2" w14:textId="77777777" w:rsidR="00417D94" w:rsidRDefault="00000000">
      <w:pPr>
        <w:jc w:val="center"/>
      </w:pPr>
      <w:r>
        <w:rPr>
          <w:rFonts w:hint="eastAsia"/>
        </w:rPr>
        <w:t>【此处应有图：</w:t>
      </w:r>
      <w:r>
        <w:rPr>
          <w:rFonts w:hint="eastAsia"/>
        </w:rPr>
        <w:t>Bloom</w:t>
      </w:r>
      <w:r>
        <w:rPr>
          <w:rFonts w:hint="eastAsia"/>
        </w:rPr>
        <w:t>下的高光的不稳定性】</w:t>
      </w:r>
    </w:p>
    <w:p w14:paraId="161EC67A" w14:textId="77777777" w:rsidR="00417D94" w:rsidRDefault="00000000">
      <w:r>
        <w:rPr>
          <w:rFonts w:hint="eastAsia"/>
        </w:rPr>
        <w:t>使历史记录失效或截断历史记录。下图显示了这样一个例子：低频莫伊纹会导致某些像素附近的色域完全改变，从而迫使历史色彩在每一帧中都被</w:t>
      </w:r>
      <w:r>
        <w:rPr>
          <w:rFonts w:hint="eastAsia"/>
        </w:rPr>
        <w:t>clip</w:t>
      </w:r>
      <w:r>
        <w:rPr>
          <w:rFonts w:hint="eastAsia"/>
        </w:rPr>
        <w:t>或</w:t>
      </w:r>
      <w:r>
        <w:rPr>
          <w:rFonts w:hint="eastAsia"/>
        </w:rPr>
        <w:t>clamp</w:t>
      </w:r>
      <w:r>
        <w:rPr>
          <w:rFonts w:hint="eastAsia"/>
        </w:rPr>
        <w:t>到新的采样值，从而丢弃了历史结果。禁用或放宽历史校正可以避免闪烁（此处应有图，无闪烁的对比图），但可能会出现重影。事实上，在设计历史记录剔除或纠正算法时，避免重影和闪烁往往是相互矛盾的。</w:t>
      </w:r>
    </w:p>
    <w:p w14:paraId="35B0F629" w14:textId="77777777" w:rsidR="00417D94" w:rsidRDefault="00000000">
      <w:pPr>
        <w:ind w:firstLine="420"/>
      </w:pPr>
      <w:r>
        <w:rPr>
          <w:rFonts w:hint="eastAsia"/>
        </w:rPr>
        <w:t>导致时间不稳定性的根本问题与前面介绍的问题的原因类似：采样不足的输入没有足够的信息来可靠地检测历史的有效性。有效历史被视为无效，会导致时间不稳定性；无效历史被视为有效，又会导致重影。</w:t>
      </w:r>
    </w:p>
    <w:p w14:paraId="60E05371" w14:textId="77777777" w:rsidR="00417D94" w:rsidRDefault="00000000">
      <w:pPr>
        <w:ind w:firstLine="420"/>
      </w:pPr>
      <w:r>
        <w:rPr>
          <w:rFonts w:hint="eastAsia"/>
        </w:rPr>
        <w:t>Karis</w:t>
      </w:r>
      <w:r>
        <w:rPr>
          <w:rFonts w:hint="eastAsia"/>
        </w:rPr>
        <w:t>在历史样本接近截断时减少混合因子α，以缓和截断发生后的时间变化。这种启发式的算法可以良好地减少时间不稳定性。</w:t>
      </w:r>
    </w:p>
    <w:p w14:paraId="18EDFA02" w14:textId="77777777" w:rsidR="00417D94" w:rsidRDefault="00417D94"/>
    <w:p w14:paraId="7C9CDE0A" w14:textId="77777777" w:rsidR="00417D94" w:rsidRDefault="00000000">
      <w:pPr>
        <w:pStyle w:val="1"/>
      </w:pPr>
      <w:bookmarkStart w:id="38" w:name="_Toc15152"/>
      <w:r>
        <w:rPr>
          <w:rFonts w:hint="eastAsia"/>
        </w:rPr>
        <w:t xml:space="preserve">4 </w:t>
      </w:r>
      <w:r>
        <w:rPr>
          <w:rFonts w:hint="eastAsia"/>
        </w:rPr>
        <w:t>系统实现</w:t>
      </w:r>
      <w:bookmarkEnd w:id="38"/>
    </w:p>
    <w:p w14:paraId="28FF1221" w14:textId="77777777" w:rsidR="00417D94" w:rsidRDefault="00000000">
      <w:pPr>
        <w:pStyle w:val="2"/>
      </w:pPr>
      <w:bookmarkStart w:id="39" w:name="_Toc4167"/>
      <w:r>
        <w:rPr>
          <w:rFonts w:hint="eastAsia"/>
        </w:rPr>
        <w:t>4</w:t>
      </w:r>
      <w:r>
        <w:t xml:space="preserve">.1 </w:t>
      </w:r>
      <w:r>
        <w:rPr>
          <w:rFonts w:hint="eastAsia"/>
        </w:rPr>
        <w:t>延迟渲染管线</w:t>
      </w:r>
      <w:bookmarkEnd w:id="39"/>
    </w:p>
    <w:p w14:paraId="5C67566D" w14:textId="77777777" w:rsidR="00417D94" w:rsidRDefault="00000000">
      <w:pPr>
        <w:pStyle w:val="3"/>
      </w:pPr>
      <w:bookmarkStart w:id="40" w:name="_Toc10783"/>
      <w:r>
        <w:rPr>
          <w:rFonts w:hint="eastAsia"/>
        </w:rPr>
        <w:t>4.</w:t>
      </w:r>
      <w:r>
        <w:t>1</w:t>
      </w:r>
      <w:r>
        <w:rPr>
          <w:rFonts w:hint="eastAsia"/>
        </w:rPr>
        <w:t>.</w:t>
      </w:r>
      <w:r>
        <w:t xml:space="preserve">1 </w:t>
      </w:r>
      <w:r>
        <w:rPr>
          <w:rFonts w:hint="eastAsia"/>
        </w:rPr>
        <w:t>几何缓冲区的填充</w:t>
      </w:r>
      <w:bookmarkEnd w:id="40"/>
    </w:p>
    <w:p w14:paraId="036B76A8" w14:textId="77777777" w:rsidR="00417D94" w:rsidRDefault="00000000">
      <w:pPr>
        <w:ind w:firstLine="360"/>
      </w:pPr>
      <w:r>
        <w:rPr>
          <w:rFonts w:hint="eastAsia"/>
        </w:rPr>
        <w:t>这一节我们要完成填充</w:t>
      </w:r>
      <w:r>
        <w:rPr>
          <w:rFonts w:hint="eastAsia"/>
        </w:rPr>
        <w:t>G</w:t>
      </w:r>
      <w:r>
        <w:t>b</w:t>
      </w:r>
      <w:r>
        <w:rPr>
          <w:rFonts w:hint="eastAsia"/>
        </w:rPr>
        <w:t>uffer</w:t>
      </w:r>
      <w:r>
        <w:rPr>
          <w:rFonts w:hint="eastAsia"/>
        </w:rPr>
        <w:t>的着色器。这里我们需要填充的既不是几何数据，也不是光照计算的结果，而是光栅化后，每个片元所需要的着色计算的</w:t>
      </w:r>
      <w:r>
        <w:rPr>
          <w:rFonts w:hint="eastAsia"/>
        </w:rPr>
        <w:lastRenderedPageBreak/>
        <w:t>“材料”。</w:t>
      </w:r>
    </w:p>
    <w:p w14:paraId="4CB3C374" w14:textId="77777777" w:rsidR="00417D94" w:rsidRDefault="00000000">
      <w:pPr>
        <w:ind w:firstLine="360"/>
      </w:pPr>
      <w:r>
        <w:rPr>
          <w:rFonts w:hint="eastAsia"/>
        </w:rPr>
        <w:t>在本文的实现中，我们的这个“材料”是四个缓冲区。因为</w:t>
      </w:r>
      <w:r>
        <w:rPr>
          <w:rFonts w:hint="eastAsia"/>
        </w:rPr>
        <w:t>Unity</w:t>
      </w:r>
      <w:r>
        <w:rPr>
          <w:rFonts w:hint="eastAsia"/>
        </w:rPr>
        <w:t>已经实现并封装了</w:t>
      </w:r>
      <w:r>
        <w:rPr>
          <w:rFonts w:hint="eastAsia"/>
        </w:rPr>
        <w:t>Multiple</w:t>
      </w:r>
      <w:r>
        <w:t xml:space="preserve"> </w:t>
      </w:r>
      <w:r>
        <w:rPr>
          <w:rFonts w:hint="eastAsia"/>
        </w:rPr>
        <w:t>Render</w:t>
      </w:r>
      <w:r>
        <w:t xml:space="preserve"> </w:t>
      </w:r>
      <w:r>
        <w:rPr>
          <w:rFonts w:hint="eastAsia"/>
        </w:rPr>
        <w:t>Target</w:t>
      </w:r>
      <w:r>
        <w:rPr>
          <w:rFonts w:hint="eastAsia"/>
        </w:rPr>
        <w:t>技术，我们只需要通过</w:t>
      </w:r>
      <w:r>
        <w:rPr>
          <w:rFonts w:hint="eastAsia"/>
        </w:rPr>
        <w:t>Unity</w:t>
      </w:r>
      <w:r>
        <w:t xml:space="preserve"> </w:t>
      </w:r>
      <w:r>
        <w:rPr>
          <w:rFonts w:hint="eastAsia"/>
        </w:rPr>
        <w:t>Shader</w:t>
      </w:r>
      <w:r>
        <w:rPr>
          <w:rFonts w:hint="eastAsia"/>
        </w:rPr>
        <w:t>的</w:t>
      </w:r>
      <w:r>
        <w:rPr>
          <w:rFonts w:hint="eastAsia"/>
        </w:rPr>
        <w:t>SV</w:t>
      </w:r>
      <w:r>
        <w:t>_Target</w:t>
      </w:r>
      <w:r>
        <w:rPr>
          <w:rFonts w:hint="eastAsia"/>
        </w:rPr>
        <w:t>语义来将结果输出到四个目标即可。</w:t>
      </w:r>
    </w:p>
    <w:p w14:paraId="275E0A5D"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void frag (</w:t>
      </w:r>
    </w:p>
    <w:p w14:paraId="5DC067BA"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v2f i,</w:t>
      </w:r>
    </w:p>
    <w:p w14:paraId="39583186"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GT0 : SV_Target0,</w:t>
      </w:r>
    </w:p>
    <w:p w14:paraId="0770AB30"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GT1 : SV_Target1,</w:t>
      </w:r>
    </w:p>
    <w:p w14:paraId="08640B2F"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GT2 : SV_Target2,</w:t>
      </w:r>
    </w:p>
    <w:p w14:paraId="010DCD24" w14:textId="77777777" w:rsidR="00417D94" w:rsidRDefault="00000000">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GT3 : SV_Target3</w:t>
      </w:r>
    </w:p>
    <w:p w14:paraId="09838100"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14F882D8" w14:textId="77777777" w:rsidR="00417D94" w:rsidRDefault="00000000">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hint="eastAsia"/>
          <w:color w:val="000000"/>
          <w:kern w:val="0"/>
          <w:sz w:val="18"/>
          <w:szCs w:val="18"/>
        </w:rPr>
        <w:t>{</w:t>
      </w:r>
      <w:r>
        <w:rPr>
          <w:rFonts w:ascii="Consolas" w:hAnsi="Consolas" w:cs="宋体"/>
          <w:color w:val="000000"/>
          <w:kern w:val="0"/>
          <w:sz w:val="18"/>
          <w:szCs w:val="18"/>
        </w:rPr>
        <w:t xml:space="preserve"> … }</w:t>
      </w:r>
    </w:p>
    <w:p w14:paraId="1CC04D09" w14:textId="77777777" w:rsidR="00417D94" w:rsidRDefault="00000000">
      <w:pPr>
        <w:pStyle w:val="4"/>
      </w:pPr>
      <w:r>
        <w:rPr>
          <w:rFonts w:hint="eastAsia"/>
        </w:rPr>
        <w:t>4.</w:t>
      </w:r>
      <w:r>
        <w:t>1</w:t>
      </w:r>
      <w:r>
        <w:rPr>
          <w:rFonts w:hint="eastAsia"/>
        </w:rPr>
        <w:t>.</w:t>
      </w:r>
      <w:r>
        <w:t>1</w:t>
      </w:r>
      <w:r>
        <w:rPr>
          <w:rFonts w:hint="eastAsia"/>
        </w:rPr>
        <w:t>.</w:t>
      </w:r>
      <w:r>
        <w:t xml:space="preserve">1 </w:t>
      </w:r>
      <w:r>
        <w:rPr>
          <w:rFonts w:hint="eastAsia"/>
        </w:rPr>
        <w:t>几何缓冲区</w:t>
      </w:r>
      <w:r>
        <w:t>0</w:t>
      </w:r>
    </w:p>
    <w:p w14:paraId="185802B7" w14:textId="77777777" w:rsidR="00417D94" w:rsidRDefault="00000000">
      <w:pPr>
        <w:ind w:firstLine="360"/>
      </w:pPr>
      <w:r>
        <w:t>第一个</w:t>
      </w:r>
      <w:r>
        <w:t xml:space="preserve"> G </w:t>
      </w:r>
      <w:r>
        <w:t>缓冲区用于存储漫反射反照率和表面遮挡。它是一个</w:t>
      </w:r>
      <w:r>
        <w:t xml:space="preserve"> ARGB32 </w:t>
      </w:r>
      <w:r>
        <w:t>纹理，就像常规帧缓冲区一样。反照率存储在</w:t>
      </w:r>
      <w:r>
        <w:t xml:space="preserve"> RGB </w:t>
      </w:r>
      <w:r>
        <w:t>通道中，遮挡存储在</w:t>
      </w:r>
      <w:r>
        <w:t xml:space="preserve"> A </w:t>
      </w:r>
      <w:r>
        <w:t>通道中。此时我们知道反照率颜色，我们可以使用它</w:t>
      </w:r>
      <w:r>
        <w:t>GetOcclusion</w:t>
      </w:r>
      <w:r>
        <w:t>来访问遮挡值。</w:t>
      </w:r>
    </w:p>
    <w:p w14:paraId="036CD74D" w14:textId="77777777" w:rsidR="00417D94" w:rsidRDefault="00000000">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output.gBuffer0.rgb = albedo;</w:t>
      </w:r>
    </w:p>
    <w:p w14:paraId="018C5245" w14:textId="77777777" w:rsidR="00417D94" w:rsidRDefault="00000000">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output.gBuffer0.a = GetOcclusion(i);</w:t>
      </w:r>
    </w:p>
    <w:p w14:paraId="7F3CE01D" w14:textId="77777777" w:rsidR="00417D94" w:rsidRDefault="00000000">
      <w:pPr>
        <w:ind w:firstLine="360"/>
      </w:pPr>
      <w:r>
        <w:rPr>
          <w:rFonts w:hint="eastAsia"/>
        </w:rPr>
        <w:t>我们</w:t>
      </w:r>
      <w:r>
        <w:t>可以使用</w:t>
      </w:r>
      <w:r>
        <w:rPr>
          <w:rFonts w:hint="eastAsia"/>
        </w:rPr>
        <w:t>Unity</w:t>
      </w:r>
      <w:r>
        <w:rPr>
          <w:rFonts w:hint="eastAsia"/>
        </w:rPr>
        <w:t>内置的</w:t>
      </w:r>
      <w:r>
        <w:t>帧调试器来检查第一个</w:t>
      </w:r>
      <w:r>
        <w:rPr>
          <w:rFonts w:hint="eastAsia"/>
        </w:rPr>
        <w:t>几何</w:t>
      </w:r>
      <w:r>
        <w:t>缓冲区的内容，以验证</w:t>
      </w:r>
      <w:r>
        <w:rPr>
          <w:rFonts w:hint="eastAsia"/>
        </w:rPr>
        <w:t>其</w:t>
      </w:r>
      <w:r>
        <w:t>是否</w:t>
      </w:r>
      <w:r>
        <w:rPr>
          <w:rFonts w:hint="eastAsia"/>
        </w:rPr>
        <w:t>被</w:t>
      </w:r>
      <w:r>
        <w:t>正确</w:t>
      </w:r>
      <w:r>
        <w:rPr>
          <w:rFonts w:hint="eastAsia"/>
        </w:rPr>
        <w:t>地</w:t>
      </w:r>
      <w:r>
        <w:t>填充。这将向您显示它的</w:t>
      </w:r>
      <w:r>
        <w:t xml:space="preserve"> RGB </w:t>
      </w:r>
      <w:r>
        <w:t>通道。但是，未显示</w:t>
      </w:r>
      <w:r>
        <w:t xml:space="preserve"> A </w:t>
      </w:r>
      <w:r>
        <w:t>通道。要检查遮挡数据，您可以将其临时分配给</w:t>
      </w:r>
      <w:r>
        <w:t xml:space="preserve"> RGB </w:t>
      </w:r>
      <w:r>
        <w:t>通道。</w:t>
      </w:r>
    </w:p>
    <w:p w14:paraId="5D6EC630" w14:textId="77777777" w:rsidR="00417D94" w:rsidRDefault="00000000">
      <w:pPr>
        <w:pStyle w:val="4"/>
      </w:pPr>
      <w:r>
        <w:rPr>
          <w:rFonts w:hint="eastAsia"/>
        </w:rPr>
        <w:t>4.</w:t>
      </w:r>
      <w:r>
        <w:t>1</w:t>
      </w:r>
      <w:r>
        <w:rPr>
          <w:rFonts w:hint="eastAsia"/>
        </w:rPr>
        <w:t>.</w:t>
      </w:r>
      <w:r>
        <w:t>1</w:t>
      </w:r>
      <w:r>
        <w:rPr>
          <w:rFonts w:hint="eastAsia"/>
        </w:rPr>
        <w:t>.</w:t>
      </w:r>
      <w:r>
        <w:t xml:space="preserve">2 </w:t>
      </w:r>
      <w:r>
        <w:rPr>
          <w:rFonts w:hint="eastAsia"/>
        </w:rPr>
        <w:t>几何缓冲区</w:t>
      </w:r>
      <w:r>
        <w:t>1</w:t>
      </w:r>
    </w:p>
    <w:p w14:paraId="7DB6009E" w14:textId="77777777" w:rsidR="00417D94" w:rsidRDefault="00000000">
      <w:pPr>
        <w:ind w:firstLine="360"/>
      </w:pPr>
      <w:r>
        <w:t>第二个</w:t>
      </w:r>
      <w:r>
        <w:t xml:space="preserve"> G </w:t>
      </w:r>
      <w:r>
        <w:t>缓冲区用于存储</w:t>
      </w:r>
      <w:r>
        <w:t xml:space="preserve"> RGB </w:t>
      </w:r>
      <w:r>
        <w:t>通道中的镜面反射颜色以及</w:t>
      </w:r>
      <w:r>
        <w:t xml:space="preserve"> A </w:t>
      </w:r>
      <w:r>
        <w:t>通道中的平滑度值。它也是一个</w:t>
      </w:r>
      <w:r>
        <w:t xml:space="preserve"> ARGB32 </w:t>
      </w:r>
      <w:r>
        <w:t>纹理。我们知道镜面反射色调是什么，并且可以用来</w:t>
      </w:r>
      <w:r>
        <w:t>GetSmoothness</w:t>
      </w:r>
      <w:r>
        <w:t>检索平滑度值。</w:t>
      </w:r>
    </w:p>
    <w:p w14:paraId="4A429DCA" w14:textId="77777777" w:rsidR="00417D94" w:rsidRDefault="00000000">
      <w:pPr>
        <w:widowControl/>
        <w:numPr>
          <w:ilvl w:val="0"/>
          <w:numId w:val="3"/>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output.gBuffer1.rgb = specularTint;</w:t>
      </w:r>
    </w:p>
    <w:p w14:paraId="78AC39E7" w14:textId="77777777" w:rsidR="00417D94" w:rsidRDefault="00000000">
      <w:pPr>
        <w:widowControl/>
        <w:numPr>
          <w:ilvl w:val="0"/>
          <w:numId w:val="3"/>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output.gBuffer1.a = GetSmoothness(i);</w:t>
      </w:r>
    </w:p>
    <w:p w14:paraId="023645DD" w14:textId="77777777" w:rsidR="00417D94" w:rsidRDefault="00417D94">
      <w:pPr>
        <w:ind w:firstLine="360"/>
      </w:pPr>
    </w:p>
    <w:p w14:paraId="7722D4F9" w14:textId="77777777" w:rsidR="00417D94" w:rsidRDefault="00000000">
      <w:pPr>
        <w:pStyle w:val="4"/>
      </w:pPr>
      <w:r>
        <w:rPr>
          <w:rFonts w:hint="eastAsia"/>
        </w:rPr>
        <w:lastRenderedPageBreak/>
        <w:t>4.</w:t>
      </w:r>
      <w:r>
        <w:t>1</w:t>
      </w:r>
      <w:r>
        <w:rPr>
          <w:rFonts w:hint="eastAsia"/>
        </w:rPr>
        <w:t>.</w:t>
      </w:r>
      <w:r>
        <w:t>1</w:t>
      </w:r>
      <w:r>
        <w:rPr>
          <w:rFonts w:hint="eastAsia"/>
        </w:rPr>
        <w:t>.</w:t>
      </w:r>
      <w:r>
        <w:t xml:space="preserve">3 </w:t>
      </w:r>
      <w:r>
        <w:rPr>
          <w:rFonts w:hint="eastAsia"/>
        </w:rPr>
        <w:t>几何缓冲区</w:t>
      </w:r>
      <w:r>
        <w:t>2</w:t>
      </w:r>
    </w:p>
    <w:p w14:paraId="0E513C50" w14:textId="77777777" w:rsidR="00417D94" w:rsidRDefault="00000000">
      <w:pPr>
        <w:ind w:firstLine="360"/>
      </w:pPr>
      <w:r>
        <w:t>第三个</w:t>
      </w:r>
      <w:r>
        <w:t xml:space="preserve"> G </w:t>
      </w:r>
      <w:r>
        <w:t>缓冲区包含世界空间法线向量。它们存储在</w:t>
      </w:r>
      <w:r>
        <w:t xml:space="preserve"> ARGB2101010 </w:t>
      </w:r>
      <w:r>
        <w:t>纹理的</w:t>
      </w:r>
      <w:r>
        <w:t xml:space="preserve"> RGB </w:t>
      </w:r>
      <w:r>
        <w:t>通道中。这意味着每个坐标使用十位存储，而不是通常的八位，</w:t>
      </w:r>
      <w:r>
        <w:rPr>
          <w:rFonts w:hint="eastAsia"/>
        </w:rPr>
        <w:t>因为法线需要</w:t>
      </w:r>
      <w:r>
        <w:t>更加精确</w:t>
      </w:r>
      <w:r>
        <w:rPr>
          <w:rFonts w:hint="eastAsia"/>
        </w:rPr>
        <w:t>的数值</w:t>
      </w:r>
      <w:r>
        <w:t>。</w:t>
      </w:r>
      <w:r>
        <w:t xml:space="preserve">A </w:t>
      </w:r>
      <w:r>
        <w:t>通道只有两位</w:t>
      </w:r>
      <w:r>
        <w:rPr>
          <w:rFonts w:hint="eastAsia"/>
        </w:rPr>
        <w:t>，</w:t>
      </w:r>
      <w:r>
        <w:t>所以总数又是</w:t>
      </w:r>
      <w:r>
        <w:t xml:space="preserve"> 32 </w:t>
      </w:r>
      <w:r>
        <w:t>位</w:t>
      </w:r>
      <w:r>
        <w:rPr>
          <w:rFonts w:hint="eastAsia"/>
        </w:rPr>
        <w:t>，</w:t>
      </w:r>
      <w:r>
        <w:t>但</w:t>
      </w:r>
      <w:r>
        <w:rPr>
          <w:rFonts w:hint="eastAsia"/>
        </w:rPr>
        <w:t>我们不</w:t>
      </w:r>
      <w:r>
        <w:t>使用</w:t>
      </w:r>
      <w:r>
        <w:rPr>
          <w:rFonts w:hint="eastAsia"/>
        </w:rPr>
        <w:t>它</w:t>
      </w:r>
      <w:r>
        <w:t>，所以我们将其设置为</w:t>
      </w:r>
      <w:r>
        <w:t xml:space="preserve"> 1</w:t>
      </w:r>
      <w:r>
        <w:t>。</w:t>
      </w:r>
      <w:r>
        <w:rPr>
          <w:rFonts w:hint="eastAsia"/>
        </w:rPr>
        <w:t>我们按</w:t>
      </w:r>
      <w:r>
        <w:t>常规法线贴图</w:t>
      </w:r>
      <w:r>
        <w:rPr>
          <w:rFonts w:hint="eastAsia"/>
        </w:rPr>
        <w:t>的格式</w:t>
      </w:r>
      <w:r>
        <w:t>进行编码。</w:t>
      </w:r>
    </w:p>
    <w:p w14:paraId="5D838A2C" w14:textId="77777777" w:rsidR="00417D94" w:rsidRDefault="00000000">
      <w:pPr>
        <w:widowControl/>
        <w:numPr>
          <w:ilvl w:val="0"/>
          <w:numId w:val="4"/>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output.gBuffer2 = float4(i.normal * 0.5 + 0.5, 1);</w:t>
      </w:r>
    </w:p>
    <w:p w14:paraId="1A58B445" w14:textId="77777777" w:rsidR="00417D94" w:rsidRDefault="00417D94">
      <w:pPr>
        <w:ind w:firstLine="360"/>
      </w:pPr>
    </w:p>
    <w:p w14:paraId="58087F53" w14:textId="77777777" w:rsidR="00417D94" w:rsidRDefault="00000000">
      <w:pPr>
        <w:pStyle w:val="4"/>
      </w:pPr>
      <w:r>
        <w:rPr>
          <w:rFonts w:hint="eastAsia"/>
        </w:rPr>
        <w:t>4.</w:t>
      </w:r>
      <w:r>
        <w:t>1</w:t>
      </w:r>
      <w:r>
        <w:rPr>
          <w:rFonts w:hint="eastAsia"/>
        </w:rPr>
        <w:t>.</w:t>
      </w:r>
      <w:r>
        <w:t>1</w:t>
      </w:r>
      <w:r>
        <w:rPr>
          <w:rFonts w:hint="eastAsia"/>
        </w:rPr>
        <w:t>.</w:t>
      </w:r>
      <w:r>
        <w:t xml:space="preserve">4 </w:t>
      </w:r>
      <w:r>
        <w:rPr>
          <w:rFonts w:hint="eastAsia"/>
        </w:rPr>
        <w:t>几何缓冲区</w:t>
      </w:r>
      <w:r>
        <w:t>3</w:t>
      </w:r>
    </w:p>
    <w:p w14:paraId="59097F33" w14:textId="77777777" w:rsidR="00417D94" w:rsidRDefault="00000000">
      <w:pPr>
        <w:ind w:firstLine="360"/>
      </w:pPr>
      <w:r>
        <w:rPr>
          <w:rFonts w:hint="eastAsia"/>
        </w:rPr>
        <w:t>最后的几何</w:t>
      </w:r>
      <w:r>
        <w:t>缓冲区用于</w:t>
      </w:r>
      <w:r>
        <w:rPr>
          <w:rFonts w:hint="eastAsia"/>
        </w:rPr>
        <w:t>存储</w:t>
      </w:r>
      <w:r>
        <w:t>场景的</w:t>
      </w:r>
      <w:r>
        <w:rPr>
          <w:rFonts w:hint="eastAsia"/>
        </w:rPr>
        <w:t>自发光</w:t>
      </w:r>
      <w:r>
        <w:t>。其格式取决于相机设置为</w:t>
      </w:r>
      <w:r>
        <w:t xml:space="preserve"> LDR </w:t>
      </w:r>
      <w:r>
        <w:t>还是</w:t>
      </w:r>
      <w:r>
        <w:t>HDR</w:t>
      </w:r>
      <w:r>
        <w:t>。对于</w:t>
      </w:r>
      <w:r>
        <w:t>LDR</w:t>
      </w:r>
      <w:r>
        <w:t>，它是一个</w:t>
      </w:r>
      <w:r>
        <w:t>ARGB2101010</w:t>
      </w:r>
      <w:r>
        <w:t>纹理，就像法线的缓冲区一样。启用</w:t>
      </w:r>
      <w:r>
        <w:t>HDR</w:t>
      </w:r>
      <w:r>
        <w:t>后，格式为</w:t>
      </w:r>
      <w:r>
        <w:t>ARGBHalf</w:t>
      </w:r>
      <w:r>
        <w:t>，每个通道存储</w:t>
      </w:r>
      <w:r>
        <w:t>16</w:t>
      </w:r>
      <w:r>
        <w:t>位浮点值，总共</w:t>
      </w:r>
      <w:r>
        <w:t>64</w:t>
      </w:r>
      <w:r>
        <w:t>位</w:t>
      </w:r>
      <w:r>
        <w:rPr>
          <w:rFonts w:hint="eastAsia"/>
        </w:rPr>
        <w:t>，因为之后如果要支持一些高级光照特性比如</w:t>
      </w:r>
      <w:r>
        <w:rPr>
          <w:rFonts w:hint="eastAsia"/>
        </w:rPr>
        <w:t xml:space="preserve">Bloom </w:t>
      </w:r>
      <w:r>
        <w:rPr>
          <w:rFonts w:hint="eastAsia"/>
        </w:rPr>
        <w:t>，会需要更高的精度</w:t>
      </w:r>
      <w:r>
        <w:t>。因此</w:t>
      </w:r>
      <w:r>
        <w:t xml:space="preserve"> HDR</w:t>
      </w:r>
      <w:r>
        <w:t>版本的缓冲区是其他缓冲区的两倍。仅使用</w:t>
      </w:r>
      <w:r>
        <w:t>RGB</w:t>
      </w:r>
      <w:r>
        <w:t>通道，因此可以将</w:t>
      </w:r>
      <w:r>
        <w:t>A</w:t>
      </w:r>
      <w:r>
        <w:t>通道再次设置为</w:t>
      </w:r>
      <w:r>
        <w:t>1</w:t>
      </w:r>
      <w:r>
        <w:t>。</w:t>
      </w:r>
    </w:p>
    <w:p w14:paraId="5C619E85" w14:textId="77777777" w:rsidR="00417D94" w:rsidRDefault="00000000">
      <w:pPr>
        <w:ind w:firstLine="360"/>
      </w:pPr>
      <w:r>
        <w:rPr>
          <w:rFonts w:hint="eastAsia"/>
        </w:rPr>
        <w:t>如果我们不使用</w:t>
      </w:r>
      <w:r>
        <w:rPr>
          <w:rFonts w:hint="eastAsia"/>
        </w:rPr>
        <w:t xml:space="preserve"> A </w:t>
      </w:r>
      <w:r>
        <w:rPr>
          <w:rFonts w:hint="eastAsia"/>
        </w:rPr>
        <w:t>通道，则意味着每像素</w:t>
      </w:r>
      <w:r>
        <w:rPr>
          <w:rFonts w:hint="eastAsia"/>
        </w:rPr>
        <w:t xml:space="preserve"> 16 </w:t>
      </w:r>
      <w:r>
        <w:rPr>
          <w:rFonts w:hint="eastAsia"/>
        </w:rPr>
        <w:t>位未被使用。而每像素其实只需要</w:t>
      </w:r>
      <w:r>
        <w:rPr>
          <w:rFonts w:hint="eastAsia"/>
        </w:rPr>
        <w:t xml:space="preserve"> 48 </w:t>
      </w:r>
      <w:r>
        <w:rPr>
          <w:rFonts w:hint="eastAsia"/>
        </w:rPr>
        <w:t>位，而不是</w:t>
      </w:r>
      <w:r>
        <w:rPr>
          <w:rFonts w:hint="eastAsia"/>
        </w:rPr>
        <w:t xml:space="preserve"> 64 </w:t>
      </w:r>
      <w:r>
        <w:rPr>
          <w:rFonts w:hint="eastAsia"/>
        </w:rPr>
        <w:t>位。</w:t>
      </w:r>
      <w:r>
        <w:rPr>
          <w:rFonts w:hint="eastAsia"/>
        </w:rPr>
        <w:t xml:space="preserve"> </w:t>
      </w:r>
    </w:p>
    <w:p w14:paraId="280B29BD" w14:textId="77777777" w:rsidR="00417D94" w:rsidRDefault="00000000">
      <w:pPr>
        <w:ind w:firstLine="360"/>
      </w:pPr>
      <w:r>
        <w:rPr>
          <w:rFonts w:hint="eastAsia"/>
        </w:rPr>
        <w:t>我们使用</w:t>
      </w:r>
      <w:r>
        <w:rPr>
          <w:rFonts w:hint="eastAsia"/>
        </w:rPr>
        <w:t xml:space="preserve"> ARGBHalf </w:t>
      </w:r>
      <w:r>
        <w:rPr>
          <w:rFonts w:hint="eastAsia"/>
        </w:rPr>
        <w:t>的原因是大多数</w:t>
      </w:r>
      <w:r>
        <w:rPr>
          <w:rFonts w:hint="eastAsia"/>
        </w:rPr>
        <w:t xml:space="preserve"> GPU </w:t>
      </w:r>
      <w:r>
        <w:rPr>
          <w:rFonts w:hint="eastAsia"/>
        </w:rPr>
        <w:t>都使用四个字节的块。大多数纹理是每像素</w:t>
      </w:r>
      <w:r>
        <w:rPr>
          <w:rFonts w:hint="eastAsia"/>
        </w:rPr>
        <w:t xml:space="preserve"> 32 </w:t>
      </w:r>
      <w:r>
        <w:rPr>
          <w:rFonts w:hint="eastAsia"/>
        </w:rPr>
        <w:t>位，对应于一个块。</w:t>
      </w:r>
      <w:r>
        <w:rPr>
          <w:rFonts w:hint="eastAsia"/>
        </w:rPr>
        <w:t xml:space="preserve">64 </w:t>
      </w:r>
      <w:r>
        <w:rPr>
          <w:rFonts w:hint="eastAsia"/>
        </w:rPr>
        <w:t>位需要两个块，所以这也可以。但</w:t>
      </w:r>
      <w:r>
        <w:rPr>
          <w:rFonts w:hint="eastAsia"/>
        </w:rPr>
        <w:t xml:space="preserve"> 48 </w:t>
      </w:r>
      <w:r>
        <w:rPr>
          <w:rFonts w:hint="eastAsia"/>
        </w:rPr>
        <w:t>位对应</w:t>
      </w:r>
      <w:r>
        <w:rPr>
          <w:rFonts w:hint="eastAsia"/>
        </w:rPr>
        <w:t xml:space="preserve"> 1.5 </w:t>
      </w:r>
      <w:r>
        <w:rPr>
          <w:rFonts w:hint="eastAsia"/>
        </w:rPr>
        <w:t>个块。这会导致错位，通过对</w:t>
      </w:r>
      <w:r>
        <w:rPr>
          <w:rFonts w:hint="eastAsia"/>
        </w:rPr>
        <w:t xml:space="preserve"> 48 </w:t>
      </w:r>
      <w:r>
        <w:rPr>
          <w:rFonts w:hint="eastAsia"/>
        </w:rPr>
        <w:t>位使用两个块可以防止错位。这会导致每个像素有</w:t>
      </w:r>
      <w:r>
        <w:rPr>
          <w:rFonts w:hint="eastAsia"/>
        </w:rPr>
        <w:t xml:space="preserve"> 16 </w:t>
      </w:r>
      <w:r>
        <w:rPr>
          <w:rFonts w:hint="eastAsia"/>
        </w:rPr>
        <w:t>位填充，与</w:t>
      </w:r>
      <w:r>
        <w:rPr>
          <w:rFonts w:hint="eastAsia"/>
        </w:rPr>
        <w:t xml:space="preserve"> ARGBHalf </w:t>
      </w:r>
      <w:r>
        <w:rPr>
          <w:rFonts w:hint="eastAsia"/>
        </w:rPr>
        <w:t>相同。</w:t>
      </w:r>
      <w:r>
        <w:rPr>
          <w:rFonts w:hint="eastAsia"/>
        </w:rPr>
        <w:t xml:space="preserve"> </w:t>
      </w:r>
    </w:p>
    <w:p w14:paraId="4F4CEDD5" w14:textId="77777777" w:rsidR="00417D94" w:rsidRDefault="00000000">
      <w:pPr>
        <w:ind w:firstLine="360"/>
      </w:pPr>
      <w:r>
        <w:rPr>
          <w:rFonts w:hint="eastAsia"/>
        </w:rPr>
        <w:t>存储法线的几何缓冲区</w:t>
      </w:r>
      <w:r>
        <w:rPr>
          <w:rFonts w:hint="eastAsia"/>
        </w:rPr>
        <w:t>2</w:t>
      </w:r>
      <w:r>
        <w:rPr>
          <w:rFonts w:hint="eastAsia"/>
        </w:rPr>
        <w:t>使用</w:t>
      </w:r>
      <w:r>
        <w:rPr>
          <w:rFonts w:hint="eastAsia"/>
        </w:rPr>
        <w:t xml:space="preserve"> ARGB2101010 </w:t>
      </w:r>
      <w:r>
        <w:rPr>
          <w:rFonts w:hint="eastAsia"/>
        </w:rPr>
        <w:t>的原因相同。两个未使用的位是起到填充的作用。</w:t>
      </w:r>
      <w:r>
        <w:rPr>
          <w:rFonts w:hint="eastAsia"/>
        </w:rPr>
        <w:t xml:space="preserve">RGB24 </w:t>
      </w:r>
      <w:r>
        <w:rPr>
          <w:rFonts w:hint="eastAsia"/>
        </w:rPr>
        <w:t>纹理通常也以</w:t>
      </w:r>
      <w:r>
        <w:rPr>
          <w:rFonts w:hint="eastAsia"/>
        </w:rPr>
        <w:t xml:space="preserve"> ARGB32 </w:t>
      </w:r>
      <w:r>
        <w:rPr>
          <w:rFonts w:hint="eastAsia"/>
        </w:rPr>
        <w:t>形式存储在</w:t>
      </w:r>
      <w:r>
        <w:rPr>
          <w:rFonts w:hint="eastAsia"/>
        </w:rPr>
        <w:t xml:space="preserve"> GPU </w:t>
      </w:r>
      <w:r>
        <w:rPr>
          <w:rFonts w:hint="eastAsia"/>
        </w:rPr>
        <w:t>内存中。</w:t>
      </w:r>
    </w:p>
    <w:p w14:paraId="554CEABB" w14:textId="77777777" w:rsidR="00417D94" w:rsidRDefault="00000000">
      <w:pPr>
        <w:pStyle w:val="3"/>
        <w:rPr>
          <w:shd w:val="clear" w:color="auto" w:fill="FAFAFA"/>
        </w:rPr>
      </w:pPr>
      <w:bookmarkStart w:id="41" w:name="_Toc13741"/>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bookmarkEnd w:id="41"/>
    </w:p>
    <w:p w14:paraId="02D5E66C" w14:textId="77777777" w:rsidR="00417D94" w:rsidRDefault="00417D94"/>
    <w:p w14:paraId="62F57295" w14:textId="77777777" w:rsidR="00417D94" w:rsidRDefault="00417D94"/>
    <w:p w14:paraId="7D39A48E" w14:textId="77777777" w:rsidR="00417D94" w:rsidRDefault="00417D94"/>
    <w:p w14:paraId="276AD80B" w14:textId="77777777" w:rsidR="00417D94" w:rsidRDefault="00417D94"/>
    <w:p w14:paraId="48EEEC98" w14:textId="77777777" w:rsidR="00417D94" w:rsidRDefault="00417D94">
      <w:pPr>
        <w:tabs>
          <w:tab w:val="left" w:pos="30"/>
        </w:tabs>
        <w:rPr>
          <w:rFonts w:ascii="Arial" w:hAnsi="Arial" w:cs="Arial"/>
          <w:color w:val="222222"/>
          <w:shd w:val="clear" w:color="auto" w:fill="FAFAFA"/>
        </w:rPr>
      </w:pPr>
    </w:p>
    <w:p w14:paraId="10F771D1" w14:textId="77777777" w:rsidR="00417D94" w:rsidRDefault="00417D94">
      <w:pPr>
        <w:tabs>
          <w:tab w:val="left" w:pos="30"/>
        </w:tabs>
      </w:pPr>
    </w:p>
    <w:p w14:paraId="7FD6164B" w14:textId="77777777" w:rsidR="00417D94" w:rsidRDefault="00000000">
      <w:pPr>
        <w:pStyle w:val="2"/>
      </w:pPr>
      <w:bookmarkStart w:id="42" w:name="_Toc23155"/>
      <w:r>
        <w:rPr>
          <w:rFonts w:hint="eastAsia"/>
        </w:rPr>
        <w:t>4.</w:t>
      </w:r>
      <w:r>
        <w:t xml:space="preserve">2 </w:t>
      </w:r>
      <w:r>
        <w:rPr>
          <w:rFonts w:hint="eastAsia"/>
        </w:rPr>
        <w:t>几何缓冲区的映射</w:t>
      </w:r>
      <w:bookmarkEnd w:id="42"/>
    </w:p>
    <w:p w14:paraId="5322445D" w14:textId="77777777" w:rsidR="00417D94" w:rsidRDefault="00417D94"/>
    <w:p w14:paraId="64A58D35" w14:textId="77777777" w:rsidR="00417D94" w:rsidRDefault="00417D94"/>
    <w:p w14:paraId="3E2719E6" w14:textId="77777777" w:rsidR="00417D94" w:rsidRDefault="00417D94"/>
    <w:p w14:paraId="7D1958C1" w14:textId="77777777" w:rsidR="00417D94" w:rsidRDefault="00417D94"/>
    <w:p w14:paraId="506ED9E6" w14:textId="77777777" w:rsidR="00417D94" w:rsidRDefault="00417D94"/>
    <w:p w14:paraId="47AA3B13" w14:textId="77777777" w:rsidR="00417D94" w:rsidRDefault="00417D94"/>
    <w:p w14:paraId="68A91EAB" w14:textId="77777777" w:rsidR="00417D94" w:rsidRDefault="00417D94"/>
    <w:p w14:paraId="3B0A6D00" w14:textId="77777777" w:rsidR="00417D94" w:rsidRDefault="00000000">
      <w:pPr>
        <w:pStyle w:val="2"/>
      </w:pPr>
      <w:bookmarkStart w:id="43" w:name="_Toc23997"/>
      <w:r>
        <w:rPr>
          <w:rFonts w:hint="eastAsia"/>
        </w:rPr>
        <w:t>4.</w:t>
      </w:r>
      <w:r>
        <w:t xml:space="preserve">3 </w:t>
      </w:r>
      <w:r>
        <w:rPr>
          <w:rFonts w:hint="eastAsia"/>
        </w:rPr>
        <w:t>反走样的实现</w:t>
      </w:r>
      <w:bookmarkEnd w:id="43"/>
    </w:p>
    <w:p w14:paraId="1A045B8A" w14:textId="77777777" w:rsidR="00417D94" w:rsidRDefault="00417D94"/>
    <w:p w14:paraId="34387C00" w14:textId="77777777" w:rsidR="00417D94" w:rsidRDefault="00417D94"/>
    <w:p w14:paraId="75F9CEAF" w14:textId="77777777" w:rsidR="00417D94" w:rsidRDefault="00000000">
      <w:pPr>
        <w:pStyle w:val="3"/>
      </w:pPr>
      <w:bookmarkStart w:id="44" w:name="_Toc26427"/>
      <w:r>
        <w:rPr>
          <w:rFonts w:hint="eastAsia"/>
        </w:rPr>
        <w:t>4.</w:t>
      </w:r>
      <w:r>
        <w:t>3</w:t>
      </w:r>
      <w:r>
        <w:rPr>
          <w:rFonts w:hint="eastAsia"/>
        </w:rPr>
        <w:t>.</w:t>
      </w:r>
      <w:r>
        <w:t xml:space="preserve">1 </w:t>
      </w:r>
      <w:r>
        <w:rPr>
          <w:rFonts w:hint="eastAsia"/>
        </w:rPr>
        <w:t>抖动当前帧</w:t>
      </w:r>
      <w:bookmarkEnd w:id="44"/>
    </w:p>
    <w:p w14:paraId="0B7B02BE" w14:textId="77777777" w:rsidR="00417D94" w:rsidRDefault="00000000">
      <w:pPr>
        <w:ind w:firstLine="360"/>
      </w:pPr>
      <w:r>
        <w:rPr>
          <w:rFonts w:hint="eastAsia"/>
        </w:rPr>
        <w:t>帧间反走样的第一步是渲染带有抖动的场景。此步骤中渲染场景的方式与正常渲染场景的方式几乎相同。唯一的区别是场景在垂直和水平方向上略有移动，移动长度在一个像素长度之内，也就是所谓的抖动（</w:t>
      </w:r>
      <w:r>
        <w:rPr>
          <w:rFonts w:hint="eastAsia"/>
        </w:rPr>
        <w:t>Jitter</w:t>
      </w:r>
      <w:r>
        <w:rPr>
          <w:rFonts w:hint="eastAsia"/>
        </w:rPr>
        <w:t>）。</w:t>
      </w:r>
    </w:p>
    <w:p w14:paraId="0924ED8C" w14:textId="77777777" w:rsidR="00417D94" w:rsidRDefault="00000000">
      <w:pPr>
        <w:ind w:firstLine="360"/>
      </w:pPr>
      <w:r>
        <w:rPr>
          <w:rFonts w:hint="eastAsia"/>
        </w:rPr>
        <w:t>为此，顶点着色器稍作修改。在顶点着色器中，计算裁剪空间位置后，将抖动偏移添加到裁剪空间位置。</w:t>
      </w:r>
    </w:p>
    <w:p w14:paraId="68B9C203" w14:textId="77777777" w:rsidR="00417D94" w:rsidRDefault="00000000">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worldPos  = modelMatrix * float4(in.position, 1.0);</w:t>
      </w:r>
    </w:p>
    <w:p w14:paraId="3954E919" w14:textId="77777777" w:rsidR="00417D94" w:rsidRDefault="00000000">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clipPos = viewportParams.viewProjectionMatrix * worldPos;</w:t>
      </w:r>
    </w:p>
    <w:p w14:paraId="097F2F2A" w14:textId="77777777" w:rsidR="00417D94" w:rsidRDefault="00000000">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 xml:space="preserve">clipPos += viewportParams.jitter*clipPos.w; </w:t>
      </w:r>
      <w:r>
        <w:rPr>
          <w:rFonts w:ascii="Consolas" w:hAnsi="Consolas" w:cs="宋体"/>
          <w:color w:val="008200"/>
          <w:kern w:val="0"/>
          <w:sz w:val="18"/>
          <w:szCs w:val="18"/>
        </w:rPr>
        <w:t>// Apply Jittering</w:t>
      </w:r>
    </w:p>
    <w:p w14:paraId="6F4111E1" w14:textId="77777777" w:rsidR="00417D94" w:rsidRDefault="00000000">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lastRenderedPageBreak/>
        <w:t>out.position = clipPos;</w:t>
      </w:r>
    </w:p>
    <w:p w14:paraId="2E57EAB6" w14:textId="77777777" w:rsidR="00417D94" w:rsidRDefault="00000000">
      <w:pPr>
        <w:ind w:firstLine="360"/>
        <w:jc w:val="left"/>
      </w:pPr>
      <w:r>
        <w:rPr>
          <w:rFonts w:hint="eastAsia"/>
        </w:rPr>
        <w:t>每个帧使用与其前一帧不同的抖动偏移。并且，在一帧内，整个场景都使用相同的抖动偏移进行渲染。</w:t>
      </w:r>
    </w:p>
    <w:p w14:paraId="7DD41943" w14:textId="77777777" w:rsidR="00417D94" w:rsidRDefault="00000000">
      <w:r>
        <w:tab/>
      </w:r>
      <w:r>
        <w:rPr>
          <w:rFonts w:hint="eastAsia"/>
        </w:rPr>
        <w:t>至于我们的抖动偏移量，有许多种选择。目前流行的方案是（</w:t>
      </w:r>
      <w:r>
        <w:rPr>
          <w:rFonts w:hint="eastAsia"/>
        </w:rPr>
        <w:t>x</w:t>
      </w:r>
      <w:r>
        <w:rPr>
          <w:rFonts w:hint="eastAsia"/>
        </w:rPr>
        <w:t>，</w:t>
      </w:r>
      <w:r>
        <w:rPr>
          <w:rFonts w:hint="eastAsia"/>
        </w:rPr>
        <w:t>y</w:t>
      </w:r>
      <w:r>
        <w:rPr>
          <w:rFonts w:hint="eastAsia"/>
        </w:rPr>
        <w:t>）的</w:t>
      </w:r>
      <w:r>
        <w:rPr>
          <w:rFonts w:hint="eastAsia"/>
        </w:rPr>
        <w:t>halton</w:t>
      </w:r>
      <w:r>
        <w:rPr>
          <w:rFonts w:hint="eastAsia"/>
        </w:rPr>
        <w:t>序列（</w:t>
      </w:r>
      <w:r>
        <w:rPr>
          <w:rFonts w:hint="eastAsia"/>
        </w:rPr>
        <w:t>2</w:t>
      </w:r>
      <w:r>
        <w:rPr>
          <w:rFonts w:hint="eastAsia"/>
        </w:rPr>
        <w:t>，</w:t>
      </w:r>
      <w:r>
        <w:rPr>
          <w:rFonts w:hint="eastAsia"/>
        </w:rPr>
        <w:t>3</w:t>
      </w:r>
      <w:r>
        <w:rPr>
          <w:rFonts w:hint="eastAsia"/>
        </w:rPr>
        <w:t>）。其被认为是一种低差异化序列。</w:t>
      </w:r>
    </w:p>
    <w:p w14:paraId="4CDA14AD"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private</w:t>
      </w:r>
      <w:r>
        <w:rPr>
          <w:rFonts w:ascii="Consolas" w:hAnsi="Consolas" w:cs="宋体"/>
          <w:color w:val="000000"/>
          <w:kern w:val="0"/>
          <w:sz w:val="18"/>
          <w:szCs w:val="18"/>
        </w:rPr>
        <w:t xml:space="preserve"> </w:t>
      </w:r>
      <w:r>
        <w:rPr>
          <w:rFonts w:ascii="Consolas" w:hAnsi="Consolas" w:cs="宋体"/>
          <w:b/>
          <w:bCs/>
          <w:color w:val="006699"/>
          <w:kern w:val="0"/>
          <w:sz w:val="18"/>
          <w:szCs w:val="18"/>
        </w:rPr>
        <w:t>static</w:t>
      </w:r>
      <w:r>
        <w:rPr>
          <w:rFonts w:ascii="Consolas" w:hAnsi="Consolas" w:cs="宋体"/>
          <w:color w:val="000000"/>
          <w:kern w:val="0"/>
          <w:sz w:val="18"/>
          <w:szCs w:val="18"/>
        </w:rPr>
        <w:t xml:space="preserve"> </w:t>
      </w:r>
      <w:r>
        <w:rPr>
          <w:rFonts w:ascii="Consolas" w:hAnsi="Consolas" w:cs="宋体"/>
          <w:b/>
          <w:bCs/>
          <w:color w:val="000000"/>
          <w:kern w:val="0"/>
          <w:sz w:val="18"/>
          <w:szCs w:val="18"/>
        </w:rPr>
        <w:t>float</w:t>
      </w:r>
      <w:r>
        <w:rPr>
          <w:rFonts w:ascii="Consolas" w:hAnsi="Consolas" w:cs="宋体"/>
          <w:color w:val="000000"/>
          <w:kern w:val="0"/>
          <w:sz w:val="18"/>
          <w:szCs w:val="18"/>
        </w:rPr>
        <w:t xml:space="preserve"> HaltonSeq(</w:t>
      </w:r>
      <w:r>
        <w:rPr>
          <w:rFonts w:ascii="Consolas" w:hAnsi="Consolas" w:cs="宋体"/>
          <w:b/>
          <w:bCs/>
          <w:color w:val="000000"/>
          <w:kern w:val="0"/>
          <w:sz w:val="18"/>
          <w:szCs w:val="18"/>
        </w:rPr>
        <w:t>int</w:t>
      </w:r>
      <w:r>
        <w:rPr>
          <w:rFonts w:ascii="Consolas" w:hAnsi="Consolas" w:cs="宋体"/>
          <w:color w:val="000000"/>
          <w:kern w:val="0"/>
          <w:sz w:val="18"/>
          <w:szCs w:val="18"/>
        </w:rPr>
        <w:t xml:space="preserve"> prime, </w:t>
      </w:r>
      <w:r>
        <w:rPr>
          <w:rFonts w:ascii="Consolas" w:hAnsi="Consolas" w:cs="宋体"/>
          <w:b/>
          <w:bCs/>
          <w:color w:val="000000"/>
          <w:kern w:val="0"/>
          <w:sz w:val="18"/>
          <w:szCs w:val="18"/>
        </w:rPr>
        <w:t>int</w:t>
      </w:r>
      <w:r>
        <w:rPr>
          <w:rFonts w:ascii="Consolas" w:hAnsi="Consolas" w:cs="宋体"/>
          <w:color w:val="000000"/>
          <w:kern w:val="0"/>
          <w:sz w:val="18"/>
          <w:szCs w:val="18"/>
        </w:rPr>
        <w:t xml:space="preserve"> index = 1</w:t>
      </w:r>
      <w:r>
        <w:rPr>
          <w:rFonts w:ascii="Consolas" w:hAnsi="Consolas" w:cs="宋体"/>
          <w:color w:val="008200"/>
          <w:kern w:val="0"/>
          <w:sz w:val="18"/>
          <w:szCs w:val="18"/>
        </w:rPr>
        <w:t>/* NOT! zero-based */</w:t>
      </w:r>
      <w:r>
        <w:rPr>
          <w:rFonts w:ascii="Consolas" w:hAnsi="Consolas" w:cs="宋体"/>
          <w:color w:val="000000"/>
          <w:kern w:val="0"/>
          <w:sz w:val="18"/>
          <w:szCs w:val="18"/>
        </w:rPr>
        <w:t>)</w:t>
      </w:r>
    </w:p>
    <w:p w14:paraId="65581C11"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39B59C"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r = 0.0f;</w:t>
      </w:r>
    </w:p>
    <w:p w14:paraId="40F8D7B2"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f = 1.0f;</w:t>
      </w:r>
    </w:p>
    <w:p w14:paraId="2577A015"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int</w:t>
      </w:r>
      <w:r>
        <w:rPr>
          <w:rFonts w:ascii="Consolas" w:hAnsi="Consolas" w:cs="宋体"/>
          <w:color w:val="000000"/>
          <w:kern w:val="0"/>
          <w:sz w:val="18"/>
          <w:szCs w:val="18"/>
        </w:rPr>
        <w:t xml:space="preserve"> i = index;</w:t>
      </w:r>
    </w:p>
    <w:p w14:paraId="79451460"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xml:space="preserve"> (i &gt; 0)</w:t>
      </w:r>
    </w:p>
    <w:p w14:paraId="6A2BA367"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728A26D"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 /= prime;</w:t>
      </w:r>
    </w:p>
    <w:p w14:paraId="5CEBFAAD"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 += f * (i % prime);</w:t>
      </w:r>
    </w:p>
    <w:p w14:paraId="63FC98D6"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 = (</w:t>
      </w:r>
      <w:r>
        <w:rPr>
          <w:rFonts w:ascii="Consolas" w:hAnsi="Consolas" w:cs="宋体"/>
          <w:b/>
          <w:bCs/>
          <w:color w:val="000000"/>
          <w:kern w:val="0"/>
          <w:sz w:val="18"/>
          <w:szCs w:val="18"/>
        </w:rPr>
        <w:t>int</w:t>
      </w:r>
      <w:r>
        <w:rPr>
          <w:rFonts w:ascii="Consolas" w:hAnsi="Consolas" w:cs="宋体"/>
          <w:color w:val="000000"/>
          <w:kern w:val="0"/>
          <w:sz w:val="18"/>
          <w:szCs w:val="18"/>
        </w:rPr>
        <w:t>)Mathf.Floor(i / (</w:t>
      </w:r>
      <w:r>
        <w:rPr>
          <w:rFonts w:ascii="Consolas" w:hAnsi="Consolas" w:cs="宋体"/>
          <w:b/>
          <w:bCs/>
          <w:color w:val="000000"/>
          <w:kern w:val="0"/>
          <w:sz w:val="18"/>
          <w:szCs w:val="18"/>
        </w:rPr>
        <w:t>float</w:t>
      </w:r>
      <w:r>
        <w:rPr>
          <w:rFonts w:ascii="Consolas" w:hAnsi="Consolas" w:cs="宋体"/>
          <w:color w:val="000000"/>
          <w:kern w:val="0"/>
          <w:sz w:val="18"/>
          <w:szCs w:val="18"/>
        </w:rPr>
        <w:t>)prime);</w:t>
      </w:r>
    </w:p>
    <w:p w14:paraId="6C802959"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0BBF32D9" w14:textId="77777777" w:rsidR="00417D94" w:rsidRDefault="00000000">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r;</w:t>
      </w:r>
    </w:p>
    <w:p w14:paraId="410E5785" w14:textId="77777777" w:rsidR="00417D94" w:rsidRDefault="00000000">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E4054FE" w14:textId="77777777" w:rsidR="00417D94" w:rsidRDefault="00000000">
      <w:r>
        <w:rPr>
          <w:rFonts w:hint="eastAsia"/>
        </w:rPr>
        <w:t>我们用</w:t>
      </w:r>
      <w:r>
        <w:rPr>
          <w:rFonts w:hint="eastAsia"/>
        </w:rPr>
        <w:t>halton</w:t>
      </w:r>
      <w:r>
        <w:rPr>
          <w:rFonts w:hint="eastAsia"/>
        </w:rPr>
        <w:t>序列生成每帧的抖动。</w:t>
      </w:r>
      <w:r>
        <w:t>Halton</w:t>
      </w:r>
      <w:r>
        <w:t>序列的数字范围在</w:t>
      </w:r>
      <w:r>
        <w:t>0</w:t>
      </w:r>
      <w:r>
        <w:t>到</w:t>
      </w:r>
      <w:r>
        <w:t>1</w:t>
      </w:r>
      <w:r>
        <w:t>之间。为了使用这些数字作为抖动的偏移量，我们需要调整范围，使位置在正向和负向都抖动，并且抖动不超过大小像素。我们可以使用以下代码来更改范围。</w:t>
      </w:r>
    </w:p>
    <w:p w14:paraId="65097FA5"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xml:space="preserve"> (</w:t>
      </w:r>
      <w:r>
        <w:rPr>
          <w:rFonts w:ascii="Consolas" w:hAnsi="Consolas" w:cs="宋体"/>
          <w:b/>
          <w:bCs/>
          <w:color w:val="000000"/>
          <w:kern w:val="0"/>
          <w:sz w:val="18"/>
          <w:szCs w:val="18"/>
        </w:rPr>
        <w:t>int</w:t>
      </w:r>
      <w:r>
        <w:rPr>
          <w:rFonts w:ascii="Consolas" w:hAnsi="Consolas" w:cs="宋体"/>
          <w:color w:val="000000"/>
          <w:kern w:val="0"/>
          <w:sz w:val="18"/>
          <w:szCs w:val="18"/>
        </w:rPr>
        <w:t xml:space="preserve"> i = 0, n = seq.Length / 2; i != n; i++)</w:t>
      </w:r>
    </w:p>
    <w:p w14:paraId="3872C1F2"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587350F"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u = HaltonSeq(2, i + 1) - 0.5f;</w:t>
      </w:r>
    </w:p>
    <w:p w14:paraId="4F0B599D"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v = HaltonSeq(3, i + 1) - 0.5f;</w:t>
      </w:r>
    </w:p>
    <w:p w14:paraId="0179BBB9"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+ 0] = u;</w:t>
      </w:r>
    </w:p>
    <w:p w14:paraId="362359F6" w14:textId="77777777" w:rsidR="00417D94" w:rsidRDefault="00000000">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+ 1] = v;</w:t>
      </w:r>
    </w:p>
    <w:p w14:paraId="053EFD3A" w14:textId="77777777" w:rsidR="00417D94" w:rsidRDefault="00000000">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C854441" w14:textId="77777777" w:rsidR="00417D94" w:rsidRDefault="00000000">
      <w:r>
        <w:rPr>
          <w:rFonts w:hint="eastAsia"/>
        </w:rPr>
        <w:t>【此处应有图，采样图】</w:t>
      </w:r>
    </w:p>
    <w:p w14:paraId="7F985590" w14:textId="77777777" w:rsidR="00417D94" w:rsidRDefault="00417D94"/>
    <w:p w14:paraId="1217815B" w14:textId="77777777" w:rsidR="00417D94" w:rsidRDefault="00000000">
      <w:pPr>
        <w:pStyle w:val="3"/>
      </w:pPr>
      <w:bookmarkStart w:id="45" w:name="_Toc6174"/>
      <w:r>
        <w:rPr>
          <w:rFonts w:hint="eastAsia"/>
        </w:rPr>
        <w:t>4</w:t>
      </w:r>
      <w:r>
        <w:t xml:space="preserve">.3.2 </w:t>
      </w:r>
      <w:r>
        <w:rPr>
          <w:rFonts w:hint="eastAsia"/>
        </w:rPr>
        <w:t>解析历史帧</w:t>
      </w:r>
      <w:bookmarkEnd w:id="45"/>
    </w:p>
    <w:p w14:paraId="2ACA4645" w14:textId="77777777" w:rsidR="00417D94" w:rsidRDefault="00000000">
      <w:pPr>
        <w:ind w:firstLine="420"/>
      </w:pPr>
      <w:r>
        <w:rPr>
          <w:rFonts w:hint="eastAsia"/>
        </w:rPr>
        <w:t>为了在动态场景上使用</w:t>
      </w:r>
      <w:r>
        <w:rPr>
          <w:rFonts w:hint="eastAsia"/>
        </w:rPr>
        <w:t xml:space="preserve"> TAA</w:t>
      </w:r>
      <w:r>
        <w:rPr>
          <w:rFonts w:hint="eastAsia"/>
        </w:rPr>
        <w:t>，我们需要生成另一个存储每个像素的运动的缓</w:t>
      </w:r>
      <w:r>
        <w:rPr>
          <w:rFonts w:hint="eastAsia"/>
        </w:rPr>
        <w:lastRenderedPageBreak/>
        <w:t>冲区。其</w:t>
      </w:r>
      <w:r>
        <w:t>每个纹素存储的是每个像素的当前帧位置和前一帧位置之间的增量。</w:t>
      </w:r>
      <w:r>
        <w:rPr>
          <w:rFonts w:hint="eastAsia"/>
        </w:rPr>
        <w:t>该数据使我们能够计算前一帧中像素的位置。</w:t>
      </w:r>
    </w:p>
    <w:p w14:paraId="2CF6801D" w14:textId="77777777" w:rsidR="00417D94" w:rsidRDefault="00000000">
      <w:pPr>
        <w:ind w:firstLine="420"/>
      </w:pPr>
      <w:r>
        <w:t>为什么我们需要这些数据？这是因为场景每一帧都在移动。在解析颜色的步骤中，我们需要从历史纹理中获取前一帧中像素的颜色。为此，我们需要知道像素在前一帧中的位置。我们可以使用该速度数据来计算像素之前的位置。</w:t>
      </w:r>
    </w:p>
    <w:p w14:paraId="079D911C" w14:textId="77777777" w:rsidR="00417D94" w:rsidRDefault="00000000">
      <w:pPr>
        <w:ind w:firstLine="420"/>
      </w:pPr>
      <w:r>
        <w:rPr>
          <w:rFonts w:hint="eastAsia"/>
        </w:rPr>
        <w:t>为了</w:t>
      </w:r>
      <w:r>
        <w:t>计算</w:t>
      </w:r>
      <w:r>
        <w:rPr>
          <w:rFonts w:hint="eastAsia"/>
        </w:rPr>
        <w:t>像素间的运动，</w:t>
      </w:r>
      <w:r>
        <w:t>我们需要前一帧的</w:t>
      </w:r>
      <w:r>
        <w:rPr>
          <w:rFonts w:hint="eastAsia"/>
        </w:rPr>
        <w:t>观察矩阵和</w:t>
      </w:r>
      <w:r>
        <w:t>投影矩阵。最重要的是，我们还需要前一帧中每个模型的世界矩阵。</w:t>
      </w:r>
      <w:r>
        <w:rPr>
          <w:rFonts w:hint="eastAsia"/>
        </w:rPr>
        <w:t>我们暂且不考虑使用骨骼蒙皮的对象。</w:t>
      </w:r>
    </w:p>
    <w:p w14:paraId="42D497F8" w14:textId="77777777" w:rsidR="00417D94" w:rsidRDefault="00000000">
      <w:pPr>
        <w:ind w:firstLine="420"/>
      </w:pPr>
      <w:r>
        <w:t>利用前一帧的世界、</w:t>
      </w:r>
      <w:r>
        <w:rPr>
          <w:rFonts w:hint="eastAsia"/>
        </w:rPr>
        <w:t>观察</w:t>
      </w:r>
      <w:r>
        <w:t>、投影矩阵，我们可以在顶点着色器中计算</w:t>
      </w:r>
      <w:r>
        <w:rPr>
          <w:rFonts w:hint="eastAsia"/>
        </w:rPr>
        <w:t>当前帧像素和其在</w:t>
      </w:r>
      <w:r>
        <w:t>前一帧</w:t>
      </w:r>
      <w:r>
        <w:rPr>
          <w:rFonts w:hint="eastAsia"/>
        </w:rPr>
        <w:t>的像素</w:t>
      </w:r>
      <w:r>
        <w:t>在</w:t>
      </w:r>
      <w:r>
        <w:rPr>
          <w:rFonts w:hint="eastAsia"/>
        </w:rPr>
        <w:t>裁剪</w:t>
      </w:r>
      <w:r>
        <w:t>空间中的顶点位置，如下所示。这种计算称为</w:t>
      </w:r>
      <w:r>
        <w:t>“</w:t>
      </w:r>
      <w:r>
        <w:t>重投影</w:t>
      </w:r>
      <w:r>
        <w:t>”</w:t>
      </w:r>
      <w:r>
        <w:t>。</w:t>
      </w:r>
    </w:p>
    <w:p w14:paraId="70D6D2CB"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OUT.cs_pos = mul(mul(STEREO_INDEX(_CurrVP), _CurrM), ws_pos_curr);</w:t>
      </w:r>
    </w:p>
    <w:p w14:paraId="7C619D72" w14:textId="77777777" w:rsidR="00417D94" w:rsidRDefault="00000000">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 = ComputeScreenPos(OUT.cs_pos);</w:t>
      </w:r>
    </w:p>
    <w:p w14:paraId="47E2073D"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OUT.ss_pos.z = -mul(mul(STEREO_INDEX(_CurrV), _CurrM), ws_pos_curr).z - occlusion_bias;</w:t>
      </w:r>
      <w:r>
        <w:rPr>
          <w:rFonts w:ascii="Consolas" w:hAnsi="Consolas" w:cs="宋体"/>
          <w:color w:val="008200"/>
          <w:kern w:val="0"/>
          <w:sz w:val="18"/>
          <w:szCs w:val="18"/>
        </w:rPr>
        <w:t>// COMPUTE_EYEDEPTH</w:t>
      </w:r>
    </w:p>
    <w:p w14:paraId="453C8D7F" w14:textId="77777777" w:rsidR="00417D94" w:rsidRDefault="00000000">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OUT.cs_xy_curr = OUT.cs_pos.xyw;</w:t>
      </w:r>
    </w:p>
    <w:p w14:paraId="3F0D0EEA" w14:textId="77777777" w:rsidR="00417D94" w:rsidRDefault="00000000">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OUT.cs_xy_prev = mul(mul(STEREO_INDEX(_PrevVP), _PrevM), ws_pos_prev).xyw;</w:t>
      </w:r>
    </w:p>
    <w:p w14:paraId="7301EF50" w14:textId="77777777" w:rsidR="00417D94" w:rsidRDefault="00000000">
      <w:pPr>
        <w:ind w:firstLine="420"/>
      </w:pPr>
      <w:r>
        <w:t>现在，我们有顶点着色器为每个顶点生成当前帧位置和前一帧位置，我们可以使用像素着色器中的位置信息来生成每像素速度数据。</w:t>
      </w:r>
      <w:r>
        <w:rPr>
          <w:rFonts w:hint="eastAsia"/>
        </w:rPr>
        <w:t>我们可以</w:t>
      </w:r>
      <w:r>
        <w:t>对历史纹理坐标进行简单检查，看看它是否超出边界</w:t>
      </w:r>
      <w:r>
        <w:t>(0,1)</w:t>
      </w:r>
      <w:r>
        <w:t>。如果是，我们就在这里停止并返回过滤后的源样本。</w:t>
      </w:r>
    </w:p>
    <w:p w14:paraId="2C46B4C5"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frag(v2f IN) : SV_Target</w:t>
      </w:r>
    </w:p>
    <w:p w14:paraId="2F91A1D7"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FA7865"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ss_txc = IN.ss_pos.xy / IN.ss_pos.w;</w:t>
      </w:r>
    </w:p>
    <w:p w14:paraId="23E97284"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scene_d = depth_sample_linear(ss_txc);</w:t>
      </w:r>
    </w:p>
    <w:p w14:paraId="4DDAF1CB" w14:textId="77777777" w:rsidR="00417D94" w:rsidRDefault="00000000">
      <w:pPr>
        <w:widowControl/>
        <w:numPr>
          <w:ilvl w:val="0"/>
          <w:numId w:val="9"/>
        </w:numPr>
        <w:pBdr>
          <w:left w:val="single" w:sz="18" w:space="0" w:color="6CE26C"/>
        </w:pBdr>
        <w:shd w:val="clear" w:color="auto" w:fill="FFFFFF"/>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37AD4CB"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discard if occluded</w:t>
      </w:r>
    </w:p>
    <w:p w14:paraId="7A426262"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clip(scene_d - IN.ss_pos.z);</w:t>
      </w:r>
    </w:p>
    <w:p w14:paraId="5FC5465B" w14:textId="77777777" w:rsidR="00417D94" w:rsidRDefault="00000000">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E28FB88"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velocity in ndc</w:t>
      </w:r>
    </w:p>
    <w:p w14:paraId="75466E83" w14:textId="77777777" w:rsidR="00417D94" w:rsidRDefault="00000000">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ndc_curr = IN.cs_xy_curr.xy / IN.cs_xy_curr.z;</w:t>
      </w:r>
    </w:p>
    <w:p w14:paraId="2A0A9D30"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ndc_prev = IN.cs_xy_prev.xy / IN.cs_xy_prev.z;</w:t>
      </w:r>
    </w:p>
    <w:p w14:paraId="743D0F2E" w14:textId="77777777" w:rsidR="00417D94" w:rsidRDefault="00000000">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57C4242"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screen space velocity [0,1;0,1]</w:t>
      </w:r>
    </w:p>
    <w:p w14:paraId="6B06C334"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float4(0.5 * (ndc_curr - ndc_prev), 0.0, 0.0);</w:t>
      </w:r>
    </w:p>
    <w:p w14:paraId="7D7B8AF0" w14:textId="77777777" w:rsidR="00417D94" w:rsidRDefault="00000000">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78E0C82" w14:textId="77777777" w:rsidR="00417D94" w:rsidRDefault="00000000">
      <w:pPr>
        <w:ind w:left="360"/>
      </w:pPr>
      <w:r>
        <w:rPr>
          <w:rFonts w:hint="eastAsia"/>
        </w:rPr>
        <w:t>分别获得当前帧与对应历史帧的像素：</w:t>
      </w:r>
    </w:p>
    <w:p w14:paraId="6F827951" w14:textId="77777777" w:rsidR="00417D94" w:rsidRDefault="00000000">
      <w:pPr>
        <w:widowControl/>
        <w:numPr>
          <w:ilvl w:val="0"/>
          <w:numId w:val="10"/>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texel0 = sample_color(_MainTex, ss_txc);</w:t>
      </w:r>
    </w:p>
    <w:p w14:paraId="7B750B10" w14:textId="77777777" w:rsidR="00417D94" w:rsidRDefault="00000000">
      <w:pPr>
        <w:widowControl/>
        <w:numPr>
          <w:ilvl w:val="0"/>
          <w:numId w:val="10"/>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texel1 = sample_color(_PrevTex, ss_txc - ss_vel);</w:t>
      </w:r>
    </w:p>
    <w:p w14:paraId="543661B8" w14:textId="77777777" w:rsidR="00417D94" w:rsidRDefault="00417D94">
      <w:pPr>
        <w:ind w:left="360"/>
      </w:pPr>
    </w:p>
    <w:p w14:paraId="454FA1E4" w14:textId="77777777" w:rsidR="00417D94" w:rsidRDefault="00000000">
      <w:pPr>
        <w:pStyle w:val="3"/>
      </w:pPr>
      <w:bookmarkStart w:id="46" w:name="_Toc18185"/>
      <w:r>
        <w:rPr>
          <w:rFonts w:hint="eastAsia"/>
        </w:rPr>
        <w:t>4.</w:t>
      </w:r>
      <w:r>
        <w:t>3</w:t>
      </w:r>
      <w:r>
        <w:rPr>
          <w:rFonts w:hint="eastAsia"/>
        </w:rPr>
        <w:t>.</w:t>
      </w:r>
      <w:r>
        <w:t xml:space="preserve">3 </w:t>
      </w:r>
      <w:r>
        <w:rPr>
          <w:rFonts w:hint="eastAsia"/>
        </w:rPr>
        <w:t>修正历史帧</w:t>
      </w:r>
      <w:bookmarkEnd w:id="46"/>
    </w:p>
    <w:p w14:paraId="1B027DB3" w14:textId="77777777" w:rsidR="00417D94" w:rsidRDefault="00000000">
      <w:r>
        <w:tab/>
      </w:r>
      <w:r>
        <w:rPr>
          <w:rFonts w:hint="eastAsia"/>
        </w:rPr>
        <w:t>我们使用方差计算</w:t>
      </w:r>
      <w:r>
        <w:rPr>
          <w:rFonts w:hint="eastAsia"/>
        </w:rPr>
        <w:t>aabb</w:t>
      </w:r>
      <w:r>
        <w:rPr>
          <w:rFonts w:hint="eastAsia"/>
        </w:rPr>
        <w:t>盒的大小：</w:t>
      </w:r>
    </w:p>
    <w:p w14:paraId="499CF5A6"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oneDividedBySampleCount = 1.0 / 9.0;</w:t>
      </w:r>
    </w:p>
    <w:p w14:paraId="2588AEEF"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gamma = 1.0;</w:t>
      </w:r>
    </w:p>
    <w:p w14:paraId="07ABC132"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mu = m1 * oneDividedBySampleCount;</w:t>
      </w:r>
    </w:p>
    <w:p w14:paraId="631F61BF"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sigma = sqrt(abs((m2 * oneDividedBySampleCount) - (mu * mu)));</w:t>
      </w:r>
    </w:p>
    <w:p w14:paraId="45F5BA46"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minc = mu - gamma * sigma;</w:t>
      </w:r>
    </w:p>
    <w:p w14:paraId="7EF7D9C1"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maxc = mu + gamma * sigma;</w:t>
      </w:r>
    </w:p>
    <w:p w14:paraId="0569C883"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63E05C2" w14:textId="77777777" w:rsidR="00417D94" w:rsidRDefault="00000000">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historySample = clip_aabb(minc, maxc, clamp(historySample, neighborhoodMin, neighborhoodMax));</w:t>
      </w:r>
    </w:p>
    <w:p w14:paraId="546FB7D8" w14:textId="77777777" w:rsidR="00417D94" w:rsidRDefault="00000000">
      <w:pPr>
        <w:ind w:left="360"/>
      </w:pPr>
      <w:r>
        <w:rPr>
          <w:rFonts w:hint="eastAsia"/>
        </w:rPr>
        <w:t>对于历史帧的修正，我们使用</w:t>
      </w:r>
      <w:r>
        <w:rPr>
          <w:rFonts w:hint="eastAsia"/>
        </w:rPr>
        <w:t>inside</w:t>
      </w:r>
      <w:r>
        <w:rPr>
          <w:rFonts w:hint="eastAsia"/>
        </w:rPr>
        <w:t>团队在</w:t>
      </w:r>
      <w:r>
        <w:rPr>
          <w:rFonts w:hint="eastAsia"/>
        </w:rPr>
        <w:t>GDC</w:t>
      </w:r>
      <w:r>
        <w:t>2016</w:t>
      </w:r>
      <w:r>
        <w:rPr>
          <w:rFonts w:hint="eastAsia"/>
        </w:rPr>
        <w:t>中的方案：</w:t>
      </w:r>
    </w:p>
    <w:p w14:paraId="5CECC789"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clip_aabb(float3 aabb_min, float3 aabb_max, float4 p, float4 q)</w:t>
      </w:r>
    </w:p>
    <w:p w14:paraId="02AFCC75"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D435762"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float4 r = q - p;</w:t>
      </w:r>
    </w:p>
    <w:p w14:paraId="0B7C0AE5"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rmax = aabb_max - p.xyz;</w:t>
      </w:r>
    </w:p>
    <w:p w14:paraId="30BAB7D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rmin = aabb_min - p.xyz;</w:t>
      </w:r>
    </w:p>
    <w:p w14:paraId="062B022E"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3AFF6119"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const float eps = FLT_EPS;</w:t>
      </w:r>
    </w:p>
    <w:p w14:paraId="723CD35F"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285D4CE"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&gt; rmax.x + eps) r *= (rmax.x / r.x);</w:t>
      </w:r>
    </w:p>
    <w:p w14:paraId="0341AEE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&gt; rmax.y + eps) r *= (rmax.y / r.y);</w:t>
      </w:r>
    </w:p>
    <w:p w14:paraId="09DF2252"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&gt; rmax.z + eps) r *= (rmax.z / r.z);</w:t>
      </w:r>
    </w:p>
    <w:p w14:paraId="50344DD3"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&lt; rmin.x - eps) r *= (rmin.x / r.x);</w:t>
      </w:r>
    </w:p>
    <w:p w14:paraId="019A84AB"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&lt; rmin.y - eps) r *= (rmin.y / r.y);</w:t>
      </w:r>
    </w:p>
    <w:p w14:paraId="1FE04354"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&lt; rmin.z - eps) r *= (rmin.z / r.z);</w:t>
      </w:r>
    </w:p>
    <w:p w14:paraId="7983B1A0"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C4230BC"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return p + r;</w:t>
      </w:r>
    </w:p>
    <w:p w14:paraId="22548A38" w14:textId="77777777" w:rsidR="00417D94" w:rsidRDefault="00000000">
      <w:pPr>
        <w:widowControl/>
        <w:numPr>
          <w:ilvl w:val="0"/>
          <w:numId w:val="12"/>
        </w:numPr>
        <w:pBdr>
          <w:left w:val="single" w:sz="18" w:space="0" w:color="6CE26C"/>
        </w:pBdr>
        <w:shd w:val="clear" w:color="auto" w:fill="F8F8F8"/>
        <w:spacing w:before="0" w:beforeAutospacing="1" w:after="0" w:afterAutospacing="1" w:line="210" w:lineRule="atLeast"/>
      </w:pPr>
      <w:r>
        <w:rPr>
          <w:rFonts w:ascii="Consolas" w:hAnsi="Consolas" w:cs="宋体"/>
          <w:color w:val="000000"/>
          <w:kern w:val="0"/>
          <w:sz w:val="18"/>
          <w:szCs w:val="18"/>
        </w:rPr>
        <w:t>}</w:t>
      </w:r>
    </w:p>
    <w:p w14:paraId="20474BBB" w14:textId="77777777" w:rsidR="00417D94" w:rsidRDefault="00417D94"/>
    <w:p w14:paraId="6A31000D" w14:textId="77777777" w:rsidR="00417D94" w:rsidRDefault="00000000">
      <w:pPr>
        <w:pStyle w:val="2"/>
      </w:pPr>
      <w:bookmarkStart w:id="47" w:name="_Toc14460"/>
      <w:r>
        <w:rPr>
          <w:rFonts w:hint="eastAsia"/>
        </w:rPr>
        <w:t>4.</w:t>
      </w:r>
      <w:r>
        <w:t xml:space="preserve">4 </w:t>
      </w:r>
      <w:r>
        <w:rPr>
          <w:rFonts w:hint="eastAsia"/>
        </w:rPr>
        <w:t>采样密度的计算与可视化</w:t>
      </w:r>
      <w:bookmarkEnd w:id="47"/>
    </w:p>
    <w:p w14:paraId="74DBD89F" w14:textId="77777777" w:rsidR="00417D94" w:rsidRDefault="00417D94"/>
    <w:p w14:paraId="31124D2A" w14:textId="77777777" w:rsidR="00417D94" w:rsidRDefault="00417D94"/>
    <w:p w14:paraId="26271269" w14:textId="77777777" w:rsidR="00417D94" w:rsidRDefault="00417D94"/>
    <w:p w14:paraId="43FA0AEE" w14:textId="77777777" w:rsidR="00417D94" w:rsidRDefault="00000000">
      <w:pPr>
        <w:pStyle w:val="1"/>
      </w:pPr>
      <w:bookmarkStart w:id="48" w:name="_Toc24759"/>
      <w:r>
        <w:rPr>
          <w:rFonts w:hint="eastAsia"/>
        </w:rPr>
        <w:t xml:space="preserve">5 </w:t>
      </w:r>
      <w:r>
        <w:rPr>
          <w:rFonts w:hint="eastAsia"/>
        </w:rPr>
        <w:t>实验</w:t>
      </w:r>
      <w:bookmarkEnd w:id="48"/>
    </w:p>
    <w:p w14:paraId="6A821C8F" w14:textId="77777777" w:rsidR="00417D94" w:rsidRDefault="00000000">
      <w:pPr>
        <w:pStyle w:val="2"/>
      </w:pPr>
      <w:bookmarkStart w:id="49" w:name="_Toc19643"/>
      <w:r>
        <w:rPr>
          <w:rFonts w:hint="eastAsia"/>
        </w:rPr>
        <w:t>5.</w:t>
      </w:r>
      <w:r>
        <w:t xml:space="preserve">1 </w:t>
      </w:r>
      <w:r>
        <w:rPr>
          <w:rFonts w:hint="eastAsia"/>
        </w:rPr>
        <w:t>客观实验</w:t>
      </w:r>
      <w:bookmarkEnd w:id="49"/>
    </w:p>
    <w:p w14:paraId="1C8E7A76" w14:textId="77777777" w:rsidR="00417D94" w:rsidRDefault="00417D94"/>
    <w:p w14:paraId="20FCB28C" w14:textId="77777777" w:rsidR="00417D94" w:rsidRDefault="00000000">
      <w:pPr>
        <w:pStyle w:val="2"/>
      </w:pPr>
      <w:bookmarkStart w:id="50" w:name="_Toc2883"/>
      <w:r>
        <w:rPr>
          <w:rFonts w:hint="eastAsia"/>
        </w:rPr>
        <w:t>5.</w:t>
      </w:r>
      <w:r>
        <w:t xml:space="preserve">2 </w:t>
      </w:r>
      <w:r>
        <w:rPr>
          <w:rFonts w:hint="eastAsia"/>
        </w:rPr>
        <w:t>用户实验与分析</w:t>
      </w:r>
      <w:bookmarkEnd w:id="50"/>
    </w:p>
    <w:p w14:paraId="195A68BF" w14:textId="77777777" w:rsidR="00417D94" w:rsidRDefault="00000000">
      <w:pPr>
        <w:pStyle w:val="3"/>
      </w:pPr>
      <w:bookmarkStart w:id="51" w:name="_Toc30179"/>
      <w:r>
        <w:rPr>
          <w:rFonts w:hint="eastAsia"/>
        </w:rPr>
        <w:t>5.</w:t>
      </w:r>
      <w:r>
        <w:t>2</w:t>
      </w:r>
      <w:r>
        <w:rPr>
          <w:rFonts w:hint="eastAsia"/>
        </w:rPr>
        <w:t>.</w:t>
      </w:r>
      <w:r>
        <w:t xml:space="preserve">1 </w:t>
      </w:r>
      <w:r>
        <w:rPr>
          <w:rFonts w:hint="eastAsia"/>
        </w:rPr>
        <w:t>实验概述</w:t>
      </w:r>
      <w:bookmarkEnd w:id="51"/>
    </w:p>
    <w:p w14:paraId="3C713098" w14:textId="77777777" w:rsidR="00417D94" w:rsidRDefault="00000000">
      <w:pPr>
        <w:pStyle w:val="3"/>
      </w:pPr>
      <w:bookmarkStart w:id="52" w:name="_Toc31114"/>
      <w:r>
        <w:rPr>
          <w:rFonts w:hint="eastAsia"/>
        </w:rPr>
        <w:t>5.</w:t>
      </w:r>
      <w:r>
        <w:t>2</w:t>
      </w:r>
      <w:r>
        <w:rPr>
          <w:rFonts w:hint="eastAsia"/>
        </w:rPr>
        <w:t>.</w:t>
      </w:r>
      <w:r>
        <w:t xml:space="preserve">2 </w:t>
      </w:r>
      <w:r>
        <w:rPr>
          <w:rFonts w:hint="eastAsia"/>
        </w:rPr>
        <w:t>实验流程</w:t>
      </w:r>
      <w:bookmarkEnd w:id="52"/>
    </w:p>
    <w:p w14:paraId="5D61FC73" w14:textId="77777777" w:rsidR="00417D94" w:rsidRDefault="00000000">
      <w:pPr>
        <w:pStyle w:val="3"/>
      </w:pPr>
      <w:bookmarkStart w:id="53" w:name="_Toc16749"/>
      <w:r>
        <w:rPr>
          <w:rFonts w:hint="eastAsia"/>
        </w:rPr>
        <w:t>5.</w:t>
      </w:r>
      <w:r>
        <w:t>2</w:t>
      </w:r>
      <w:r>
        <w:rPr>
          <w:rFonts w:hint="eastAsia"/>
        </w:rPr>
        <w:t>.</w:t>
      </w:r>
      <w:r>
        <w:t xml:space="preserve">3 </w:t>
      </w:r>
      <w:r>
        <w:rPr>
          <w:rFonts w:hint="eastAsia"/>
        </w:rPr>
        <w:t>实验人员</w:t>
      </w:r>
      <w:bookmarkEnd w:id="53"/>
    </w:p>
    <w:p w14:paraId="131EC1B0" w14:textId="77777777" w:rsidR="00417D94" w:rsidRDefault="00417D94"/>
    <w:p w14:paraId="1DF944B9" w14:textId="77777777" w:rsidR="00417D94" w:rsidRDefault="00000000">
      <w:pPr>
        <w:pStyle w:val="3"/>
      </w:pPr>
      <w:bookmarkStart w:id="54" w:name="_Toc22770"/>
      <w:r>
        <w:rPr>
          <w:rFonts w:hint="eastAsia"/>
        </w:rPr>
        <w:lastRenderedPageBreak/>
        <w:t>5.</w:t>
      </w:r>
      <w:r>
        <w:t>2</w:t>
      </w:r>
      <w:r>
        <w:rPr>
          <w:rFonts w:hint="eastAsia"/>
        </w:rPr>
        <w:t>.</w:t>
      </w:r>
      <w:r>
        <w:t xml:space="preserve">1 </w:t>
      </w:r>
      <w:r>
        <w:rPr>
          <w:rFonts w:hint="eastAsia"/>
        </w:rPr>
        <w:t>愉悦度</w:t>
      </w:r>
      <w:bookmarkEnd w:id="54"/>
    </w:p>
    <w:p w14:paraId="7ECE2121" w14:textId="77777777" w:rsidR="00417D94" w:rsidRDefault="00000000">
      <w:pPr>
        <w:pStyle w:val="3"/>
      </w:pPr>
      <w:bookmarkStart w:id="55" w:name="_Toc19913"/>
      <w:r>
        <w:rPr>
          <w:rFonts w:hint="eastAsia"/>
        </w:rPr>
        <w:t>5.</w:t>
      </w:r>
      <w:r>
        <w:t>2</w:t>
      </w:r>
      <w:r>
        <w:rPr>
          <w:rFonts w:hint="eastAsia"/>
        </w:rPr>
        <w:t>.</w:t>
      </w:r>
      <w:r>
        <w:t xml:space="preserve">2 </w:t>
      </w:r>
      <w:r>
        <w:rPr>
          <w:rFonts w:hint="eastAsia"/>
        </w:rPr>
        <w:t>胜任感</w:t>
      </w:r>
      <w:bookmarkEnd w:id="55"/>
    </w:p>
    <w:p w14:paraId="44D9EA78" w14:textId="77777777" w:rsidR="00417D94" w:rsidRDefault="00000000">
      <w:pPr>
        <w:pStyle w:val="3"/>
      </w:pPr>
      <w:bookmarkStart w:id="56" w:name="_Toc25151"/>
      <w:r>
        <w:rPr>
          <w:rFonts w:hint="eastAsia"/>
        </w:rPr>
        <w:t>5.</w:t>
      </w:r>
      <w:r>
        <w:t>2</w:t>
      </w:r>
      <w:r>
        <w:rPr>
          <w:rFonts w:hint="eastAsia"/>
        </w:rPr>
        <w:t>.</w:t>
      </w:r>
      <w:r>
        <w:t xml:space="preserve">3 </w:t>
      </w:r>
      <w:r>
        <w:rPr>
          <w:rFonts w:hint="eastAsia"/>
        </w:rPr>
        <w:t>努力感、重要性</w:t>
      </w:r>
      <w:bookmarkEnd w:id="56"/>
    </w:p>
    <w:p w14:paraId="7704E49E" w14:textId="77777777" w:rsidR="00417D94" w:rsidRDefault="00000000">
      <w:pPr>
        <w:pStyle w:val="3"/>
      </w:pPr>
      <w:bookmarkStart w:id="57" w:name="_Toc7264"/>
      <w:r>
        <w:rPr>
          <w:rFonts w:hint="eastAsia"/>
        </w:rPr>
        <w:t>5.</w:t>
      </w:r>
      <w:r>
        <w:t>2</w:t>
      </w:r>
      <w:r>
        <w:rPr>
          <w:rFonts w:hint="eastAsia"/>
        </w:rPr>
        <w:t>.</w:t>
      </w:r>
      <w:r>
        <w:t>4</w:t>
      </w:r>
      <w:r>
        <w:rPr>
          <w:rFonts w:hint="eastAsia"/>
        </w:rPr>
        <w:t>压力、紧张</w:t>
      </w:r>
      <w:bookmarkEnd w:id="57"/>
    </w:p>
    <w:p w14:paraId="11C3783D" w14:textId="77777777" w:rsidR="00417D94" w:rsidRDefault="00417D94"/>
    <w:p w14:paraId="12E872F0" w14:textId="77777777" w:rsidR="00417D94" w:rsidRDefault="00417D94"/>
    <w:p w14:paraId="7A8E0C31" w14:textId="77777777" w:rsidR="00417D94" w:rsidRDefault="00417D94"/>
    <w:p w14:paraId="3676BE0B" w14:textId="77777777" w:rsidR="00417D94" w:rsidRDefault="00000000">
      <w:pPr>
        <w:pStyle w:val="1"/>
      </w:pPr>
      <w:bookmarkStart w:id="58" w:name="_Toc22049"/>
      <w:r>
        <w:rPr>
          <w:rFonts w:hint="eastAsia"/>
        </w:rPr>
        <w:t xml:space="preserve">6 </w:t>
      </w:r>
      <w:r>
        <w:rPr>
          <w:rFonts w:hint="eastAsia"/>
        </w:rPr>
        <w:t>结论</w:t>
      </w:r>
      <w:bookmarkEnd w:id="58"/>
    </w:p>
    <w:p w14:paraId="04658AC9" w14:textId="77777777" w:rsidR="00417D94" w:rsidRDefault="00000000">
      <w:pPr>
        <w:ind w:firstLine="420"/>
      </w:pPr>
      <w:r>
        <w:t>本研究成功提出并实现了一套基于像素分布匹配的注视点渲染研究框架。通过创新性地结合了视觉模型与映射技术，并设计了一套有效的帧间反走样算法来处理高光闪烁等问题，显著提升了渲染性能。实验结果验证了方法的有效性，并展现了该方法在节省计算资源和提升视觉体验方面的潜力。未来工作将聚焦于进一步优化性能、增强用户体验以及探索新的应用场景。</w:t>
      </w:r>
    </w:p>
    <w:p w14:paraId="4689EBE1" w14:textId="77777777" w:rsidR="00417D94" w:rsidRDefault="00000000">
      <w:pPr>
        <w:pStyle w:val="2"/>
      </w:pPr>
      <w:bookmarkStart w:id="59" w:name="_Toc17504"/>
      <w:r>
        <w:rPr>
          <w:rFonts w:hint="eastAsia"/>
        </w:rPr>
        <w:t>6</w:t>
      </w:r>
      <w:r>
        <w:t xml:space="preserve">.1 </w:t>
      </w:r>
      <w:r>
        <w:rPr>
          <w:rFonts w:hint="eastAsia"/>
        </w:rPr>
        <w:t>工作总结</w:t>
      </w:r>
      <w:bookmarkEnd w:id="59"/>
    </w:p>
    <w:p w14:paraId="342AECAF" w14:textId="77777777" w:rsidR="00417D94" w:rsidRDefault="00000000">
      <w:pPr>
        <w:ind w:firstLine="420"/>
      </w:pPr>
      <w:r>
        <w:rPr>
          <w:rFonts w:hint="eastAsia"/>
        </w:rPr>
        <w:t>①分析现有视觉模型：对视觉敏锐度、对比度、外围运动和闪烁感知等视觉因素进行深入研究，并分析了基于偏心率的视觉模型，探索适合于注视点渲染的模型。</w:t>
      </w:r>
    </w:p>
    <w:p w14:paraId="6DC6B629" w14:textId="77777777" w:rsidR="00417D94" w:rsidRDefault="00000000">
      <w:pPr>
        <w:ind w:firstLine="420"/>
      </w:pPr>
      <w:r>
        <w:rPr>
          <w:rFonts w:hint="eastAsia"/>
        </w:rPr>
        <w:t>②设计适应性映射算法：基于矩形内部映射的图像变换理论进行映射设计，进而研究矩形与圆盘的区域映射策略，并对映射过程的计算性能进行优化。</w:t>
      </w:r>
    </w:p>
    <w:p w14:paraId="7B4732C2" w14:textId="77777777" w:rsidR="00417D94" w:rsidRDefault="00000000">
      <w:pPr>
        <w:ind w:firstLine="420"/>
      </w:pPr>
      <w:r>
        <w:rPr>
          <w:rFonts w:hint="eastAsia"/>
        </w:rPr>
        <w:t>③设计帧间反走样处理：提出并设计帧间反走样技术，用以解决因采样率变化产生的摩尔纹和高光闪烁等问题。</w:t>
      </w:r>
    </w:p>
    <w:p w14:paraId="75734405" w14:textId="77777777" w:rsidR="00417D94" w:rsidRDefault="00000000">
      <w:pPr>
        <w:ind w:firstLine="420"/>
      </w:pPr>
      <w:r>
        <w:rPr>
          <w:rFonts w:hint="eastAsia"/>
        </w:rPr>
        <w:t>④实现完整的注视点渲染系统：在延迟渲染管线上实践上述理论与设计，</w:t>
      </w:r>
      <w:r>
        <w:rPr>
          <w:rFonts w:hint="eastAsia"/>
        </w:rPr>
        <w:lastRenderedPageBreak/>
        <w:t>实现几何缓冲区的映射和注视点渲染技术，并针对性地对反走样算法进行集成和优化。</w:t>
      </w:r>
    </w:p>
    <w:p w14:paraId="62056448" w14:textId="77777777" w:rsidR="00417D94" w:rsidRDefault="00000000">
      <w:pPr>
        <w:ind w:firstLine="420"/>
      </w:pPr>
      <w:r>
        <w:rPr>
          <w:rFonts w:hint="eastAsia"/>
        </w:rPr>
        <w:t>⑤进行效果测试和性能分析：通过实验验证注视点渲染技术的有效性，包括客观实验和用户实验，以及对实验结果进行分析和讨论。</w:t>
      </w:r>
    </w:p>
    <w:p w14:paraId="03E510BA" w14:textId="77777777" w:rsidR="00417D94" w:rsidRDefault="00000000">
      <w:pPr>
        <w:pStyle w:val="2"/>
      </w:pPr>
      <w:bookmarkStart w:id="60" w:name="_Toc27466"/>
      <w:r>
        <w:rPr>
          <w:rFonts w:hint="eastAsia"/>
        </w:rPr>
        <w:t>6</w:t>
      </w:r>
      <w:r>
        <w:t xml:space="preserve">.2 </w:t>
      </w:r>
      <w:r>
        <w:rPr>
          <w:rFonts w:hint="eastAsia"/>
        </w:rPr>
        <w:t>未来工作展望</w:t>
      </w:r>
      <w:bookmarkEnd w:id="60"/>
    </w:p>
    <w:p w14:paraId="05BF58A3" w14:textId="77777777" w:rsidR="00417D94" w:rsidRDefault="00417D94"/>
    <w:p w14:paraId="18B80703" w14:textId="77777777" w:rsidR="00417D94" w:rsidRDefault="00000000">
      <w:pPr>
        <w:pStyle w:val="1"/>
        <w:rPr>
          <w:rFonts w:ascii="Times New Roman" w:hAnsi="Times New Roman"/>
        </w:rPr>
      </w:pPr>
      <w:bookmarkStart w:id="61" w:name="_Toc5385"/>
      <w:r>
        <w:rPr>
          <w:rFonts w:hint="eastAsia"/>
        </w:rPr>
        <w:t>参考文献</w:t>
      </w:r>
      <w:bookmarkStart w:id="62" w:name="_Ref5634"/>
      <w:bookmarkEnd w:id="61"/>
    </w:p>
    <w:p w14:paraId="66F1AE7E"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0BFFEA6"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0990F34"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AE9231E"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CF51EF2"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12B11D15"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2FB56926"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5D8FAB53"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6BAC64CB"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4FA3B130" w14:textId="77777777" w:rsidR="00417D94" w:rsidRDefault="00000000">
      <w:pPr>
        <w:numPr>
          <w:ilvl w:val="0"/>
          <w:numId w:val="13"/>
        </w:numPr>
        <w:tabs>
          <w:tab w:val="left" w:pos="0"/>
        </w:tabs>
        <w:jc w:val="left"/>
        <w:rPr>
          <w:rFonts w:ascii="Times New Roman" w:hAnsi="Times New Roman"/>
        </w:rPr>
      </w:pPr>
      <w:r>
        <w:rPr>
          <w:rFonts w:ascii="Times New Roman" w:hAnsi="Times New Roman" w:hint="eastAsia"/>
        </w:rPr>
        <w:t>A</w:t>
      </w:r>
    </w:p>
    <w:p w14:paraId="55D15893" w14:textId="77777777" w:rsidR="00417D94" w:rsidRDefault="00000000">
      <w:pPr>
        <w:numPr>
          <w:ilvl w:val="0"/>
          <w:numId w:val="13"/>
        </w:numPr>
        <w:tabs>
          <w:tab w:val="left" w:pos="0"/>
        </w:tabs>
        <w:jc w:val="left"/>
        <w:rPr>
          <w:rFonts w:ascii="Times New Roman" w:hAnsi="Times New Roman"/>
        </w:rPr>
      </w:pPr>
      <w:bookmarkStart w:id="63" w:name="_Ref18785"/>
      <w:r>
        <w:rPr>
          <w:rFonts w:ascii="Times New Roman" w:hAnsi="Times New Roman"/>
        </w:rPr>
        <w:t>Sun, Xuetong and Amitabh Varshney. “Investigating perception time in the far peripheral vision for virtual and augmented reality.” Proceedings of the 15th ACM Symposium on Applied Perception (2018): n. pag.</w:t>
      </w:r>
      <w:bookmarkEnd w:id="62"/>
      <w:bookmarkEnd w:id="63"/>
    </w:p>
    <w:p w14:paraId="5B3FECF2" w14:textId="77777777" w:rsidR="00417D94" w:rsidRDefault="00000000">
      <w:pPr>
        <w:numPr>
          <w:ilvl w:val="0"/>
          <w:numId w:val="13"/>
        </w:numPr>
        <w:tabs>
          <w:tab w:val="left" w:pos="0"/>
        </w:tabs>
        <w:jc w:val="left"/>
        <w:rPr>
          <w:rFonts w:ascii="Times New Roman" w:hAnsi="Times New Roman"/>
        </w:rPr>
      </w:pPr>
      <w:bookmarkStart w:id="64"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64"/>
    </w:p>
    <w:p w14:paraId="3E71EF2F" w14:textId="77777777" w:rsidR="00417D94" w:rsidRDefault="00000000">
      <w:pPr>
        <w:numPr>
          <w:ilvl w:val="0"/>
          <w:numId w:val="13"/>
        </w:numPr>
        <w:tabs>
          <w:tab w:val="left" w:pos="0"/>
        </w:tabs>
        <w:jc w:val="left"/>
        <w:rPr>
          <w:rFonts w:ascii="Times New Roman" w:hAnsi="Times New Roman"/>
        </w:rPr>
      </w:pPr>
      <w:bookmarkStart w:id="65" w:name="_Ref21221"/>
      <w:r>
        <w:rPr>
          <w:rFonts w:ascii="Times New Roman" w:hAnsi="Times New Roman"/>
        </w:rPr>
        <w:lastRenderedPageBreak/>
        <w:t>Anjul Patney, Marco Salvi, Joohwan Kim, Anton Kaplanyan, Chris Wyman, Nir Benty, David Luebke, and Aaron Lefohn. 2016b. Towards Foveated Rendering for Gazetracked Virtual Reality. ACM Trans. Graph. 35, 6, Article 179 (Nov. 2016), 12 pages. https://doi.org/10.1145/2980179.2980246</w:t>
      </w:r>
      <w:bookmarkEnd w:id="65"/>
    </w:p>
    <w:p w14:paraId="33F1ADCD" w14:textId="77777777" w:rsidR="00417D94" w:rsidRDefault="00000000">
      <w:pPr>
        <w:numPr>
          <w:ilvl w:val="0"/>
          <w:numId w:val="13"/>
        </w:numPr>
        <w:tabs>
          <w:tab w:val="left" w:pos="0"/>
        </w:tabs>
        <w:jc w:val="left"/>
        <w:rPr>
          <w:rFonts w:ascii="Times New Roman" w:hAnsi="Times New Roman"/>
        </w:rPr>
      </w:pPr>
      <w:bookmarkStart w:id="66"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66"/>
    </w:p>
    <w:p w14:paraId="59A54F23" w14:textId="77777777" w:rsidR="00417D94" w:rsidRDefault="00000000">
      <w:pPr>
        <w:numPr>
          <w:ilvl w:val="0"/>
          <w:numId w:val="13"/>
        </w:numPr>
        <w:tabs>
          <w:tab w:val="left" w:pos="0"/>
        </w:tabs>
        <w:jc w:val="left"/>
        <w:rPr>
          <w:rFonts w:ascii="Times New Roman" w:hAnsi="Times New Roman"/>
        </w:rPr>
      </w:pPr>
      <w:bookmarkStart w:id="67" w:name="_Ref21351"/>
      <w:r>
        <w:rPr>
          <w:rFonts w:ascii="Times New Roman" w:hAnsi="Times New Roman"/>
        </w:rPr>
        <w:t>Ruth Rosenholtz. 2016. Capabilities and Limitations of Peripheral Vision. Annual Review of Vision Science 2, 1 (2016), 437–457. https://doi.org/10.1146/annurevvision-082114-035733 arXiv:https://doi.org/10.1146/annurev-vision-082114-035733 PMID: 28532349.</w:t>
      </w:r>
      <w:bookmarkEnd w:id="67"/>
    </w:p>
    <w:p w14:paraId="35D9DE5D" w14:textId="77777777" w:rsidR="00417D94" w:rsidRDefault="00000000">
      <w:pPr>
        <w:numPr>
          <w:ilvl w:val="0"/>
          <w:numId w:val="13"/>
        </w:numPr>
        <w:tabs>
          <w:tab w:val="left" w:pos="0"/>
        </w:tabs>
        <w:jc w:val="left"/>
        <w:rPr>
          <w:rFonts w:ascii="Times New Roman" w:hAnsi="Times New Roman"/>
        </w:rPr>
      </w:pPr>
      <w:bookmarkStart w:id="68"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68"/>
    </w:p>
    <w:p w14:paraId="023457CD" w14:textId="77777777" w:rsidR="00417D94" w:rsidRDefault="00000000">
      <w:pPr>
        <w:numPr>
          <w:ilvl w:val="0"/>
          <w:numId w:val="13"/>
        </w:numPr>
        <w:tabs>
          <w:tab w:val="left" w:pos="0"/>
        </w:tabs>
        <w:jc w:val="left"/>
        <w:rPr>
          <w:rFonts w:ascii="Times New Roman" w:hAnsi="Times New Roman"/>
        </w:rPr>
      </w:pPr>
      <w:bookmarkStart w:id="69" w:name="_Ref10236"/>
      <w:r>
        <w:rPr>
          <w:rFonts w:ascii="Times New Roman" w:hAnsi="Times New Roman"/>
        </w:rPr>
        <w:t xml:space="preserve">S.M. Anstis. 1974. A chart demonstrating variations in acuity with retinal position. Vision Research 14, 7 (1974), 589–592. </w:t>
      </w:r>
      <w:hyperlink r:id="rId20" w:history="1">
        <w:r>
          <w:rPr>
            <w:rFonts w:ascii="Times New Roman" w:hAnsi="Times New Roman"/>
          </w:rPr>
          <w:t>https://doi.org/10.1016/0042-6989(74)90049-2</w:t>
        </w:r>
      </w:hyperlink>
      <w:bookmarkEnd w:id="69"/>
    </w:p>
    <w:p w14:paraId="2D1907ED" w14:textId="77777777" w:rsidR="00417D94" w:rsidRDefault="00000000">
      <w:pPr>
        <w:numPr>
          <w:ilvl w:val="0"/>
          <w:numId w:val="13"/>
        </w:numPr>
        <w:tabs>
          <w:tab w:val="left" w:pos="0"/>
        </w:tabs>
        <w:jc w:val="left"/>
        <w:rPr>
          <w:rFonts w:ascii="Times New Roman" w:hAnsi="Times New Roman"/>
        </w:rPr>
      </w:pPr>
      <w:bookmarkStart w:id="70"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70"/>
    </w:p>
    <w:p w14:paraId="3451C845" w14:textId="77777777" w:rsidR="00417D94" w:rsidRDefault="00000000">
      <w:pPr>
        <w:numPr>
          <w:ilvl w:val="0"/>
          <w:numId w:val="13"/>
        </w:numPr>
        <w:tabs>
          <w:tab w:val="left" w:pos="0"/>
        </w:tabs>
        <w:jc w:val="left"/>
        <w:rPr>
          <w:rFonts w:ascii="Times New Roman" w:hAnsi="Times New Roman"/>
        </w:rPr>
      </w:pPr>
      <w:bookmarkStart w:id="71" w:name="_Ref10301"/>
      <w:r>
        <w:rPr>
          <w:rFonts w:ascii="Times New Roman" w:hAnsi="Times New Roman"/>
        </w:rPr>
        <w:t xml:space="preserve">Nicholas T. Swafford, José A. Iglesias-Guitian, Charalampos Koniaris, Bochang Moon, Darren Cosker, and Kenny Mitchell. 2016. User, Metric, and Computational Evaluation of Foveated Rendering Methods. In Proceedings of the ACM Symposium on Applied Perception (Anaheim, California) (SAP ’16). ACM, New York, NY, USA, 7–14. </w:t>
      </w:r>
      <w:hyperlink r:id="rId21" w:history="1">
        <w:r>
          <w:rPr>
            <w:rFonts w:ascii="Times New Roman" w:hAnsi="Times New Roman"/>
          </w:rPr>
          <w:t>https://doi.org/10.1145/2931002.2931011</w:t>
        </w:r>
      </w:hyperlink>
      <w:bookmarkEnd w:id="71"/>
    </w:p>
    <w:p w14:paraId="407CE040" w14:textId="77777777" w:rsidR="00417D94" w:rsidRDefault="00000000">
      <w:pPr>
        <w:numPr>
          <w:ilvl w:val="0"/>
          <w:numId w:val="13"/>
        </w:numPr>
        <w:tabs>
          <w:tab w:val="left" w:pos="0"/>
        </w:tabs>
        <w:jc w:val="left"/>
        <w:rPr>
          <w:rFonts w:ascii="Times New Roman" w:hAnsi="Times New Roman"/>
        </w:rPr>
      </w:pPr>
      <w:bookmarkStart w:id="72"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72"/>
    </w:p>
    <w:p w14:paraId="11B3C148" w14:textId="77777777" w:rsidR="00417D94" w:rsidRDefault="00000000">
      <w:pPr>
        <w:numPr>
          <w:ilvl w:val="0"/>
          <w:numId w:val="13"/>
        </w:numPr>
        <w:tabs>
          <w:tab w:val="left" w:pos="0"/>
        </w:tabs>
        <w:jc w:val="left"/>
        <w:rPr>
          <w:rFonts w:ascii="Times New Roman" w:hAnsi="Times New Roman"/>
        </w:rPr>
      </w:pPr>
      <w:bookmarkStart w:id="73" w:name="_Ref10422"/>
      <w:r>
        <w:rPr>
          <w:rFonts w:ascii="Times New Roman" w:hAnsi="Times New Roman"/>
        </w:rPr>
        <w:lastRenderedPageBreak/>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73"/>
    </w:p>
    <w:p w14:paraId="380AAC51" w14:textId="77777777" w:rsidR="00417D94" w:rsidRDefault="00000000">
      <w:pPr>
        <w:numPr>
          <w:ilvl w:val="0"/>
          <w:numId w:val="13"/>
        </w:numPr>
        <w:tabs>
          <w:tab w:val="left" w:pos="0"/>
        </w:tabs>
        <w:jc w:val="left"/>
        <w:rPr>
          <w:rFonts w:ascii="Times New Roman" w:hAnsi="Times New Roman"/>
        </w:rPr>
      </w:pPr>
      <w:bookmarkStart w:id="74"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22" w:history="1">
        <w:r>
          <w:rPr>
            <w:rFonts w:ascii="Times New Roman" w:hAnsi="Times New Roman"/>
          </w:rPr>
          <w:t>https://doi.org/10.1145/3203199</w:t>
        </w:r>
      </w:hyperlink>
      <w:bookmarkEnd w:id="74"/>
    </w:p>
    <w:p w14:paraId="0C816C02" w14:textId="77777777" w:rsidR="00417D94" w:rsidRDefault="00000000">
      <w:pPr>
        <w:numPr>
          <w:ilvl w:val="0"/>
          <w:numId w:val="13"/>
        </w:numPr>
        <w:tabs>
          <w:tab w:val="left" w:pos="0"/>
        </w:tabs>
        <w:jc w:val="left"/>
        <w:rPr>
          <w:rFonts w:ascii="Times New Roman" w:hAnsi="Times New Roman"/>
        </w:rPr>
      </w:pPr>
      <w:bookmarkStart w:id="75" w:name="_Ref10441"/>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3" w:history="1">
        <w:r>
          <w:rPr>
            <w:rFonts w:ascii="Times New Roman" w:hAnsi="Times New Roman"/>
          </w:rPr>
          <w:t>https://doi.org/10.1145/3306346.3322985</w:t>
        </w:r>
      </w:hyperlink>
      <w:bookmarkEnd w:id="75"/>
    </w:p>
    <w:p w14:paraId="5C192E44" w14:textId="77777777" w:rsidR="00417D94" w:rsidRDefault="00000000">
      <w:pPr>
        <w:numPr>
          <w:ilvl w:val="0"/>
          <w:numId w:val="13"/>
        </w:numPr>
        <w:tabs>
          <w:tab w:val="left" w:pos="0"/>
        </w:tabs>
        <w:jc w:val="left"/>
        <w:rPr>
          <w:rFonts w:ascii="Times New Roman" w:hAnsi="Times New Roman"/>
        </w:rPr>
      </w:pPr>
      <w:bookmarkStart w:id="76" w:name="_Ref10513"/>
      <w:r>
        <w:rPr>
          <w:rFonts w:ascii="Times New Roman" w:hAnsi="Times New Roman"/>
        </w:rPr>
        <w:t>Martin Weier, Thorsten Roth, Ernst Kruijff, André Hinkenjann, Arsène Pérard-Gayot, Philipp Slusallek, and Yongmin Li. 2016. Foveated Real-Time Ray Tracing for Head-Mounted Displays. Comput. Graph. Forum 35, 7 (Oct. 2016), 289–298. https: //doi.org/10.1111/cgf.13026</w:t>
      </w:r>
      <w:bookmarkEnd w:id="76"/>
    </w:p>
    <w:p w14:paraId="4D10C09E" w14:textId="77777777" w:rsidR="00417D94" w:rsidRDefault="00000000">
      <w:pPr>
        <w:numPr>
          <w:ilvl w:val="0"/>
          <w:numId w:val="13"/>
        </w:numPr>
        <w:tabs>
          <w:tab w:val="left" w:pos="0"/>
        </w:tabs>
        <w:jc w:val="left"/>
        <w:rPr>
          <w:rFonts w:ascii="Times New Roman" w:hAnsi="Times New Roman"/>
        </w:rPr>
      </w:pPr>
      <w:bookmarkStart w:id="77" w:name="_Ref10543"/>
      <w:r>
        <w:rPr>
          <w:rFonts w:ascii="Times New Roman" w:hAnsi="Times New Roman"/>
        </w:rPr>
        <w:t>Masahiro Fujita and Takahiro Harada. 2014. Foveated real-time ray tracing for virtual reality headset. Light Transport Entertainment Research (2014).</w:t>
      </w:r>
      <w:bookmarkEnd w:id="77"/>
    </w:p>
    <w:p w14:paraId="16BA460B" w14:textId="77777777" w:rsidR="00417D94" w:rsidRDefault="00000000">
      <w:pPr>
        <w:numPr>
          <w:ilvl w:val="0"/>
          <w:numId w:val="13"/>
        </w:numPr>
        <w:tabs>
          <w:tab w:val="left" w:pos="0"/>
        </w:tabs>
        <w:jc w:val="left"/>
        <w:rPr>
          <w:rFonts w:ascii="Times New Roman" w:hAnsi="Times New Roman"/>
        </w:rPr>
      </w:pPr>
      <w:bookmarkStart w:id="78" w:name="_Ref24738"/>
      <w:r>
        <w:rPr>
          <w:rFonts w:ascii="Times New Roman" w:hAnsi="Times New Roman"/>
        </w:rPr>
        <w:t>Josef Spjut and Ben Boudaoud. 2019. Foveated Displays: Toward Classification of the Emerging Field. In ACM SIGGRAPH 2019 Talks (Los Angeles, California) (SIGGRAPH ’19). ACM, New York, NY, USA, Article 57, 2 pages. https://doi.org/10.1145/3306307. 3328145</w:t>
      </w:r>
      <w:bookmarkEnd w:id="78"/>
    </w:p>
    <w:p w14:paraId="031DC2E8" w14:textId="77777777" w:rsidR="00417D94" w:rsidRDefault="00000000">
      <w:pPr>
        <w:numPr>
          <w:ilvl w:val="0"/>
          <w:numId w:val="13"/>
        </w:numPr>
        <w:tabs>
          <w:tab w:val="left" w:pos="0"/>
        </w:tabs>
        <w:jc w:val="left"/>
        <w:rPr>
          <w:rFonts w:ascii="Times New Roman" w:hAnsi="Times New Roman"/>
        </w:rPr>
      </w:pPr>
      <w:bookmarkStart w:id="79" w:name="_Ref10869"/>
      <w:r>
        <w:rPr>
          <w:rFonts w:ascii="Times New Roman" w:hAnsi="Times New Roman"/>
        </w:rPr>
        <w:t>Jared Abrams, Aaron Nizam, and Marisa Carrasco. 2012. Isoeccentric locations are not equivalent: The extent of the vertical meridian asymmetry. Vision Research 52, 1 (2012), 70–78. https://doi.org/10.1016/j.visres.2011.10.016</w:t>
      </w:r>
      <w:bookmarkEnd w:id="79"/>
    </w:p>
    <w:p w14:paraId="27CAE685" w14:textId="77777777" w:rsidR="00417D94" w:rsidRDefault="00000000">
      <w:pPr>
        <w:numPr>
          <w:ilvl w:val="0"/>
          <w:numId w:val="13"/>
        </w:numPr>
        <w:tabs>
          <w:tab w:val="left" w:pos="0"/>
        </w:tabs>
        <w:jc w:val="left"/>
        <w:rPr>
          <w:rFonts w:ascii="Times New Roman" w:hAnsi="Times New Roman"/>
        </w:rPr>
      </w:pPr>
      <w:bookmarkStart w:id="80" w:name="_Ref10872"/>
      <w:r>
        <w:rPr>
          <w:rFonts w:ascii="Times New Roman" w:hAnsi="Times New Roman"/>
        </w:rPr>
        <w:t xml:space="preserve">Antoine Barbot, Shutian Xue, and Marisa Carrasco. 2021. Asymmetries in visual acuity around the visual field. Journal of Vision 21, 1 (01 2021), 2–2. </w:t>
      </w:r>
      <w:hyperlink r:id="rId24"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w:t>
      </w:r>
      <w:r>
        <w:rPr>
          <w:rFonts w:ascii="Times New Roman" w:hAnsi="Times New Roman"/>
        </w:rPr>
        <w:lastRenderedPageBreak/>
        <w:t>21-1-2_1609762263.01982.pdf</w:t>
      </w:r>
      <w:bookmarkEnd w:id="80"/>
    </w:p>
    <w:p w14:paraId="2DFA448D" w14:textId="77777777" w:rsidR="00417D94" w:rsidRDefault="00000000">
      <w:pPr>
        <w:numPr>
          <w:ilvl w:val="0"/>
          <w:numId w:val="13"/>
        </w:numPr>
        <w:tabs>
          <w:tab w:val="left" w:pos="0"/>
        </w:tabs>
        <w:jc w:val="left"/>
        <w:rPr>
          <w:rFonts w:ascii="Times New Roman" w:hAnsi="Times New Roman"/>
        </w:rPr>
      </w:pPr>
      <w:bookmarkStart w:id="81" w:name="_Ref29267"/>
      <w:r>
        <w:rPr>
          <w:rFonts w:ascii="Times New Roman" w:hAnsi="Times New Roman"/>
        </w:rPr>
        <w:t>David R. Bull. 2014. Chapter 2 - The Human Visual System. In Communicating Pictures, David R. Bull (Ed.). Academic Press, Oxford, 17 – 61. https://doi.org/10.1016/B978- 0-12-405906-1.00002-7</w:t>
      </w:r>
      <w:bookmarkEnd w:id="81"/>
    </w:p>
    <w:p w14:paraId="7524A398" w14:textId="77777777" w:rsidR="00417D94" w:rsidRDefault="00000000">
      <w:pPr>
        <w:numPr>
          <w:ilvl w:val="0"/>
          <w:numId w:val="13"/>
        </w:numPr>
        <w:tabs>
          <w:tab w:val="left" w:pos="0"/>
        </w:tabs>
        <w:jc w:val="left"/>
        <w:rPr>
          <w:rFonts w:ascii="Times New Roman" w:hAnsi="Times New Roman"/>
        </w:rPr>
      </w:pPr>
      <w:bookmarkStart w:id="82"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25" w:history="1">
        <w:r>
          <w:rPr>
            <w:rFonts w:ascii="Times New Roman" w:hAnsi="Times New Roman"/>
          </w:rPr>
          <w:t>https://doi.org/10.1117/12.537476</w:t>
        </w:r>
      </w:hyperlink>
      <w:bookmarkEnd w:id="82"/>
    </w:p>
    <w:p w14:paraId="19A4FE46" w14:textId="77777777" w:rsidR="00417D94" w:rsidRDefault="00000000">
      <w:pPr>
        <w:numPr>
          <w:ilvl w:val="0"/>
          <w:numId w:val="13"/>
        </w:numPr>
        <w:tabs>
          <w:tab w:val="left" w:pos="0"/>
        </w:tabs>
        <w:jc w:val="left"/>
        <w:rPr>
          <w:rFonts w:ascii="Times New Roman" w:hAnsi="Times New Roman"/>
        </w:rPr>
      </w:pPr>
      <w:bookmarkStart w:id="83" w:name="_Ref30224"/>
      <w:r>
        <w:rPr>
          <w:rFonts w:ascii="Times New Roman" w:hAnsi="Times New Roman"/>
        </w:rPr>
        <w:t>J.S. Pointer and R.F. Hess. 1989. The contrast sensitivity gradient across the human visual field: With emphasis on the low spatial frequency range. Vision Research 29, 9 (1989), 1133 – 1151. https://doi.org/10.1016/0042-6989(89)90061-8</w:t>
      </w:r>
      <w:bookmarkEnd w:id="83"/>
    </w:p>
    <w:p w14:paraId="69BB873D" w14:textId="77777777" w:rsidR="00417D94" w:rsidRDefault="00000000">
      <w:pPr>
        <w:numPr>
          <w:ilvl w:val="0"/>
          <w:numId w:val="13"/>
        </w:numPr>
        <w:tabs>
          <w:tab w:val="left" w:pos="0"/>
        </w:tabs>
        <w:jc w:val="left"/>
        <w:rPr>
          <w:rFonts w:ascii="Times New Roman" w:hAnsi="Times New Roman"/>
        </w:rPr>
      </w:pPr>
      <w:bookmarkStart w:id="84"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84"/>
    </w:p>
    <w:p w14:paraId="5A4017C2" w14:textId="77777777" w:rsidR="00417D94" w:rsidRDefault="00000000">
      <w:pPr>
        <w:numPr>
          <w:ilvl w:val="0"/>
          <w:numId w:val="13"/>
        </w:numPr>
        <w:tabs>
          <w:tab w:val="left" w:pos="0"/>
        </w:tabs>
        <w:jc w:val="left"/>
        <w:rPr>
          <w:rFonts w:ascii="Times New Roman" w:hAnsi="Times New Roman"/>
        </w:rPr>
      </w:pPr>
      <w:bookmarkStart w:id="85" w:name="_Ref30312"/>
      <w:r>
        <w:rPr>
          <w:rFonts w:ascii="Times New Roman" w:hAnsi="Times New Roman"/>
        </w:rPr>
        <w:t>R. S. Anderson, M. B. Zlatkova, and R. O. Beirne. 2002. The contrast sensitivity function for detection and resolution of blue-on-yellow gratings in foveal and peripheral vision. Ophthalmic and Physiological Optics 22, 5 (2002), 420–426. https://doi.org/10.1046/j.1475-1313.2002.00068.x arXiv:https://onlinelibrary.wiley.com/doi/pdf/10.1046/j.1475-1313.2002.00068.x</w:t>
      </w:r>
      <w:bookmarkEnd w:id="85"/>
    </w:p>
    <w:p w14:paraId="67DC5D31" w14:textId="77777777" w:rsidR="00417D94" w:rsidRDefault="00000000">
      <w:pPr>
        <w:numPr>
          <w:ilvl w:val="0"/>
          <w:numId w:val="13"/>
        </w:numPr>
        <w:tabs>
          <w:tab w:val="left" w:pos="0"/>
        </w:tabs>
        <w:jc w:val="left"/>
        <w:rPr>
          <w:rFonts w:ascii="Times New Roman" w:hAnsi="Times New Roman"/>
        </w:rPr>
      </w:pPr>
      <w:bookmarkStart w:id="86" w:name="_Ref30348"/>
      <w:r>
        <w:rPr>
          <w:rFonts w:ascii="Times New Roman" w:hAnsi="Times New Roman"/>
        </w:rPr>
        <w:t>Anjul Patney, Joohwan Kim, Marco Salvi, Anton Kaplanyan, Chris Wyman, Nir Benty, Aaron Lefohn, and David Luebke. 2016a. Perceptually-based Foveated Virtual Reality. In ACM SIGGRAPH 2016 Emerging Technologies (Anaheim, California) (SIGGRAPH ’16). ACM, New York, NY, USA, Article 17, 2 pages. https://doi.org/10.1145/2929464. 2929472</w:t>
      </w:r>
      <w:bookmarkEnd w:id="86"/>
    </w:p>
    <w:p w14:paraId="0BF01A57" w14:textId="77777777" w:rsidR="00417D94" w:rsidRDefault="00000000">
      <w:pPr>
        <w:numPr>
          <w:ilvl w:val="0"/>
          <w:numId w:val="13"/>
        </w:numPr>
        <w:tabs>
          <w:tab w:val="left" w:pos="0"/>
        </w:tabs>
        <w:jc w:val="left"/>
        <w:rPr>
          <w:rFonts w:ascii="Times New Roman" w:hAnsi="Times New Roman"/>
        </w:rPr>
      </w:pPr>
      <w:bookmarkStart w:id="87" w:name="_Ref30354"/>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pages. </w:t>
      </w:r>
      <w:hyperlink r:id="rId26" w:history="1">
        <w:r>
          <w:rPr>
            <w:rFonts w:ascii="Times New Roman" w:hAnsi="Times New Roman"/>
          </w:rPr>
          <w:t>https://doi.org/10.1145/2980179.2980246</w:t>
        </w:r>
      </w:hyperlink>
      <w:bookmarkEnd w:id="87"/>
    </w:p>
    <w:p w14:paraId="152F208C" w14:textId="77777777" w:rsidR="00417D94" w:rsidRDefault="00000000">
      <w:pPr>
        <w:numPr>
          <w:ilvl w:val="0"/>
          <w:numId w:val="13"/>
        </w:numPr>
        <w:tabs>
          <w:tab w:val="left" w:pos="0"/>
        </w:tabs>
        <w:jc w:val="left"/>
        <w:rPr>
          <w:rFonts w:ascii="Times New Roman" w:hAnsi="Times New Roman"/>
        </w:rPr>
      </w:pPr>
      <w:bookmarkStart w:id="88" w:name="_Ref30393"/>
      <w:r>
        <w:rPr>
          <w:rFonts w:ascii="Times New Roman" w:hAnsi="Times New Roman"/>
        </w:rPr>
        <w:t xml:space="preserve">Okan Tarhan Tursun, Elena Arabadzhiyska-Koleva, Marek Wernikowski, </w:t>
      </w:r>
      <w:r>
        <w:rPr>
          <w:rFonts w:ascii="Times New Roman" w:hAnsi="Times New Roman"/>
        </w:rPr>
        <w:lastRenderedPageBreak/>
        <w:t xml:space="preserve">Radosław Mantiuk, Hans-Peter Seidel, Karol Myszkowski, and Piotr Didyk. 2019. Luminancecontrast-aware Foveated Rendering. ACM Trans. Graph. 38, 4, Article 98 (July 2019), 14 pages. </w:t>
      </w:r>
      <w:hyperlink r:id="rId27" w:history="1">
        <w:r>
          <w:rPr>
            <w:rFonts w:ascii="Times New Roman" w:hAnsi="Times New Roman"/>
          </w:rPr>
          <w:t>https://doi.org/10.1145/3306346.3322985</w:t>
        </w:r>
      </w:hyperlink>
      <w:bookmarkEnd w:id="88"/>
    </w:p>
    <w:p w14:paraId="4C006364" w14:textId="77777777" w:rsidR="00417D94" w:rsidRDefault="00000000">
      <w:pPr>
        <w:numPr>
          <w:ilvl w:val="0"/>
          <w:numId w:val="13"/>
        </w:numPr>
        <w:tabs>
          <w:tab w:val="left" w:pos="0"/>
        </w:tabs>
        <w:jc w:val="left"/>
        <w:rPr>
          <w:rFonts w:ascii="Times New Roman" w:hAnsi="Times New Roman"/>
        </w:rPr>
      </w:pPr>
      <w:bookmarkStart w:id="89" w:name="_Ref30446"/>
      <w:r>
        <w:rPr>
          <w:rFonts w:ascii="Times New Roman" w:hAnsi="Times New Roman"/>
        </w:rPr>
        <w:t>Thorsten Hansen, Lars Pracejus, and Karl R. Gegenfurtner. 2009b. Color perception in the intermediate periphery of the visual field. Journal of Vision 9, 4 (04 2009), 26–26. https://doi.org/10.1167/9.4.26 arXiv:https://arvojournals.org/arvo/content_public/journal/jov/933534/jov9-4-26.pdf</w:t>
      </w:r>
      <w:bookmarkEnd w:id="89"/>
    </w:p>
    <w:p w14:paraId="45F1C693" w14:textId="77777777" w:rsidR="00417D94" w:rsidRDefault="00000000">
      <w:pPr>
        <w:numPr>
          <w:ilvl w:val="0"/>
          <w:numId w:val="13"/>
        </w:numPr>
        <w:tabs>
          <w:tab w:val="left" w:pos="0"/>
        </w:tabs>
        <w:jc w:val="left"/>
        <w:rPr>
          <w:rFonts w:ascii="Times New Roman" w:hAnsi="Times New Roman"/>
        </w:rPr>
      </w:pPr>
      <w:bookmarkStart w:id="90" w:name="_Ref30485"/>
      <w:r>
        <w:rPr>
          <w:rFonts w:ascii="Times New Roman" w:hAnsi="Times New Roman"/>
        </w:rPr>
        <w:t xml:space="preserve">Sheng Liu and Hong Hua. 2008. Spatialchromatic Foveation for Gaze Contingent Displays. In Proceedings of the 2008 Symposium on Eye Tracking Research &amp; Applications (Savannah, Georgia) (ETRA ’08). Association for Computing Machinery, New York, NY, USA, 139–142. </w:t>
      </w:r>
      <w:hyperlink r:id="rId28" w:history="1">
        <w:r>
          <w:rPr>
            <w:rFonts w:ascii="Times New Roman" w:hAnsi="Times New Roman"/>
          </w:rPr>
          <w:t>https://doi.org/10.1145/1344471.1344507</w:t>
        </w:r>
      </w:hyperlink>
      <w:bookmarkEnd w:id="90"/>
    </w:p>
    <w:p w14:paraId="675BC7AC" w14:textId="77777777" w:rsidR="00417D94" w:rsidRDefault="00000000">
      <w:pPr>
        <w:numPr>
          <w:ilvl w:val="0"/>
          <w:numId w:val="13"/>
        </w:numPr>
        <w:tabs>
          <w:tab w:val="left" w:pos="0"/>
        </w:tabs>
        <w:jc w:val="left"/>
        <w:rPr>
          <w:rFonts w:ascii="Times New Roman" w:hAnsi="Times New Roman"/>
        </w:rPr>
      </w:pPr>
      <w:bookmarkStart w:id="91"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91"/>
    </w:p>
    <w:p w14:paraId="4707FC42" w14:textId="77777777" w:rsidR="00417D94" w:rsidRDefault="00000000">
      <w:pPr>
        <w:numPr>
          <w:ilvl w:val="0"/>
          <w:numId w:val="13"/>
        </w:numPr>
        <w:tabs>
          <w:tab w:val="left" w:pos="0"/>
        </w:tabs>
        <w:jc w:val="left"/>
        <w:rPr>
          <w:rFonts w:ascii="Times New Roman" w:hAnsi="Times New Roman"/>
        </w:rPr>
      </w:pPr>
      <w:bookmarkStart w:id="92" w:name="_Ref23659"/>
      <w:r>
        <w:rPr>
          <w:rFonts w:ascii="Times New Roman" w:hAnsi="Times New Roman"/>
        </w:rPr>
        <w:t xml:space="preserve">Youngmin Kim, Amitabh Varshney, David W. Jacobs, and François Guimbretière. 2010. Mesh Saliency and Human Eye Fixations. ACM Trans. Appl. Percept. 7, 2, Article 12 (Feb. 2010), 13 pages. </w:t>
      </w:r>
      <w:hyperlink r:id="rId29" w:history="1">
        <w:r>
          <w:rPr>
            <w:rFonts w:ascii="Times New Roman" w:hAnsi="Times New Roman"/>
          </w:rPr>
          <w:t>https://doi.org/10.1145/1670671.1670676</w:t>
        </w:r>
      </w:hyperlink>
      <w:bookmarkEnd w:id="92"/>
    </w:p>
    <w:p w14:paraId="18654399" w14:textId="77777777" w:rsidR="00417D94" w:rsidRDefault="00000000">
      <w:pPr>
        <w:numPr>
          <w:ilvl w:val="0"/>
          <w:numId w:val="13"/>
        </w:numPr>
        <w:tabs>
          <w:tab w:val="left" w:pos="0"/>
        </w:tabs>
        <w:jc w:val="left"/>
        <w:rPr>
          <w:rFonts w:ascii="Times New Roman" w:hAnsi="Times New Roman"/>
        </w:rPr>
      </w:pPr>
      <w:bookmarkStart w:id="93" w:name="_Ref23662"/>
      <w:r>
        <w:rPr>
          <w:rFonts w:ascii="Times New Roman" w:hAnsi="Times New Roman"/>
        </w:rPr>
        <w:t>Chang Ha Lee, Amitabh Varshney, and David W. Jacobs. 2005. Mesh Saliency. In ACM SIGGRAPH 2005 Papers (Los Angeles, California) (SIGGRAPH ’05). Association for Computing Machinery, New York, NY, USA, 659–666. https://doi.org/10.1145/ 1186822.1073244</w:t>
      </w:r>
      <w:bookmarkEnd w:id="93"/>
    </w:p>
    <w:p w14:paraId="7FDF1354" w14:textId="77777777" w:rsidR="00417D94" w:rsidRDefault="00000000">
      <w:pPr>
        <w:numPr>
          <w:ilvl w:val="0"/>
          <w:numId w:val="13"/>
        </w:numPr>
        <w:tabs>
          <w:tab w:val="left" w:pos="0"/>
        </w:tabs>
        <w:jc w:val="left"/>
        <w:rPr>
          <w:rFonts w:ascii="Times New Roman" w:hAnsi="Times New Roman"/>
        </w:rPr>
      </w:pPr>
      <w:bookmarkStart w:id="94" w:name="_Ref23668"/>
      <w:r>
        <w:rPr>
          <w:rFonts w:ascii="Times New Roman" w:hAnsi="Times New Roman"/>
        </w:rPr>
        <w:t xml:space="preserve">Ran Song, Yonghuai Liu, Ralph R. Martin, and Paul L. Rosin. 2014. Mesh Saliency via Spectral Processing. ACM Trans. Graph. 33, 1, Article 6 (Feb. 2014), 17 pages. </w:t>
      </w:r>
      <w:hyperlink r:id="rId30" w:history="1">
        <w:r>
          <w:rPr>
            <w:rFonts w:ascii="Times New Roman" w:hAnsi="Times New Roman"/>
          </w:rPr>
          <w:t>https://doi.org/10.1145/2530691</w:t>
        </w:r>
      </w:hyperlink>
      <w:bookmarkEnd w:id="94"/>
    </w:p>
    <w:p w14:paraId="2BF57A0C" w14:textId="77777777" w:rsidR="00417D94" w:rsidRDefault="00000000">
      <w:pPr>
        <w:numPr>
          <w:ilvl w:val="0"/>
          <w:numId w:val="13"/>
        </w:numPr>
        <w:tabs>
          <w:tab w:val="left" w:pos="0"/>
        </w:tabs>
        <w:jc w:val="left"/>
        <w:rPr>
          <w:rFonts w:ascii="Times New Roman" w:hAnsi="Times New Roman"/>
        </w:rPr>
      </w:pPr>
      <w:bookmarkStart w:id="95" w:name="_Ref23672"/>
      <w:r>
        <w:rPr>
          <w:rFonts w:ascii="Times New Roman" w:hAnsi="Times New Roman"/>
        </w:rPr>
        <w:t xml:space="preserve">Shivanthan Yohanandan, Andy Song, Adrian G. Dyer, and Dacheng Tao. 2018. Saliency Preservation in Low-Resolution Grayscale Images. In Computer Vision – ECCV 2018, Vittorio Ferrari, Martial Hebert, Cristian Sminchisescu, and Yair Weiss </w:t>
      </w:r>
      <w:r>
        <w:rPr>
          <w:rFonts w:ascii="Times New Roman" w:hAnsi="Times New Roman"/>
        </w:rPr>
        <w:lastRenderedPageBreak/>
        <w:t>(Eds.). Springer International Publishing, Cham, 237–254.</w:t>
      </w:r>
      <w:bookmarkEnd w:id="95"/>
    </w:p>
    <w:p w14:paraId="0357F402" w14:textId="77777777" w:rsidR="00417D94" w:rsidRDefault="00000000">
      <w:pPr>
        <w:numPr>
          <w:ilvl w:val="0"/>
          <w:numId w:val="13"/>
        </w:numPr>
        <w:tabs>
          <w:tab w:val="left" w:pos="0"/>
        </w:tabs>
        <w:jc w:val="left"/>
        <w:rPr>
          <w:rFonts w:ascii="Times New Roman" w:hAnsi="Times New Roman"/>
        </w:rPr>
      </w:pPr>
      <w:bookmarkStart w:id="96" w:name="_Ref23756"/>
      <w:r>
        <w:rPr>
          <w:rFonts w:ascii="Times New Roman" w:hAnsi="Times New Roman"/>
        </w:rPr>
        <w:t xml:space="preserve">Yong He, Yan Gu, and Kayvon Fatahalian. 2014. Extending the Graphics Pipeline with Adaptive, Multi-rate Shading. ACM Trans. Graph. 33, 4, Article 142 (July 2014), 12 pages. </w:t>
      </w:r>
      <w:hyperlink r:id="rId31" w:history="1">
        <w:r>
          <w:rPr>
            <w:rFonts w:ascii="Times New Roman" w:hAnsi="Times New Roman"/>
          </w:rPr>
          <w:t>https://doi.org/10.1145/2601097.2601105</w:t>
        </w:r>
      </w:hyperlink>
      <w:bookmarkEnd w:id="96"/>
    </w:p>
    <w:p w14:paraId="60389571" w14:textId="77777777" w:rsidR="00417D94" w:rsidRDefault="00000000">
      <w:pPr>
        <w:numPr>
          <w:ilvl w:val="0"/>
          <w:numId w:val="13"/>
        </w:numPr>
        <w:tabs>
          <w:tab w:val="left" w:pos="0"/>
        </w:tabs>
        <w:jc w:val="left"/>
        <w:rPr>
          <w:rFonts w:ascii="Times New Roman" w:hAnsi="Times New Roman"/>
        </w:rPr>
      </w:pPr>
      <w:bookmarkStart w:id="97"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32" w:history="1">
        <w:r>
          <w:rPr>
            <w:rFonts w:ascii="Times New Roman" w:hAnsi="Times New Roman"/>
          </w:rPr>
          <w:t>https://doi.org/10.1111/cgf.12956</w:t>
        </w:r>
      </w:hyperlink>
      <w:bookmarkEnd w:id="97"/>
    </w:p>
    <w:p w14:paraId="75C9EA09" w14:textId="77777777" w:rsidR="00417D94" w:rsidRDefault="00000000">
      <w:pPr>
        <w:numPr>
          <w:ilvl w:val="0"/>
          <w:numId w:val="13"/>
        </w:numPr>
        <w:tabs>
          <w:tab w:val="left" w:pos="0"/>
        </w:tabs>
        <w:jc w:val="left"/>
        <w:rPr>
          <w:rFonts w:ascii="Times New Roman" w:hAnsi="Times New Roman"/>
        </w:rPr>
      </w:pPr>
      <w:bookmarkStart w:id="98" w:name="_Ref22227"/>
      <w:r>
        <w:rPr>
          <w:rFonts w:ascii="Times New Roman" w:hAnsi="Times New Roman"/>
        </w:rPr>
        <w:t>Frank W. Weymouth. 1958. Visual Sensory Units and the Minimal Angle of Resolution*. American Journal of Ophthalmology 46, 1, Part 2 (1958), 102 – 113. https://doi.org/ 10.1016/0002-9394(58)90042-4</w:t>
      </w:r>
      <w:bookmarkEnd w:id="98"/>
    </w:p>
    <w:p w14:paraId="5E24613D" w14:textId="77777777" w:rsidR="00417D94" w:rsidRDefault="00000000">
      <w:pPr>
        <w:numPr>
          <w:ilvl w:val="0"/>
          <w:numId w:val="13"/>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33" w:history="1">
        <w:r>
          <w:rPr>
            <w:rFonts w:ascii="Times New Roman" w:hAnsi="Times New Roman"/>
          </w:rPr>
          <w:t>https://doi.org/10.1145/2601097.2601105</w:t>
        </w:r>
      </w:hyperlink>
    </w:p>
    <w:p w14:paraId="34B358AC" w14:textId="77777777" w:rsidR="00417D94" w:rsidRDefault="00000000">
      <w:pPr>
        <w:numPr>
          <w:ilvl w:val="0"/>
          <w:numId w:val="13"/>
        </w:numPr>
        <w:tabs>
          <w:tab w:val="left" w:pos="0"/>
        </w:tabs>
        <w:jc w:val="left"/>
        <w:rPr>
          <w:rFonts w:ascii="Times New Roman" w:hAnsi="Times New Roman"/>
        </w:rPr>
      </w:pPr>
      <w:bookmarkStart w:id="99" w:name="_Ref22919"/>
      <w:r>
        <w:rPr>
          <w:rFonts w:ascii="Times New Roman" w:hAnsi="Times New Roman"/>
        </w:rPr>
        <w:t>K. Vaidyanathan, M. Salvi, R. Toth, T. Foley, T. Akenine-Möller, J. Nilsson, J. Munkberg, J. Hasselgren, M. Sugihara, P. Clarberg, T. Janczak, and A. Lefohn. 2014. Coarse Pixel Shading. In Proceedings of High Performance Graphics (Lyon, France) (HPG ’14). Eurographics Association, Goslar Germany, Germany, 9–18. http://dl.acm.org/ citation.cfm?id=2980009.2980011</w:t>
      </w:r>
      <w:bookmarkEnd w:id="99"/>
    </w:p>
    <w:p w14:paraId="5F5D8D75" w14:textId="77777777" w:rsidR="00417D94" w:rsidRDefault="00000000">
      <w:pPr>
        <w:numPr>
          <w:ilvl w:val="0"/>
          <w:numId w:val="13"/>
        </w:numPr>
        <w:tabs>
          <w:tab w:val="left" w:pos="0"/>
        </w:tabs>
        <w:jc w:val="left"/>
        <w:rPr>
          <w:rFonts w:ascii="Times New Roman" w:hAnsi="Times New Roman"/>
        </w:rPr>
      </w:pPr>
      <w:bookmarkStart w:id="100" w:name="_Ref23135"/>
      <w:r>
        <w:rPr>
          <w:rFonts w:ascii="Times New Roman" w:hAnsi="Times New Roman"/>
        </w:rPr>
        <w:t>J. Spjut, B. Boudaoud, J. Kim, T. Greer, R. Albert, M. Stengel, K. Akşit, and D. Luebke. 2020. Toward Standardized Classification of Foveated Displays. IEEE Transactions on Visualization and Computer Graphics 26, 5 (2020), 2126–2134. https://doi.org/10. 1109/TVCG.2020.2973053</w:t>
      </w:r>
      <w:bookmarkEnd w:id="100"/>
    </w:p>
    <w:p w14:paraId="2308AC94" w14:textId="77777777" w:rsidR="00417D94" w:rsidRDefault="00000000">
      <w:pPr>
        <w:numPr>
          <w:ilvl w:val="0"/>
          <w:numId w:val="13"/>
        </w:numPr>
        <w:tabs>
          <w:tab w:val="left" w:pos="0"/>
        </w:tabs>
        <w:jc w:val="left"/>
        <w:rPr>
          <w:rFonts w:ascii="Times New Roman" w:hAnsi="Times New Roman"/>
        </w:rPr>
      </w:pPr>
      <w:bookmarkStart w:id="101" w:name="_Ref14984"/>
      <w:r>
        <w:rPr>
          <w:rFonts w:ascii="Times New Roman" w:hAnsi="Times New Roman"/>
        </w:rPr>
        <w:t>H. Araujo and J. M. Dias. 1996. An introduction to the log-polar mapping. In Proceedings II Workshop on Cybernetic Vision. 139–144.</w:t>
      </w:r>
      <w:bookmarkEnd w:id="101"/>
    </w:p>
    <w:p w14:paraId="1ED172E6" w14:textId="77777777" w:rsidR="00417D94" w:rsidRDefault="00000000">
      <w:pPr>
        <w:numPr>
          <w:ilvl w:val="0"/>
          <w:numId w:val="13"/>
        </w:numPr>
        <w:tabs>
          <w:tab w:val="left" w:pos="0"/>
        </w:tabs>
        <w:jc w:val="left"/>
        <w:rPr>
          <w:rFonts w:ascii="Times New Roman" w:hAnsi="Times New Roman"/>
        </w:rPr>
      </w:pPr>
      <w:bookmarkStart w:id="102" w:name="_Ref15010"/>
      <w:r>
        <w:rPr>
          <w:rFonts w:ascii="Times New Roman" w:hAnsi="Times New Roman"/>
        </w:rPr>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34" w:history="1">
        <w:r>
          <w:rPr>
            <w:rFonts w:ascii="Times New Roman" w:hAnsi="Times New Roman"/>
          </w:rPr>
          <w:t>https://doi.org/10.1007/s11554-012-0281-6</w:t>
        </w:r>
      </w:hyperlink>
      <w:bookmarkEnd w:id="102"/>
    </w:p>
    <w:p w14:paraId="64319FD1" w14:textId="77777777" w:rsidR="00417D94" w:rsidRDefault="00000000">
      <w:pPr>
        <w:numPr>
          <w:ilvl w:val="0"/>
          <w:numId w:val="13"/>
        </w:numPr>
        <w:tabs>
          <w:tab w:val="left" w:pos="0"/>
        </w:tabs>
        <w:jc w:val="left"/>
        <w:rPr>
          <w:rFonts w:ascii="Times New Roman" w:hAnsi="Times New Roman"/>
        </w:rPr>
      </w:pPr>
      <w:bookmarkStart w:id="103" w:name="_Ref15040"/>
      <w:r>
        <w:rPr>
          <w:rFonts w:ascii="Times New Roman" w:hAnsi="Times New Roman"/>
        </w:rPr>
        <w:t xml:space="preserve">Michael Deering, Stephanie Winner, Bic Schediwy, Chris Duffy, and Neil Hunt. </w:t>
      </w:r>
      <w:r>
        <w:rPr>
          <w:rFonts w:ascii="Times New Roman" w:hAnsi="Times New Roman"/>
        </w:rPr>
        <w:lastRenderedPageBreak/>
        <w:t>1988. The Triangle Processor and Normal Vector Shader: A VLSI System for High Performance Graphics. SIGGRAPH Comput. Graph. 22, 4 (June 1988), 21–30. https://doi.org/10. 1145/378456.378468</w:t>
      </w:r>
      <w:bookmarkEnd w:id="103"/>
    </w:p>
    <w:p w14:paraId="5ECD12F4" w14:textId="77777777" w:rsidR="00417D94" w:rsidRDefault="00000000">
      <w:pPr>
        <w:numPr>
          <w:ilvl w:val="0"/>
          <w:numId w:val="13"/>
        </w:numPr>
        <w:tabs>
          <w:tab w:val="left" w:pos="0"/>
        </w:tabs>
        <w:jc w:val="left"/>
        <w:rPr>
          <w:rFonts w:ascii="Times New Roman" w:hAnsi="Times New Roman"/>
        </w:rPr>
      </w:pPr>
      <w:bookmarkStart w:id="104" w:name="_Ref15144"/>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104"/>
    </w:p>
    <w:p w14:paraId="7C5D0868" w14:textId="77777777" w:rsidR="00417D94" w:rsidRDefault="00000000">
      <w:pPr>
        <w:numPr>
          <w:ilvl w:val="0"/>
          <w:numId w:val="13"/>
        </w:numPr>
        <w:tabs>
          <w:tab w:val="left" w:pos="0"/>
        </w:tabs>
        <w:jc w:val="left"/>
        <w:rPr>
          <w:rFonts w:ascii="Times New Roman" w:hAnsi="Times New Roman"/>
        </w:rPr>
      </w:pPr>
      <w:bookmarkStart w:id="105" w:name="_Ref15167"/>
      <w:r>
        <w:rPr>
          <w:rFonts w:ascii="Times New Roman" w:hAnsi="Times New Roman"/>
        </w:rPr>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105"/>
    </w:p>
    <w:p w14:paraId="181881F5" w14:textId="77777777" w:rsidR="00417D94" w:rsidRDefault="00000000">
      <w:pPr>
        <w:numPr>
          <w:ilvl w:val="0"/>
          <w:numId w:val="13"/>
        </w:numPr>
        <w:tabs>
          <w:tab w:val="left" w:pos="0"/>
        </w:tabs>
        <w:jc w:val="left"/>
        <w:rPr>
          <w:rFonts w:ascii="Times New Roman" w:hAnsi="Times New Roman"/>
        </w:rPr>
      </w:pPr>
      <w:bookmarkStart w:id="106"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35" w:history="1">
        <w:r>
          <w:rPr>
            <w:rStyle w:val="aa"/>
            <w:rFonts w:ascii="宋体" w:hAnsi="宋体" w:cs="宋体"/>
          </w:rPr>
          <w:t>https://doi.org/10.1002/j.2637-496x.2017.tb01040.x</w:t>
        </w:r>
      </w:hyperlink>
      <w:bookmarkEnd w:id="106"/>
    </w:p>
    <w:p w14:paraId="7F3E575C" w14:textId="77777777" w:rsidR="00417D94" w:rsidRDefault="00000000">
      <w:pPr>
        <w:numPr>
          <w:ilvl w:val="0"/>
          <w:numId w:val="13"/>
        </w:numPr>
        <w:tabs>
          <w:tab w:val="left" w:pos="0"/>
        </w:tabs>
        <w:jc w:val="left"/>
        <w:rPr>
          <w:rFonts w:ascii="Times New Roman" w:hAnsi="Times New Roman"/>
        </w:rPr>
      </w:pPr>
      <w:bookmarkStart w:id="107" w:name="_Ref11378"/>
      <w:r>
        <w:rPr>
          <w:rFonts w:ascii="宋体" w:hAnsi="宋体" w:cs="宋体"/>
        </w:rPr>
        <w:t xml:space="preserve">Martin Reddy. 2001. Perceptually Optimized 3D Graphics. IEEE Comput. Graph. Appl. 21, 5 (Sept. 2001), 68–75. </w:t>
      </w:r>
      <w:hyperlink r:id="rId36" w:history="1">
        <w:r>
          <w:rPr>
            <w:rStyle w:val="aa"/>
            <w:rFonts w:ascii="宋体" w:hAnsi="宋体" w:cs="宋体"/>
          </w:rPr>
          <w:t>https://doi.org/10.1109/38.946633</w:t>
        </w:r>
      </w:hyperlink>
      <w:bookmarkEnd w:id="107"/>
    </w:p>
    <w:p w14:paraId="15AA6FF1" w14:textId="77777777" w:rsidR="00417D94" w:rsidRDefault="00000000">
      <w:pPr>
        <w:numPr>
          <w:ilvl w:val="0"/>
          <w:numId w:val="13"/>
        </w:numPr>
        <w:tabs>
          <w:tab w:val="left" w:pos="0"/>
        </w:tabs>
        <w:jc w:val="left"/>
        <w:rPr>
          <w:rFonts w:ascii="Times New Roman" w:hAnsi="Times New Roman"/>
        </w:rPr>
      </w:pPr>
      <w:bookmarkStart w:id="108" w:name="_Ref11397"/>
      <w:r>
        <w:rPr>
          <w:rFonts w:ascii="宋体" w:hAnsi="宋体" w:cs="宋体"/>
        </w:rPr>
        <w:t>Martin Reddy. 1998. Specification and evaluation of level of detail selection criteria. Virtual Reality 3, 2 (1998), 132–143.</w:t>
      </w:r>
      <w:bookmarkEnd w:id="108"/>
    </w:p>
    <w:p w14:paraId="46952C6B" w14:textId="77777777" w:rsidR="00417D94" w:rsidRDefault="00000000">
      <w:pPr>
        <w:numPr>
          <w:ilvl w:val="0"/>
          <w:numId w:val="13"/>
        </w:numPr>
        <w:tabs>
          <w:tab w:val="left" w:pos="0"/>
        </w:tabs>
        <w:jc w:val="left"/>
        <w:rPr>
          <w:rFonts w:ascii="Times New Roman" w:hAnsi="Times New Roman"/>
        </w:rPr>
      </w:pPr>
      <w:bookmarkStart w:id="109" w:name="_Ref11835"/>
      <w:r>
        <w:rPr>
          <w:rFonts w:ascii="宋体" w:hAnsi="宋体" w:cs="宋体"/>
        </w:rPr>
        <w:t>Zipeng Zheng, Zhuo Yang, Yinwei Zhan, Yuqing Li, and Wenxin Yu. 2018. Perceptual Model Optimized Efficient Foveated Rendering. In Proceedings of the 24th ACM Symposium on Virtual Reality Software and Technology (Tokyo, Japan) (VRST ’18). ACM, New York, NY, USA, Article 109, 2 pages. https://doi.org/10.1145/3281505. 3281588</w:t>
      </w:r>
      <w:bookmarkEnd w:id="109"/>
    </w:p>
    <w:p w14:paraId="63D5E3BA" w14:textId="77777777" w:rsidR="00417D94" w:rsidRDefault="00000000">
      <w:pPr>
        <w:numPr>
          <w:ilvl w:val="0"/>
          <w:numId w:val="13"/>
        </w:numPr>
        <w:tabs>
          <w:tab w:val="left" w:pos="0"/>
        </w:tabs>
        <w:jc w:val="left"/>
        <w:rPr>
          <w:rFonts w:ascii="Times New Roman" w:hAnsi="Times New Roman"/>
        </w:rPr>
      </w:pPr>
      <w:bookmarkStart w:id="110"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37" w:history="1">
        <w:r>
          <w:rPr>
            <w:rStyle w:val="aa"/>
            <w:rFonts w:ascii="宋体" w:hAnsi="宋体" w:cs="宋体"/>
          </w:rPr>
          <w:t>https://doi.org/10.1145/3306346.3323033</w:t>
        </w:r>
      </w:hyperlink>
      <w:bookmarkEnd w:id="110"/>
    </w:p>
    <w:p w14:paraId="1F8E5520" w14:textId="77777777" w:rsidR="00417D94" w:rsidRDefault="00000000">
      <w:pPr>
        <w:numPr>
          <w:ilvl w:val="0"/>
          <w:numId w:val="13"/>
        </w:numPr>
        <w:tabs>
          <w:tab w:val="left" w:pos="0"/>
        </w:tabs>
        <w:jc w:val="left"/>
        <w:rPr>
          <w:rFonts w:ascii="Times New Roman" w:hAnsi="Times New Roman"/>
        </w:rPr>
      </w:pPr>
      <w:bookmarkStart w:id="111" w:name="_Ref11959"/>
      <w:r>
        <w:rPr>
          <w:rFonts w:ascii="宋体" w:hAnsi="宋体" w:cs="宋体"/>
        </w:rPr>
        <w:t>David Li, Ruofei Du, Adharsh Babu, Camelia D. Brumar, and Amitabh Varshney. 2021. A Log-Rectilinear Transformation for Foveated 360-degree Video Streaming. IEEE Transactions on Visualization and Computer Graphics (2021).</w:t>
      </w:r>
      <w:bookmarkEnd w:id="111"/>
    </w:p>
    <w:p w14:paraId="32647E73" w14:textId="77777777" w:rsidR="00417D94" w:rsidRDefault="00000000">
      <w:pPr>
        <w:numPr>
          <w:ilvl w:val="0"/>
          <w:numId w:val="13"/>
        </w:numPr>
        <w:tabs>
          <w:tab w:val="left" w:pos="0"/>
        </w:tabs>
        <w:jc w:val="left"/>
        <w:rPr>
          <w:rFonts w:ascii="Times New Roman" w:hAnsi="Times New Roman"/>
        </w:rPr>
      </w:pPr>
      <w:bookmarkStart w:id="112" w:name="_Ref12586"/>
      <w:r>
        <w:rPr>
          <w:rFonts w:ascii="宋体" w:hAnsi="宋体" w:cs="宋体"/>
        </w:rPr>
        <w:t xml:space="preserve">Marc Levoy and Ross Whitaker. 1990. Gaze-directed Volume Rendering. SIGGRAPH Comput. Graph. 24, 2 (Feb. 1990), 217–223. </w:t>
      </w:r>
      <w:hyperlink r:id="rId38" w:history="1">
        <w:r>
          <w:rPr>
            <w:rStyle w:val="aa"/>
            <w:rFonts w:ascii="宋体" w:hAnsi="宋体" w:cs="宋体"/>
          </w:rPr>
          <w:t>https://doi.org/10.1145/91394.91449</w:t>
        </w:r>
      </w:hyperlink>
      <w:bookmarkEnd w:id="112"/>
    </w:p>
    <w:p w14:paraId="5453C2BD" w14:textId="77777777" w:rsidR="00417D94" w:rsidRDefault="00000000">
      <w:pPr>
        <w:numPr>
          <w:ilvl w:val="0"/>
          <w:numId w:val="13"/>
        </w:numPr>
        <w:tabs>
          <w:tab w:val="left" w:pos="0"/>
        </w:tabs>
        <w:jc w:val="left"/>
        <w:rPr>
          <w:rFonts w:ascii="Times New Roman" w:hAnsi="Times New Roman"/>
        </w:rPr>
      </w:pPr>
      <w:bookmarkStart w:id="113" w:name="_Ref17132"/>
      <w:r>
        <w:rPr>
          <w:rFonts w:ascii="宋体" w:hAnsi="宋体" w:cs="宋体"/>
        </w:rPr>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9" w:history="1">
        <w:r>
          <w:rPr>
            <w:rStyle w:val="aa"/>
            <w:rFonts w:ascii="宋体" w:hAnsi="宋体" w:cs="宋体"/>
          </w:rPr>
          <w:t>https://doi.org/10.1145/166117.166149</w:t>
        </w:r>
      </w:hyperlink>
      <w:bookmarkEnd w:id="113"/>
    </w:p>
    <w:p w14:paraId="2C62B902" w14:textId="77777777" w:rsidR="00417D94" w:rsidRDefault="00000000">
      <w:pPr>
        <w:numPr>
          <w:ilvl w:val="0"/>
          <w:numId w:val="13"/>
        </w:numPr>
        <w:tabs>
          <w:tab w:val="left" w:pos="0"/>
        </w:tabs>
        <w:jc w:val="left"/>
        <w:rPr>
          <w:rFonts w:ascii="Times New Roman" w:hAnsi="Times New Roman"/>
        </w:rPr>
      </w:pPr>
      <w:bookmarkStart w:id="114" w:name="_Ref17070"/>
      <w:r>
        <w:rPr>
          <w:rFonts w:ascii="宋体" w:hAnsi="宋体" w:cs="宋体"/>
        </w:rPr>
        <w:t>Eric Horvitz and Jed Lengyel. 1997. Perception, Attention, and 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114"/>
    </w:p>
    <w:p w14:paraId="62604E3A" w14:textId="77777777" w:rsidR="00417D94" w:rsidRDefault="00000000">
      <w:pPr>
        <w:numPr>
          <w:ilvl w:val="0"/>
          <w:numId w:val="13"/>
        </w:numPr>
        <w:tabs>
          <w:tab w:val="left" w:pos="0"/>
        </w:tabs>
        <w:jc w:val="left"/>
        <w:rPr>
          <w:rFonts w:ascii="Times New Roman" w:hAnsi="Times New Roman"/>
        </w:rPr>
      </w:pPr>
      <w:bookmarkStart w:id="115" w:name="_Ref17073"/>
      <w:r>
        <w:rPr>
          <w:rFonts w:ascii="宋体" w:hAnsi="宋体" w:cs="宋体"/>
        </w:rPr>
        <w:t>Hector Yee, Sumanita Pattanaik, and Donald P. Greenberg. 2001. Spatiotemporal Sensitivity and Visual Attention for Efficient Rendering of Dynamic Environments. ACM Trans. Graph. 20, 1 (Jan. 2001), 39–65. https://doi.org/10.1145/383745.383748</w:t>
      </w:r>
      <w:bookmarkEnd w:id="115"/>
    </w:p>
    <w:p w14:paraId="23A5F25F" w14:textId="77777777" w:rsidR="00417D94" w:rsidRDefault="00000000">
      <w:pPr>
        <w:numPr>
          <w:ilvl w:val="0"/>
          <w:numId w:val="13"/>
        </w:numPr>
        <w:tabs>
          <w:tab w:val="left" w:pos="0"/>
        </w:tabs>
        <w:jc w:val="left"/>
        <w:rPr>
          <w:rFonts w:ascii="Times New Roman" w:hAnsi="Times New Roman"/>
        </w:rPr>
      </w:pPr>
      <w:bookmarkStart w:id="116" w:name="_Ref17034"/>
      <w:r>
        <w:rPr>
          <w:rFonts w:ascii="宋体" w:hAnsi="宋体" w:cs="宋体"/>
        </w:rPr>
        <w:t>Oculus. 2018. Oculus Go: Fixed Foveated Rendering. https://developer.oculus.com/ documentation/unreal/latest/concepts/unreal-ffr</w:t>
      </w:r>
      <w:bookmarkEnd w:id="116"/>
    </w:p>
    <w:p w14:paraId="304FDE2F" w14:textId="77777777" w:rsidR="00417D94" w:rsidRDefault="00000000">
      <w:pPr>
        <w:numPr>
          <w:ilvl w:val="0"/>
          <w:numId w:val="13"/>
        </w:numPr>
        <w:tabs>
          <w:tab w:val="left" w:pos="0"/>
        </w:tabs>
        <w:jc w:val="left"/>
        <w:rPr>
          <w:rFonts w:ascii="Times New Roman" w:hAnsi="Times New Roman"/>
        </w:rPr>
      </w:pPr>
      <w:bookmarkStart w:id="117" w:name="_Ref16942"/>
      <w:r>
        <w:rPr>
          <w:rFonts w:ascii="宋体" w:hAnsi="宋体" w:cs="宋体"/>
        </w:rPr>
        <w:t xml:space="preserve">L. Itti, C. Koch, and E. Niebur. 1998. A model of saliency-based visual attention for rapid scene analysis. IEEE Transactions on </w:t>
      </w:r>
      <w:r>
        <w:rPr>
          <w:rFonts w:ascii="宋体" w:hAnsi="宋体" w:cs="宋体"/>
        </w:rPr>
        <w:lastRenderedPageBreak/>
        <w:t>Pattern Analysis and Machine Intelligence 20, 11 (1998), 1254–1259.</w:t>
      </w:r>
      <w:bookmarkEnd w:id="117"/>
    </w:p>
    <w:p w14:paraId="030B8958" w14:textId="77777777" w:rsidR="00417D94" w:rsidRDefault="00000000">
      <w:pPr>
        <w:numPr>
          <w:ilvl w:val="0"/>
          <w:numId w:val="13"/>
        </w:numPr>
        <w:tabs>
          <w:tab w:val="left" w:pos="0"/>
        </w:tabs>
        <w:jc w:val="left"/>
        <w:rPr>
          <w:rFonts w:ascii="Times New Roman" w:hAnsi="Times New Roman"/>
        </w:rPr>
      </w:pPr>
      <w:bookmarkStart w:id="118" w:name="_Ref16952"/>
      <w:r>
        <w:rPr>
          <w:rFonts w:ascii="宋体" w:hAnsi="宋体" w:cs="宋体"/>
        </w:rPr>
        <w:t>Chang Ha Lee, Amitabh Varshney, and David W. Jacobs. 2005. Mesh Saliency. In ACM SIGGRAPH 2005 Papers (Los Angeles, California) (SIGGRAPH ’05). Association for Computing Machinery, New York, NY, USA, 659–666. https://doi.org/10.1145/ 1186822.1073244</w:t>
      </w:r>
      <w:bookmarkEnd w:id="118"/>
    </w:p>
    <w:p w14:paraId="6CA0A765" w14:textId="77777777" w:rsidR="00417D94" w:rsidRDefault="00000000">
      <w:pPr>
        <w:numPr>
          <w:ilvl w:val="0"/>
          <w:numId w:val="13"/>
        </w:numPr>
        <w:tabs>
          <w:tab w:val="left" w:pos="0"/>
        </w:tabs>
        <w:jc w:val="left"/>
        <w:rPr>
          <w:rFonts w:ascii="Times New Roman" w:hAnsi="Times New Roman"/>
        </w:rPr>
      </w:pPr>
      <w:bookmarkStart w:id="119" w:name="_Ref17693"/>
      <w:r>
        <w:rPr>
          <w:rFonts w:ascii="宋体" w:hAnsi="宋体" w:cs="宋体"/>
        </w:rPr>
        <w:t xml:space="preserve">Viviane Clay, Peter König, and Sabine Koenig. 2019. Eye Tracking in Virtual Reality. Journal of Eye Movement Research 12 (04 2019). </w:t>
      </w:r>
      <w:hyperlink r:id="rId40" w:history="1">
        <w:r>
          <w:rPr>
            <w:rStyle w:val="aa"/>
            <w:rFonts w:ascii="宋体" w:hAnsi="宋体" w:cs="宋体"/>
          </w:rPr>
          <w:t>https://doi.org/10.16910/jemr.12.1.3</w:t>
        </w:r>
      </w:hyperlink>
      <w:bookmarkEnd w:id="119"/>
    </w:p>
    <w:p w14:paraId="6A42B0E6" w14:textId="77777777" w:rsidR="00417D94" w:rsidRDefault="00000000">
      <w:pPr>
        <w:numPr>
          <w:ilvl w:val="0"/>
          <w:numId w:val="13"/>
        </w:numPr>
        <w:tabs>
          <w:tab w:val="left" w:pos="0"/>
        </w:tabs>
        <w:jc w:val="left"/>
        <w:rPr>
          <w:rFonts w:ascii="Times New Roman" w:hAnsi="Times New Roman"/>
        </w:rPr>
      </w:pPr>
      <w:bookmarkStart w:id="120" w:name="_Ref17720"/>
      <w:r>
        <w:rPr>
          <w:rFonts w:ascii="宋体" w:hAnsi="宋体" w:cs="宋体"/>
        </w:rPr>
        <w:t>Z. Hu, S. Li, C. Zhang, K. Yi, G. Wang, and D. Manocha. 2020. DGaze: CNN-Based Gaze Prediction in Dynamic Scenes. IEEE Transactions on Visualization and Computer Graphics 26, 5 (2020), 1902–1911.</w:t>
      </w:r>
      <w:bookmarkEnd w:id="120"/>
    </w:p>
    <w:p w14:paraId="1B8944FE" w14:textId="77777777" w:rsidR="00417D94" w:rsidRDefault="00000000">
      <w:pPr>
        <w:numPr>
          <w:ilvl w:val="0"/>
          <w:numId w:val="13"/>
        </w:numPr>
        <w:tabs>
          <w:tab w:val="left" w:pos="0"/>
        </w:tabs>
        <w:jc w:val="left"/>
        <w:rPr>
          <w:rFonts w:ascii="Times New Roman" w:hAnsi="Times New Roman"/>
        </w:rPr>
      </w:pPr>
      <w:bookmarkStart w:id="121"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121"/>
    </w:p>
    <w:p w14:paraId="7C288B27" w14:textId="77777777" w:rsidR="00417D94" w:rsidRDefault="00000000">
      <w:pPr>
        <w:numPr>
          <w:ilvl w:val="0"/>
          <w:numId w:val="13"/>
        </w:numPr>
        <w:tabs>
          <w:tab w:val="left" w:pos="0"/>
        </w:tabs>
        <w:jc w:val="left"/>
        <w:rPr>
          <w:rFonts w:ascii="Times New Roman" w:hAnsi="Times New Roman"/>
        </w:rPr>
      </w:pPr>
      <w:bookmarkStart w:id="122" w:name="_Ref23638"/>
      <w:r>
        <w:rPr>
          <w:rFonts w:ascii="宋体" w:hAnsi="宋体" w:cs="宋体"/>
        </w:rPr>
        <w:t>David Hoffman, Zoe Meraz, and Eric Turner. 2018a. Limits of peripheral acuity and implications for VR system design. Journal of the Society for Information Display 26, 8 (2018), 483–495. https://doi.org/10.1002/jsid.730 arXiv:https://onlinelibrary.wiley.com/doi/pdf/10.1002/jsid.730</w:t>
      </w:r>
      <w:bookmarkEnd w:id="122"/>
    </w:p>
    <w:p w14:paraId="3A6F50ED" w14:textId="77777777" w:rsidR="00417D94" w:rsidRDefault="00000000">
      <w:pPr>
        <w:numPr>
          <w:ilvl w:val="0"/>
          <w:numId w:val="13"/>
        </w:numPr>
        <w:tabs>
          <w:tab w:val="left" w:pos="0"/>
        </w:tabs>
        <w:jc w:val="left"/>
        <w:rPr>
          <w:rFonts w:ascii="Times New Roman" w:hAnsi="Times New Roman"/>
        </w:rPr>
      </w:pPr>
      <w:bookmarkStart w:id="123" w:name="_Ref23609"/>
      <w:r>
        <w:rPr>
          <w:rFonts w:ascii="宋体" w:hAnsi="宋体" w:cs="宋体"/>
        </w:rPr>
        <w:t>David M. Hoffman, Zoe Meraz, and Eric Turner. 2018b. 65-2: Sensitivity to Peripheral Artifacts in VR Display Systems. SID Symposium Digest of Technical Papers 49, 1 (2018), 858–861. https://doi.org/10.1002/sdtp.12261</w:t>
      </w:r>
      <w:bookmarkEnd w:id="123"/>
    </w:p>
    <w:p w14:paraId="5B807461" w14:textId="77777777" w:rsidR="00417D94" w:rsidRDefault="00000000">
      <w:pPr>
        <w:numPr>
          <w:ilvl w:val="0"/>
          <w:numId w:val="13"/>
        </w:numPr>
        <w:tabs>
          <w:tab w:val="left" w:pos="0"/>
        </w:tabs>
        <w:jc w:val="left"/>
        <w:rPr>
          <w:rFonts w:ascii="Times New Roman" w:hAnsi="Times New Roman"/>
        </w:rPr>
      </w:pPr>
      <w:bookmarkStart w:id="124" w:name="_Ref23853"/>
      <w:r>
        <w:rPr>
          <w:rFonts w:ascii="宋体" w:hAnsi="宋体" w:cs="宋体"/>
        </w:rPr>
        <w:t>Suzanne P. Mckee and Ken Nakayama. 1984. The detection of motion in the peripheral visual field. Vision Research 24, 1 (1984), 25 – 32. https://doi.org/10.1016/0042- 6989(84)90140-8</w:t>
      </w:r>
      <w:bookmarkEnd w:id="124"/>
    </w:p>
    <w:p w14:paraId="69FD96BC" w14:textId="77777777" w:rsidR="00417D94" w:rsidRDefault="00000000">
      <w:pPr>
        <w:numPr>
          <w:ilvl w:val="0"/>
          <w:numId w:val="13"/>
        </w:numPr>
        <w:tabs>
          <w:tab w:val="left" w:pos="0"/>
        </w:tabs>
        <w:jc w:val="left"/>
        <w:rPr>
          <w:rFonts w:ascii="Times New Roman" w:hAnsi="Times New Roman"/>
        </w:rPr>
      </w:pPr>
      <w:bookmarkStart w:id="125" w:name="_Ref25134"/>
      <w:r>
        <w:rPr>
          <w:rFonts w:ascii="宋体" w:hAnsi="宋体" w:cs="宋体"/>
        </w:rPr>
        <w:t xml:space="preserve">E. Turner, H. Jiang, D. Saint-Macary, and B. Bastani. 2018. Phase-Aligned Foveated Rendering for Virtual Reality Headsets. In </w:t>
      </w:r>
      <w:r>
        <w:rPr>
          <w:rFonts w:ascii="宋体" w:hAnsi="宋体" w:cs="宋体"/>
        </w:rPr>
        <w:lastRenderedPageBreak/>
        <w:t xml:space="preserve">2018 IEEE Conference on Virtual Reality and 3D User Interfaces (VR). IEEE Computer Society, Los Alamitos, CA, USA, 1–2. </w:t>
      </w:r>
      <w:hyperlink r:id="rId41" w:history="1">
        <w:r>
          <w:rPr>
            <w:rStyle w:val="aa"/>
            <w:rFonts w:ascii="宋体" w:hAnsi="宋体" w:cs="宋体"/>
          </w:rPr>
          <w:t>https://doi.org/10.1109/VR.2018.8446142</w:t>
        </w:r>
      </w:hyperlink>
      <w:bookmarkEnd w:id="125"/>
    </w:p>
    <w:p w14:paraId="408CA0E9" w14:textId="77777777" w:rsidR="00417D94" w:rsidRDefault="00000000">
      <w:pPr>
        <w:numPr>
          <w:ilvl w:val="0"/>
          <w:numId w:val="13"/>
        </w:numPr>
        <w:tabs>
          <w:tab w:val="left" w:pos="0"/>
        </w:tabs>
        <w:jc w:val="left"/>
        <w:rPr>
          <w:rFonts w:ascii="Times New Roman" w:hAnsi="Times New Roman"/>
        </w:rPr>
      </w:pPr>
      <w:bookmarkStart w:id="126" w:name="_Ref25503"/>
      <w:r>
        <w:rPr>
          <w:rFonts w:ascii="宋体" w:hAnsi="宋体" w:cs="宋体"/>
        </w:rPr>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126"/>
    </w:p>
    <w:p w14:paraId="6E05D2B9" w14:textId="77777777" w:rsidR="00417D94" w:rsidRDefault="00000000">
      <w:pPr>
        <w:numPr>
          <w:ilvl w:val="0"/>
          <w:numId w:val="13"/>
        </w:numPr>
        <w:tabs>
          <w:tab w:val="left" w:pos="0"/>
        </w:tabs>
        <w:jc w:val="left"/>
        <w:rPr>
          <w:rFonts w:ascii="Times New Roman" w:hAnsi="Times New Roman"/>
        </w:rPr>
      </w:pPr>
      <w:bookmarkStart w:id="127" w:name="_Ref25538"/>
      <w:r>
        <w:rPr>
          <w:rFonts w:ascii="宋体" w:hAnsi="宋体" w:cs="宋体"/>
        </w:rPr>
        <w:t xml:space="preserve">Joerg H. Mueller, Thomas Neff, Philip Voglreiter, Markus Steinberger, and Dieter Schmalstieg. 2021. Temporally Adaptive Shading Reuse for Real-Time Rendering and Virtual Reality. ACM Trans. Graph. 40, 2, Article 11 (April 2021), 14 pages. </w:t>
      </w:r>
      <w:hyperlink r:id="rId42" w:history="1">
        <w:r>
          <w:rPr>
            <w:rStyle w:val="aa"/>
            <w:rFonts w:ascii="宋体" w:hAnsi="宋体" w:cs="宋体"/>
          </w:rPr>
          <w:t>https://doi.org/10.1145/3446790</w:t>
        </w:r>
      </w:hyperlink>
      <w:bookmarkEnd w:id="127"/>
    </w:p>
    <w:p w14:paraId="7071F95E" w14:textId="77777777" w:rsidR="00417D94" w:rsidRDefault="00000000">
      <w:pPr>
        <w:numPr>
          <w:ilvl w:val="0"/>
          <w:numId w:val="13"/>
        </w:numPr>
        <w:tabs>
          <w:tab w:val="left" w:pos="0"/>
        </w:tabs>
        <w:jc w:val="left"/>
        <w:rPr>
          <w:rFonts w:ascii="Times New Roman" w:hAnsi="Times New Roman"/>
        </w:rPr>
      </w:pPr>
      <w:bookmarkStart w:id="128" w:name="_Ref26172"/>
      <w:r>
        <w:rPr>
          <w:rFonts w:ascii="宋体" w:hAnsi="宋体" w:cs="宋体"/>
        </w:rPr>
        <w:t>Brian Karis. 2014. High-quality temporal supersampling. Advances in Real-Time Rendering in Games, SIGGRAPH Courses 1 (2014), 1–55.</w:t>
      </w:r>
      <w:bookmarkEnd w:id="128"/>
    </w:p>
    <w:p w14:paraId="5F787638" w14:textId="77777777" w:rsidR="00417D94" w:rsidRDefault="00417D94">
      <w:pPr>
        <w:numPr>
          <w:ilvl w:val="0"/>
          <w:numId w:val="13"/>
        </w:numPr>
        <w:tabs>
          <w:tab w:val="left" w:pos="0"/>
        </w:tabs>
        <w:jc w:val="left"/>
        <w:rPr>
          <w:rFonts w:ascii="Times New Roman" w:hAnsi="Times New Roman"/>
        </w:rPr>
      </w:pPr>
    </w:p>
    <w:p w14:paraId="2B5C31EA" w14:textId="77777777" w:rsidR="00417D94" w:rsidRDefault="00417D94">
      <w:pPr>
        <w:numPr>
          <w:ilvl w:val="0"/>
          <w:numId w:val="13"/>
        </w:numPr>
        <w:tabs>
          <w:tab w:val="left" w:pos="0"/>
        </w:tabs>
        <w:jc w:val="left"/>
        <w:rPr>
          <w:rFonts w:ascii="Times New Roman" w:hAnsi="Times New Roman"/>
        </w:rPr>
      </w:pPr>
    </w:p>
    <w:p w14:paraId="0AF3A33F" w14:textId="77777777" w:rsidR="00417D94" w:rsidRDefault="00417D94">
      <w:pPr>
        <w:numPr>
          <w:ilvl w:val="0"/>
          <w:numId w:val="13"/>
        </w:numPr>
        <w:tabs>
          <w:tab w:val="left" w:pos="0"/>
        </w:tabs>
        <w:jc w:val="left"/>
        <w:rPr>
          <w:rFonts w:ascii="Times New Roman" w:hAnsi="Times New Roman"/>
        </w:rPr>
      </w:pPr>
    </w:p>
    <w:p w14:paraId="3FCA5512" w14:textId="77777777" w:rsidR="00417D94" w:rsidRDefault="00417D94">
      <w:pPr>
        <w:numPr>
          <w:ilvl w:val="0"/>
          <w:numId w:val="13"/>
        </w:numPr>
        <w:tabs>
          <w:tab w:val="left" w:pos="0"/>
        </w:tabs>
        <w:jc w:val="left"/>
        <w:rPr>
          <w:rFonts w:ascii="Times New Roman" w:hAnsi="Times New Roman"/>
        </w:rPr>
      </w:pPr>
    </w:p>
    <w:p w14:paraId="502E5B52" w14:textId="77777777" w:rsidR="00417D94" w:rsidRDefault="00417D94">
      <w:pPr>
        <w:numPr>
          <w:ilvl w:val="0"/>
          <w:numId w:val="13"/>
        </w:numPr>
        <w:tabs>
          <w:tab w:val="left" w:pos="0"/>
        </w:tabs>
        <w:jc w:val="left"/>
        <w:rPr>
          <w:rFonts w:ascii="Times New Roman" w:hAnsi="Times New Roman"/>
        </w:rPr>
      </w:pPr>
    </w:p>
    <w:p w14:paraId="1D723315" w14:textId="77777777" w:rsidR="00417D94" w:rsidRDefault="00417D94">
      <w:pPr>
        <w:numPr>
          <w:ilvl w:val="0"/>
          <w:numId w:val="13"/>
        </w:numPr>
        <w:tabs>
          <w:tab w:val="left" w:pos="0"/>
        </w:tabs>
        <w:jc w:val="left"/>
        <w:rPr>
          <w:rFonts w:ascii="Times New Roman" w:hAnsi="Times New Roman"/>
        </w:rPr>
      </w:pPr>
    </w:p>
    <w:p w14:paraId="411E5B62" w14:textId="77777777" w:rsidR="00417D94" w:rsidRDefault="00417D94">
      <w:pPr>
        <w:numPr>
          <w:ilvl w:val="0"/>
          <w:numId w:val="13"/>
        </w:numPr>
        <w:tabs>
          <w:tab w:val="left" w:pos="0"/>
        </w:tabs>
        <w:jc w:val="left"/>
        <w:rPr>
          <w:rFonts w:ascii="Times New Roman" w:hAnsi="Times New Roman"/>
        </w:rPr>
      </w:pPr>
    </w:p>
    <w:p w14:paraId="44A4A5A1" w14:textId="77777777" w:rsidR="00417D94" w:rsidRDefault="00417D94">
      <w:pPr>
        <w:numPr>
          <w:ilvl w:val="0"/>
          <w:numId w:val="13"/>
        </w:numPr>
        <w:tabs>
          <w:tab w:val="left" w:pos="0"/>
        </w:tabs>
        <w:rPr>
          <w:rFonts w:ascii="Times New Roman" w:hAnsi="Times New Roman"/>
        </w:rPr>
      </w:pPr>
    </w:p>
    <w:p w14:paraId="7B72E1F5" w14:textId="77777777" w:rsidR="00417D94" w:rsidRDefault="00417D94">
      <w:pPr>
        <w:numPr>
          <w:ilvl w:val="0"/>
          <w:numId w:val="13"/>
        </w:numPr>
        <w:tabs>
          <w:tab w:val="left" w:pos="0"/>
        </w:tabs>
        <w:rPr>
          <w:rFonts w:ascii="Times New Roman" w:hAnsi="Times New Roman"/>
        </w:rPr>
      </w:pPr>
    </w:p>
    <w:p w14:paraId="0153775B" w14:textId="77777777" w:rsidR="00417D94" w:rsidRDefault="00417D94">
      <w:pPr>
        <w:numPr>
          <w:ilvl w:val="0"/>
          <w:numId w:val="13"/>
        </w:numPr>
        <w:tabs>
          <w:tab w:val="left" w:pos="0"/>
        </w:tabs>
        <w:rPr>
          <w:rFonts w:ascii="Times New Roman" w:hAnsi="Times New Roman"/>
        </w:rPr>
      </w:pPr>
    </w:p>
    <w:p w14:paraId="7A16A191" w14:textId="77777777" w:rsidR="00417D94" w:rsidRDefault="00417D94">
      <w:pPr>
        <w:numPr>
          <w:ilvl w:val="0"/>
          <w:numId w:val="13"/>
        </w:numPr>
        <w:tabs>
          <w:tab w:val="left" w:pos="0"/>
        </w:tabs>
        <w:rPr>
          <w:rFonts w:ascii="Times New Roman" w:hAnsi="Times New Roman"/>
        </w:rPr>
      </w:pPr>
    </w:p>
    <w:p w14:paraId="7DC1D2C0" w14:textId="77777777" w:rsidR="00417D94" w:rsidRDefault="00417D94">
      <w:pPr>
        <w:rPr>
          <w:rFonts w:hint="eastAsia"/>
        </w:rPr>
      </w:pPr>
    </w:p>
    <w:p w14:paraId="0FBEFAAD" w14:textId="77777777" w:rsidR="00417D94" w:rsidRDefault="00000000">
      <w:pPr>
        <w:pStyle w:val="1"/>
      </w:pPr>
      <w:bookmarkStart w:id="129" w:name="_Toc8708"/>
      <w:r>
        <w:rPr>
          <w:rFonts w:hint="eastAsia"/>
        </w:rPr>
        <w:lastRenderedPageBreak/>
        <w:t>附录</w:t>
      </w:r>
      <w:bookmarkEnd w:id="129"/>
    </w:p>
    <w:p w14:paraId="2CA37A1E" w14:textId="77777777" w:rsidR="00417D94" w:rsidRDefault="00417D94"/>
    <w:p w14:paraId="16909E61" w14:textId="77777777" w:rsidR="00417D94" w:rsidRDefault="00000000">
      <w:r>
        <w:br w:type="page"/>
      </w:r>
    </w:p>
    <w:p w14:paraId="45189BAC" w14:textId="77777777" w:rsidR="00417D94" w:rsidRDefault="00000000">
      <w:pPr>
        <w:pStyle w:val="1"/>
      </w:pPr>
      <w:bookmarkStart w:id="130" w:name="_Toc27487"/>
      <w:r>
        <w:rPr>
          <w:rFonts w:hint="eastAsia"/>
        </w:rPr>
        <w:lastRenderedPageBreak/>
        <w:t>致谢</w:t>
      </w:r>
      <w:bookmarkEnd w:id="130"/>
    </w:p>
    <w:p w14:paraId="5C18E44F" w14:textId="77777777" w:rsidR="00417D94" w:rsidRDefault="00000000">
      <w:pPr>
        <w:ind w:firstLine="420"/>
      </w:pPr>
      <w:r>
        <w:rPr>
          <w:rFonts w:hint="eastAsia"/>
        </w:rPr>
        <w:t>衷心感谢我的导师黄石老师在我撰写本篇硕士论文过程中所给予的悉心指导和宝贵意见。黄老师的严谨学风和深厚学识不仅在学术上给予了我极大的帮助，也在人生观和价值观的形成上产生了深远的影响。</w:t>
      </w:r>
    </w:p>
    <w:p w14:paraId="41FB87D6" w14:textId="77777777" w:rsidR="00417D94" w:rsidRDefault="00000000">
      <w:pPr>
        <w:ind w:firstLine="420"/>
      </w:pPr>
      <w:r>
        <w:rPr>
          <w:rFonts w:hint="eastAsia"/>
        </w:rPr>
        <w:t>同时，我也要特别感谢费广正老师和韩红雷老师。通过他们的教诲，我学习到了许多专业技能，也领悟了学术探究的真谛。两位老师认真负责的工作态度和对待学生的关爱，将永远激励我在今后的道路上不断前进。</w:t>
      </w:r>
    </w:p>
    <w:p w14:paraId="6996EE1D" w14:textId="77777777" w:rsidR="00417D94" w:rsidRDefault="00000000">
      <w:pPr>
        <w:ind w:firstLine="420"/>
      </w:pPr>
      <w:r>
        <w:rPr>
          <w:rFonts w:hint="eastAsia"/>
        </w:rPr>
        <w:t>我还要感谢我的师兄周威，他在我遇到困难和挑战时总是不吝啬给予我指导和建议，帮助我渡过难关。他的经验和智慧对我的研究进程有着不可忽视的促进作用。</w:t>
      </w:r>
    </w:p>
    <w:p w14:paraId="5E39B26A" w14:textId="77777777" w:rsidR="00417D94" w:rsidRDefault="00000000">
      <w:pPr>
        <w:ind w:firstLine="420"/>
      </w:pPr>
      <w:r>
        <w:rPr>
          <w:rFonts w:hint="eastAsia"/>
        </w:rPr>
        <w:t>对我的同学高越、徐啸迪和李斯濠，我同样充满感激之情。在这段求学之旅中，与他们的互帮互助和共同讨论不仅丰富了我的学术视角，也让我在精神上得到了极大的支持和鼓舞。我们彼此分享的知识和快乐时光，将成为我珍贵的记忆。</w:t>
      </w:r>
    </w:p>
    <w:p w14:paraId="667E6B37" w14:textId="77777777" w:rsidR="00417D94" w:rsidRDefault="00000000">
      <w:pPr>
        <w:ind w:firstLine="420"/>
      </w:pPr>
      <w:r>
        <w:rPr>
          <w:rFonts w:hint="eastAsia"/>
        </w:rPr>
        <w:t>我还要感谢动画学院提供的学习平台和资源，在这样的环境下，我有机会接触到最前沿的知识和技术，满足我对知识的求索和对艺术的追求。</w:t>
      </w:r>
    </w:p>
    <w:p w14:paraId="1AE40D9A" w14:textId="77777777" w:rsidR="00417D94" w:rsidRDefault="00000000">
      <w:pPr>
        <w:ind w:firstLine="420"/>
      </w:pPr>
      <w:r>
        <w:rPr>
          <w:rFonts w:hint="eastAsia"/>
        </w:rPr>
        <w:t>最后，我要向在我学业和生活各个阶段始终支持和鼓励我的父母表示最诚挚的感谢。没有他们无私的奉献和耐心的支持，就没有我今天的成就。他们不仅是我的坚强后盾，更是我前进道路上的指南灯。</w:t>
      </w:r>
    </w:p>
    <w:p w14:paraId="7F168ED5" w14:textId="53901DAC" w:rsidR="00417D94" w:rsidRDefault="00000000" w:rsidP="006739F7">
      <w:pPr>
        <w:ind w:firstLine="420"/>
        <w:rPr>
          <w:rFonts w:hint="eastAsia"/>
        </w:rPr>
      </w:pPr>
      <w:r>
        <w:rPr>
          <w:rFonts w:hint="eastAsia"/>
        </w:rPr>
        <w:t>再次感谢所有帮助、关心和支持我的人。是你们的帮助和鼓励，让我在学术海洋中乘风破浪，勇往直前。</w:t>
      </w:r>
    </w:p>
    <w:sectPr w:rsidR="00417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AE27" w14:textId="77777777" w:rsidR="005C2F99" w:rsidRDefault="005C2F99">
      <w:pPr>
        <w:spacing w:line="240" w:lineRule="auto"/>
      </w:pPr>
      <w:r>
        <w:separator/>
      </w:r>
    </w:p>
  </w:endnote>
  <w:endnote w:type="continuationSeparator" w:id="0">
    <w:p w14:paraId="2C57ADD8" w14:textId="77777777" w:rsidR="005C2F99" w:rsidRDefault="005C2F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3322D" w14:textId="77777777" w:rsidR="005C2F99" w:rsidRDefault="005C2F99">
      <w:pPr>
        <w:spacing w:before="0" w:after="0" w:line="240" w:lineRule="auto"/>
      </w:pPr>
      <w:r>
        <w:separator/>
      </w:r>
    </w:p>
  </w:footnote>
  <w:footnote w:type="continuationSeparator" w:id="0">
    <w:p w14:paraId="354C4B48" w14:textId="77777777" w:rsidR="005C2F99" w:rsidRDefault="005C2F9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D32"/>
    <w:multiLevelType w:val="multilevel"/>
    <w:tmpl w:val="03A62D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176730"/>
    <w:multiLevelType w:val="multilevel"/>
    <w:tmpl w:val="0D17673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B9F619F"/>
    <w:multiLevelType w:val="multilevel"/>
    <w:tmpl w:val="1B9F61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8F75AB"/>
    <w:multiLevelType w:val="multilevel"/>
    <w:tmpl w:val="1F8F7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73E1DF4"/>
    <w:multiLevelType w:val="multilevel"/>
    <w:tmpl w:val="273E1D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02F410A"/>
    <w:multiLevelType w:val="multilevel"/>
    <w:tmpl w:val="302F4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4142231"/>
    <w:multiLevelType w:val="multilevel"/>
    <w:tmpl w:val="341422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abstractNum w:abstractNumId="8" w15:restartNumberingAfterBreak="0">
    <w:nsid w:val="4BBB04DE"/>
    <w:multiLevelType w:val="multilevel"/>
    <w:tmpl w:val="4BBB04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EA47913"/>
    <w:multiLevelType w:val="multilevel"/>
    <w:tmpl w:val="5EA4791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11105B7"/>
    <w:multiLevelType w:val="multilevel"/>
    <w:tmpl w:val="611105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F65404D"/>
    <w:multiLevelType w:val="multilevel"/>
    <w:tmpl w:val="6F65404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6A576D2"/>
    <w:multiLevelType w:val="multilevel"/>
    <w:tmpl w:val="76A576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16081870">
    <w:abstractNumId w:val="4"/>
  </w:num>
  <w:num w:numId="2" w16cid:durableId="361906417">
    <w:abstractNumId w:val="10"/>
  </w:num>
  <w:num w:numId="3" w16cid:durableId="1168474078">
    <w:abstractNumId w:val="1"/>
  </w:num>
  <w:num w:numId="4" w16cid:durableId="1513884688">
    <w:abstractNumId w:val="6"/>
  </w:num>
  <w:num w:numId="5" w16cid:durableId="154103970">
    <w:abstractNumId w:val="3"/>
  </w:num>
  <w:num w:numId="6" w16cid:durableId="2015068036">
    <w:abstractNumId w:val="11"/>
  </w:num>
  <w:num w:numId="7" w16cid:durableId="1612321654">
    <w:abstractNumId w:val="8"/>
  </w:num>
  <w:num w:numId="8" w16cid:durableId="582182539">
    <w:abstractNumId w:val="0"/>
  </w:num>
  <w:num w:numId="9" w16cid:durableId="1447114652">
    <w:abstractNumId w:val="9"/>
  </w:num>
  <w:num w:numId="10" w16cid:durableId="2139491962">
    <w:abstractNumId w:val="5"/>
  </w:num>
  <w:num w:numId="11" w16cid:durableId="1208834848">
    <w:abstractNumId w:val="12"/>
  </w:num>
  <w:num w:numId="12" w16cid:durableId="2144034990">
    <w:abstractNumId w:val="2"/>
  </w:num>
  <w:num w:numId="13" w16cid:durableId="1922056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4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06206"/>
    <w:rsid w:val="00011141"/>
    <w:rsid w:val="00026ABA"/>
    <w:rsid w:val="00036DAC"/>
    <w:rsid w:val="00036F3D"/>
    <w:rsid w:val="000430DD"/>
    <w:rsid w:val="00047728"/>
    <w:rsid w:val="00051E34"/>
    <w:rsid w:val="00061161"/>
    <w:rsid w:val="0006431D"/>
    <w:rsid w:val="0006517B"/>
    <w:rsid w:val="00071723"/>
    <w:rsid w:val="000744C8"/>
    <w:rsid w:val="00077438"/>
    <w:rsid w:val="00096378"/>
    <w:rsid w:val="000A317D"/>
    <w:rsid w:val="000A4E83"/>
    <w:rsid w:val="000A7331"/>
    <w:rsid w:val="000B0A37"/>
    <w:rsid w:val="000B34C0"/>
    <w:rsid w:val="000B6903"/>
    <w:rsid w:val="000C0288"/>
    <w:rsid w:val="000C2940"/>
    <w:rsid w:val="000C7C3F"/>
    <w:rsid w:val="000D50BC"/>
    <w:rsid w:val="000D5BE8"/>
    <w:rsid w:val="000D6D10"/>
    <w:rsid w:val="000E1A86"/>
    <w:rsid w:val="000E2D21"/>
    <w:rsid w:val="000E3B24"/>
    <w:rsid w:val="000E44EA"/>
    <w:rsid w:val="000E54C2"/>
    <w:rsid w:val="000E5BF8"/>
    <w:rsid w:val="001022DD"/>
    <w:rsid w:val="00104EC7"/>
    <w:rsid w:val="001165BC"/>
    <w:rsid w:val="00130241"/>
    <w:rsid w:val="00141894"/>
    <w:rsid w:val="0014532D"/>
    <w:rsid w:val="001549EF"/>
    <w:rsid w:val="00154AF7"/>
    <w:rsid w:val="00163726"/>
    <w:rsid w:val="0016606A"/>
    <w:rsid w:val="00167537"/>
    <w:rsid w:val="00170CF3"/>
    <w:rsid w:val="0018489D"/>
    <w:rsid w:val="00186DFF"/>
    <w:rsid w:val="001928BE"/>
    <w:rsid w:val="00192AE1"/>
    <w:rsid w:val="00197ADC"/>
    <w:rsid w:val="001A3558"/>
    <w:rsid w:val="001A7BD5"/>
    <w:rsid w:val="001B6D72"/>
    <w:rsid w:val="001D6C47"/>
    <w:rsid w:val="001E04CD"/>
    <w:rsid w:val="001F5AA4"/>
    <w:rsid w:val="002005D3"/>
    <w:rsid w:val="00202F3B"/>
    <w:rsid w:val="00215DDC"/>
    <w:rsid w:val="00220812"/>
    <w:rsid w:val="00221CC6"/>
    <w:rsid w:val="00227742"/>
    <w:rsid w:val="00227D9C"/>
    <w:rsid w:val="002322B5"/>
    <w:rsid w:val="00232F1A"/>
    <w:rsid w:val="00234287"/>
    <w:rsid w:val="00250424"/>
    <w:rsid w:val="00252860"/>
    <w:rsid w:val="002554CD"/>
    <w:rsid w:val="00260B70"/>
    <w:rsid w:val="00265E5B"/>
    <w:rsid w:val="002666C2"/>
    <w:rsid w:val="0027551D"/>
    <w:rsid w:val="00281A37"/>
    <w:rsid w:val="00296497"/>
    <w:rsid w:val="002A1037"/>
    <w:rsid w:val="002A4075"/>
    <w:rsid w:val="002B34DF"/>
    <w:rsid w:val="002C7EA6"/>
    <w:rsid w:val="002D17B2"/>
    <w:rsid w:val="002E0224"/>
    <w:rsid w:val="002E316A"/>
    <w:rsid w:val="002F4245"/>
    <w:rsid w:val="00300532"/>
    <w:rsid w:val="003024E6"/>
    <w:rsid w:val="0030289D"/>
    <w:rsid w:val="003029AD"/>
    <w:rsid w:val="00310618"/>
    <w:rsid w:val="00311DF6"/>
    <w:rsid w:val="00311F3B"/>
    <w:rsid w:val="00312C72"/>
    <w:rsid w:val="00314879"/>
    <w:rsid w:val="00315C89"/>
    <w:rsid w:val="003203CA"/>
    <w:rsid w:val="00321A1E"/>
    <w:rsid w:val="00325D95"/>
    <w:rsid w:val="00335848"/>
    <w:rsid w:val="003404B7"/>
    <w:rsid w:val="00353653"/>
    <w:rsid w:val="00362E1B"/>
    <w:rsid w:val="00363FD8"/>
    <w:rsid w:val="00366672"/>
    <w:rsid w:val="00372D57"/>
    <w:rsid w:val="00375DBD"/>
    <w:rsid w:val="00377FC1"/>
    <w:rsid w:val="00387295"/>
    <w:rsid w:val="00390716"/>
    <w:rsid w:val="00397FA6"/>
    <w:rsid w:val="003A43AC"/>
    <w:rsid w:val="003A68A8"/>
    <w:rsid w:val="003B473F"/>
    <w:rsid w:val="003B5ED5"/>
    <w:rsid w:val="003B7039"/>
    <w:rsid w:val="003C0E76"/>
    <w:rsid w:val="003C1F5A"/>
    <w:rsid w:val="003C2533"/>
    <w:rsid w:val="003C5560"/>
    <w:rsid w:val="003D3ACA"/>
    <w:rsid w:val="003E1CB3"/>
    <w:rsid w:val="003F3D53"/>
    <w:rsid w:val="00404618"/>
    <w:rsid w:val="00417D94"/>
    <w:rsid w:val="004336E6"/>
    <w:rsid w:val="00436324"/>
    <w:rsid w:val="0043734E"/>
    <w:rsid w:val="00440735"/>
    <w:rsid w:val="00443685"/>
    <w:rsid w:val="00443C53"/>
    <w:rsid w:val="004471E4"/>
    <w:rsid w:val="0045031C"/>
    <w:rsid w:val="00461BE2"/>
    <w:rsid w:val="004625DB"/>
    <w:rsid w:val="00465D0B"/>
    <w:rsid w:val="00473F66"/>
    <w:rsid w:val="00490149"/>
    <w:rsid w:val="004A2024"/>
    <w:rsid w:val="004A48AE"/>
    <w:rsid w:val="004A4983"/>
    <w:rsid w:val="004B015F"/>
    <w:rsid w:val="004B2984"/>
    <w:rsid w:val="004B2AD2"/>
    <w:rsid w:val="004B6D46"/>
    <w:rsid w:val="004C0FAF"/>
    <w:rsid w:val="004C690B"/>
    <w:rsid w:val="004E0312"/>
    <w:rsid w:val="004E2901"/>
    <w:rsid w:val="004E3C9D"/>
    <w:rsid w:val="004E54B2"/>
    <w:rsid w:val="004F68E7"/>
    <w:rsid w:val="004F6D11"/>
    <w:rsid w:val="004F7031"/>
    <w:rsid w:val="00502F2D"/>
    <w:rsid w:val="00512CBA"/>
    <w:rsid w:val="00513212"/>
    <w:rsid w:val="00513E64"/>
    <w:rsid w:val="00514230"/>
    <w:rsid w:val="005142CE"/>
    <w:rsid w:val="00527BE4"/>
    <w:rsid w:val="00532100"/>
    <w:rsid w:val="00544CB2"/>
    <w:rsid w:val="00545E33"/>
    <w:rsid w:val="00546C38"/>
    <w:rsid w:val="00570409"/>
    <w:rsid w:val="005757F2"/>
    <w:rsid w:val="00586D2B"/>
    <w:rsid w:val="00587AFD"/>
    <w:rsid w:val="005955E6"/>
    <w:rsid w:val="0059623F"/>
    <w:rsid w:val="005B4A4F"/>
    <w:rsid w:val="005C041B"/>
    <w:rsid w:val="005C1B26"/>
    <w:rsid w:val="005C1ECC"/>
    <w:rsid w:val="005C2819"/>
    <w:rsid w:val="005C2F99"/>
    <w:rsid w:val="005C38B3"/>
    <w:rsid w:val="005C44AD"/>
    <w:rsid w:val="005C769E"/>
    <w:rsid w:val="005D1C8C"/>
    <w:rsid w:val="005D2417"/>
    <w:rsid w:val="005D5978"/>
    <w:rsid w:val="005D5D8A"/>
    <w:rsid w:val="005E0019"/>
    <w:rsid w:val="005E08D7"/>
    <w:rsid w:val="005F4C4C"/>
    <w:rsid w:val="006069D7"/>
    <w:rsid w:val="00606E57"/>
    <w:rsid w:val="00610E2E"/>
    <w:rsid w:val="006113C5"/>
    <w:rsid w:val="00611B47"/>
    <w:rsid w:val="00616C35"/>
    <w:rsid w:val="00617F49"/>
    <w:rsid w:val="00621530"/>
    <w:rsid w:val="0062467D"/>
    <w:rsid w:val="0063253D"/>
    <w:rsid w:val="00632F7C"/>
    <w:rsid w:val="00650C5C"/>
    <w:rsid w:val="00653B97"/>
    <w:rsid w:val="00655A17"/>
    <w:rsid w:val="00655C8F"/>
    <w:rsid w:val="00666D1F"/>
    <w:rsid w:val="006713DB"/>
    <w:rsid w:val="006739F7"/>
    <w:rsid w:val="00682B08"/>
    <w:rsid w:val="0068397E"/>
    <w:rsid w:val="006839CD"/>
    <w:rsid w:val="006851D8"/>
    <w:rsid w:val="006878A8"/>
    <w:rsid w:val="00687FB2"/>
    <w:rsid w:val="00694A65"/>
    <w:rsid w:val="006B3201"/>
    <w:rsid w:val="006B7549"/>
    <w:rsid w:val="006B78A8"/>
    <w:rsid w:val="006D1D7A"/>
    <w:rsid w:val="006D359D"/>
    <w:rsid w:val="006D4813"/>
    <w:rsid w:val="006D5840"/>
    <w:rsid w:val="006F2D22"/>
    <w:rsid w:val="006F542B"/>
    <w:rsid w:val="006F6EDB"/>
    <w:rsid w:val="00700338"/>
    <w:rsid w:val="007031CE"/>
    <w:rsid w:val="00712F16"/>
    <w:rsid w:val="0071534F"/>
    <w:rsid w:val="00715789"/>
    <w:rsid w:val="00717CE6"/>
    <w:rsid w:val="00721C51"/>
    <w:rsid w:val="00725714"/>
    <w:rsid w:val="00732CE0"/>
    <w:rsid w:val="0074535F"/>
    <w:rsid w:val="00754501"/>
    <w:rsid w:val="007573FB"/>
    <w:rsid w:val="00765790"/>
    <w:rsid w:val="00770CCD"/>
    <w:rsid w:val="00770CEA"/>
    <w:rsid w:val="007723AA"/>
    <w:rsid w:val="007727FB"/>
    <w:rsid w:val="00775E5F"/>
    <w:rsid w:val="00793A8B"/>
    <w:rsid w:val="00794C1B"/>
    <w:rsid w:val="00796393"/>
    <w:rsid w:val="007A61CB"/>
    <w:rsid w:val="007A6E32"/>
    <w:rsid w:val="007A7A75"/>
    <w:rsid w:val="007B2E26"/>
    <w:rsid w:val="007B7D40"/>
    <w:rsid w:val="007D0463"/>
    <w:rsid w:val="007D6E73"/>
    <w:rsid w:val="007E7521"/>
    <w:rsid w:val="007E7750"/>
    <w:rsid w:val="007F2CC5"/>
    <w:rsid w:val="007F60CE"/>
    <w:rsid w:val="007F7E39"/>
    <w:rsid w:val="007F7EBC"/>
    <w:rsid w:val="00800926"/>
    <w:rsid w:val="008018EE"/>
    <w:rsid w:val="008036F4"/>
    <w:rsid w:val="00803896"/>
    <w:rsid w:val="00804973"/>
    <w:rsid w:val="008132D0"/>
    <w:rsid w:val="008152E3"/>
    <w:rsid w:val="00820EDF"/>
    <w:rsid w:val="00821293"/>
    <w:rsid w:val="00822BA5"/>
    <w:rsid w:val="0082505F"/>
    <w:rsid w:val="00831F37"/>
    <w:rsid w:val="00833581"/>
    <w:rsid w:val="0084339E"/>
    <w:rsid w:val="00850C97"/>
    <w:rsid w:val="00857926"/>
    <w:rsid w:val="00870928"/>
    <w:rsid w:val="00870CFD"/>
    <w:rsid w:val="00873BF7"/>
    <w:rsid w:val="00884BFA"/>
    <w:rsid w:val="00885C9A"/>
    <w:rsid w:val="008922D4"/>
    <w:rsid w:val="008926CF"/>
    <w:rsid w:val="0089482B"/>
    <w:rsid w:val="00895BC5"/>
    <w:rsid w:val="008B0A0C"/>
    <w:rsid w:val="008B4BD0"/>
    <w:rsid w:val="008B54FE"/>
    <w:rsid w:val="008B60CF"/>
    <w:rsid w:val="008C297F"/>
    <w:rsid w:val="008D7134"/>
    <w:rsid w:val="008E5678"/>
    <w:rsid w:val="008E609B"/>
    <w:rsid w:val="008E7990"/>
    <w:rsid w:val="008F2A41"/>
    <w:rsid w:val="008F3088"/>
    <w:rsid w:val="008F4024"/>
    <w:rsid w:val="008F530B"/>
    <w:rsid w:val="00904E4F"/>
    <w:rsid w:val="00910602"/>
    <w:rsid w:val="009239FC"/>
    <w:rsid w:val="00923B2D"/>
    <w:rsid w:val="0093463D"/>
    <w:rsid w:val="009379A0"/>
    <w:rsid w:val="00947C18"/>
    <w:rsid w:val="00947D23"/>
    <w:rsid w:val="00956C0B"/>
    <w:rsid w:val="00960B32"/>
    <w:rsid w:val="00971E68"/>
    <w:rsid w:val="009741BE"/>
    <w:rsid w:val="00981BDB"/>
    <w:rsid w:val="009877D4"/>
    <w:rsid w:val="00987C00"/>
    <w:rsid w:val="00993F87"/>
    <w:rsid w:val="009970E5"/>
    <w:rsid w:val="009A3503"/>
    <w:rsid w:val="009A3D4D"/>
    <w:rsid w:val="009A3F78"/>
    <w:rsid w:val="009A574A"/>
    <w:rsid w:val="009B4602"/>
    <w:rsid w:val="009C0885"/>
    <w:rsid w:val="009C272A"/>
    <w:rsid w:val="009C5FC1"/>
    <w:rsid w:val="009D1D13"/>
    <w:rsid w:val="009D2B5C"/>
    <w:rsid w:val="009D6C0A"/>
    <w:rsid w:val="009E082E"/>
    <w:rsid w:val="009F32E5"/>
    <w:rsid w:val="009F4F69"/>
    <w:rsid w:val="009F5FE0"/>
    <w:rsid w:val="009F639D"/>
    <w:rsid w:val="00A14C99"/>
    <w:rsid w:val="00A27DBF"/>
    <w:rsid w:val="00A3052C"/>
    <w:rsid w:val="00A30B5C"/>
    <w:rsid w:val="00A30DA5"/>
    <w:rsid w:val="00A33E3B"/>
    <w:rsid w:val="00A4188B"/>
    <w:rsid w:val="00A45747"/>
    <w:rsid w:val="00A46A6D"/>
    <w:rsid w:val="00A46D41"/>
    <w:rsid w:val="00A70830"/>
    <w:rsid w:val="00A71768"/>
    <w:rsid w:val="00A83EF8"/>
    <w:rsid w:val="00A84357"/>
    <w:rsid w:val="00A851E1"/>
    <w:rsid w:val="00A91626"/>
    <w:rsid w:val="00A92064"/>
    <w:rsid w:val="00AA1F35"/>
    <w:rsid w:val="00AA2567"/>
    <w:rsid w:val="00AA4DC7"/>
    <w:rsid w:val="00AA7BC4"/>
    <w:rsid w:val="00AC5B85"/>
    <w:rsid w:val="00AC638B"/>
    <w:rsid w:val="00AE145B"/>
    <w:rsid w:val="00B00BA4"/>
    <w:rsid w:val="00B02163"/>
    <w:rsid w:val="00B0501E"/>
    <w:rsid w:val="00B070B0"/>
    <w:rsid w:val="00B269D5"/>
    <w:rsid w:val="00B271ED"/>
    <w:rsid w:val="00B3399E"/>
    <w:rsid w:val="00B4241C"/>
    <w:rsid w:val="00B45FE0"/>
    <w:rsid w:val="00B46C62"/>
    <w:rsid w:val="00B525FE"/>
    <w:rsid w:val="00B52858"/>
    <w:rsid w:val="00B655F4"/>
    <w:rsid w:val="00B72693"/>
    <w:rsid w:val="00B73276"/>
    <w:rsid w:val="00B8320D"/>
    <w:rsid w:val="00B841A9"/>
    <w:rsid w:val="00B87A8B"/>
    <w:rsid w:val="00B87D12"/>
    <w:rsid w:val="00B93028"/>
    <w:rsid w:val="00BB4224"/>
    <w:rsid w:val="00BB6F6C"/>
    <w:rsid w:val="00BC3C5E"/>
    <w:rsid w:val="00BC59A1"/>
    <w:rsid w:val="00BC5EA0"/>
    <w:rsid w:val="00BC6214"/>
    <w:rsid w:val="00BD5CC7"/>
    <w:rsid w:val="00BD7290"/>
    <w:rsid w:val="00BF03E0"/>
    <w:rsid w:val="00BF05B5"/>
    <w:rsid w:val="00BF1FCF"/>
    <w:rsid w:val="00C0147E"/>
    <w:rsid w:val="00C0215B"/>
    <w:rsid w:val="00C031BD"/>
    <w:rsid w:val="00C141F0"/>
    <w:rsid w:val="00C15ED6"/>
    <w:rsid w:val="00C3491C"/>
    <w:rsid w:val="00C5181F"/>
    <w:rsid w:val="00C714BA"/>
    <w:rsid w:val="00C86708"/>
    <w:rsid w:val="00C95B11"/>
    <w:rsid w:val="00CC3F9E"/>
    <w:rsid w:val="00CC7CC4"/>
    <w:rsid w:val="00CD254C"/>
    <w:rsid w:val="00CE073C"/>
    <w:rsid w:val="00CE24D2"/>
    <w:rsid w:val="00CE7002"/>
    <w:rsid w:val="00D15B40"/>
    <w:rsid w:val="00D16427"/>
    <w:rsid w:val="00D33929"/>
    <w:rsid w:val="00D51B88"/>
    <w:rsid w:val="00D53E01"/>
    <w:rsid w:val="00D54650"/>
    <w:rsid w:val="00D6031D"/>
    <w:rsid w:val="00D6142A"/>
    <w:rsid w:val="00D636C2"/>
    <w:rsid w:val="00D752C3"/>
    <w:rsid w:val="00D818FC"/>
    <w:rsid w:val="00D90218"/>
    <w:rsid w:val="00D93049"/>
    <w:rsid w:val="00DA0419"/>
    <w:rsid w:val="00DC4554"/>
    <w:rsid w:val="00DD3822"/>
    <w:rsid w:val="00DE3092"/>
    <w:rsid w:val="00DE6654"/>
    <w:rsid w:val="00E039D0"/>
    <w:rsid w:val="00E042F7"/>
    <w:rsid w:val="00E07E4E"/>
    <w:rsid w:val="00E14DD0"/>
    <w:rsid w:val="00E179F8"/>
    <w:rsid w:val="00E30626"/>
    <w:rsid w:val="00E3224B"/>
    <w:rsid w:val="00E4140D"/>
    <w:rsid w:val="00E51424"/>
    <w:rsid w:val="00E60B17"/>
    <w:rsid w:val="00E63766"/>
    <w:rsid w:val="00E650E6"/>
    <w:rsid w:val="00E708E5"/>
    <w:rsid w:val="00E70B06"/>
    <w:rsid w:val="00E81BB1"/>
    <w:rsid w:val="00E82D44"/>
    <w:rsid w:val="00E94D18"/>
    <w:rsid w:val="00EA43DC"/>
    <w:rsid w:val="00EA4971"/>
    <w:rsid w:val="00EA5F6F"/>
    <w:rsid w:val="00EA604E"/>
    <w:rsid w:val="00EB40A3"/>
    <w:rsid w:val="00EB5BC2"/>
    <w:rsid w:val="00EB6597"/>
    <w:rsid w:val="00EC67AD"/>
    <w:rsid w:val="00EC6EA1"/>
    <w:rsid w:val="00ED4015"/>
    <w:rsid w:val="00ED5F8E"/>
    <w:rsid w:val="00EF0FCD"/>
    <w:rsid w:val="00EF1395"/>
    <w:rsid w:val="00EF7A2B"/>
    <w:rsid w:val="00F021F4"/>
    <w:rsid w:val="00F04E30"/>
    <w:rsid w:val="00F057D6"/>
    <w:rsid w:val="00F06C46"/>
    <w:rsid w:val="00F240F6"/>
    <w:rsid w:val="00F34B98"/>
    <w:rsid w:val="00F41F47"/>
    <w:rsid w:val="00F4257D"/>
    <w:rsid w:val="00F4293F"/>
    <w:rsid w:val="00F54725"/>
    <w:rsid w:val="00F67B55"/>
    <w:rsid w:val="00F84D9C"/>
    <w:rsid w:val="00F917A6"/>
    <w:rsid w:val="00F92756"/>
    <w:rsid w:val="00F92C5C"/>
    <w:rsid w:val="00F94B8A"/>
    <w:rsid w:val="00FA0EF0"/>
    <w:rsid w:val="00FA1F3F"/>
    <w:rsid w:val="00FA56BE"/>
    <w:rsid w:val="00FB2022"/>
    <w:rsid w:val="00FC4B43"/>
    <w:rsid w:val="00FC71B7"/>
    <w:rsid w:val="00FE0342"/>
    <w:rsid w:val="00FE304F"/>
    <w:rsid w:val="00FE33B3"/>
    <w:rsid w:val="00FF70BD"/>
    <w:rsid w:val="017D58B3"/>
    <w:rsid w:val="01C340C6"/>
    <w:rsid w:val="028B6646"/>
    <w:rsid w:val="03633DA0"/>
    <w:rsid w:val="03C266A3"/>
    <w:rsid w:val="04935CE7"/>
    <w:rsid w:val="0585692B"/>
    <w:rsid w:val="07422681"/>
    <w:rsid w:val="07DD6E72"/>
    <w:rsid w:val="09500804"/>
    <w:rsid w:val="0A6E5533"/>
    <w:rsid w:val="0A890064"/>
    <w:rsid w:val="0AA74DF8"/>
    <w:rsid w:val="0BB02EC0"/>
    <w:rsid w:val="0E2C7BD1"/>
    <w:rsid w:val="0E614164"/>
    <w:rsid w:val="0E7E40C2"/>
    <w:rsid w:val="0F7F4595"/>
    <w:rsid w:val="100F5B75"/>
    <w:rsid w:val="11352442"/>
    <w:rsid w:val="12190F2C"/>
    <w:rsid w:val="128E7C31"/>
    <w:rsid w:val="13A44AF9"/>
    <w:rsid w:val="14300EAC"/>
    <w:rsid w:val="14413B07"/>
    <w:rsid w:val="15010187"/>
    <w:rsid w:val="150D2DE0"/>
    <w:rsid w:val="155835DB"/>
    <w:rsid w:val="16541B52"/>
    <w:rsid w:val="18470E5D"/>
    <w:rsid w:val="1886196B"/>
    <w:rsid w:val="199C1D9B"/>
    <w:rsid w:val="1A74451A"/>
    <w:rsid w:val="1A773D41"/>
    <w:rsid w:val="1CC06611"/>
    <w:rsid w:val="1CED1E4C"/>
    <w:rsid w:val="1CFC04DA"/>
    <w:rsid w:val="1D130593"/>
    <w:rsid w:val="1DF3456E"/>
    <w:rsid w:val="208F007F"/>
    <w:rsid w:val="211C4FE3"/>
    <w:rsid w:val="23BF7F4D"/>
    <w:rsid w:val="2417197C"/>
    <w:rsid w:val="2503044D"/>
    <w:rsid w:val="25496D80"/>
    <w:rsid w:val="255D0A7D"/>
    <w:rsid w:val="257677FF"/>
    <w:rsid w:val="2593624D"/>
    <w:rsid w:val="287166FE"/>
    <w:rsid w:val="29310068"/>
    <w:rsid w:val="2A0232CF"/>
    <w:rsid w:val="2A8975F4"/>
    <w:rsid w:val="2A907A5B"/>
    <w:rsid w:val="2C3D3304"/>
    <w:rsid w:val="2C7164A6"/>
    <w:rsid w:val="2C786E21"/>
    <w:rsid w:val="2CA71937"/>
    <w:rsid w:val="2D0503EE"/>
    <w:rsid w:val="2F1F1A1F"/>
    <w:rsid w:val="2F33753F"/>
    <w:rsid w:val="30493B53"/>
    <w:rsid w:val="30590337"/>
    <w:rsid w:val="308C1127"/>
    <w:rsid w:val="31333DAD"/>
    <w:rsid w:val="31B50523"/>
    <w:rsid w:val="327F07E8"/>
    <w:rsid w:val="330D6B9D"/>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5C68FC"/>
    <w:rsid w:val="3C90729F"/>
    <w:rsid w:val="3C9C22C8"/>
    <w:rsid w:val="3DEC343C"/>
    <w:rsid w:val="3E7911B1"/>
    <w:rsid w:val="3EF765BF"/>
    <w:rsid w:val="3F6F12DD"/>
    <w:rsid w:val="3FD672AB"/>
    <w:rsid w:val="40865399"/>
    <w:rsid w:val="428234E7"/>
    <w:rsid w:val="4370591E"/>
    <w:rsid w:val="442B4905"/>
    <w:rsid w:val="442B73AA"/>
    <w:rsid w:val="45723C79"/>
    <w:rsid w:val="46D27A3E"/>
    <w:rsid w:val="46DA15BE"/>
    <w:rsid w:val="48380732"/>
    <w:rsid w:val="48405081"/>
    <w:rsid w:val="485B4FD0"/>
    <w:rsid w:val="49EC45A5"/>
    <w:rsid w:val="4B2B53D7"/>
    <w:rsid w:val="4B4B7E3A"/>
    <w:rsid w:val="4C79047C"/>
    <w:rsid w:val="4CBD7ED0"/>
    <w:rsid w:val="4E1E3A5A"/>
    <w:rsid w:val="502B6F59"/>
    <w:rsid w:val="50AA13C0"/>
    <w:rsid w:val="50AD3ADF"/>
    <w:rsid w:val="51E412AE"/>
    <w:rsid w:val="524D28FD"/>
    <w:rsid w:val="52932646"/>
    <w:rsid w:val="52A13090"/>
    <w:rsid w:val="56910414"/>
    <w:rsid w:val="56C03B12"/>
    <w:rsid w:val="56DD2AE2"/>
    <w:rsid w:val="57B61CA1"/>
    <w:rsid w:val="5B4F207F"/>
    <w:rsid w:val="5C10027F"/>
    <w:rsid w:val="5C192FB1"/>
    <w:rsid w:val="5C1B7F43"/>
    <w:rsid w:val="5C727699"/>
    <w:rsid w:val="5CAA4F83"/>
    <w:rsid w:val="5EC05E3B"/>
    <w:rsid w:val="5EDA2CA7"/>
    <w:rsid w:val="6073411A"/>
    <w:rsid w:val="608C2F24"/>
    <w:rsid w:val="60BF2946"/>
    <w:rsid w:val="62E05628"/>
    <w:rsid w:val="635556BE"/>
    <w:rsid w:val="63974C92"/>
    <w:rsid w:val="645369EF"/>
    <w:rsid w:val="663E2EB6"/>
    <w:rsid w:val="672A2CC0"/>
    <w:rsid w:val="68B06EC3"/>
    <w:rsid w:val="690068CF"/>
    <w:rsid w:val="6A714F4F"/>
    <w:rsid w:val="6AB9525A"/>
    <w:rsid w:val="6B3B4041"/>
    <w:rsid w:val="6E237BE1"/>
    <w:rsid w:val="6E646091"/>
    <w:rsid w:val="70D73BE2"/>
    <w:rsid w:val="715716B4"/>
    <w:rsid w:val="71F847E1"/>
    <w:rsid w:val="721A6842"/>
    <w:rsid w:val="72F2072C"/>
    <w:rsid w:val="741C1BB4"/>
    <w:rsid w:val="744074D5"/>
    <w:rsid w:val="74B90F4A"/>
    <w:rsid w:val="761D56C0"/>
    <w:rsid w:val="76A72ED3"/>
    <w:rsid w:val="77446993"/>
    <w:rsid w:val="780A6776"/>
    <w:rsid w:val="78FC5A14"/>
    <w:rsid w:val="79092CD5"/>
    <w:rsid w:val="7A0E48DB"/>
    <w:rsid w:val="7C6F7FEF"/>
    <w:rsid w:val="7C9316AE"/>
    <w:rsid w:val="7CF74922"/>
    <w:rsid w:val="7D983576"/>
    <w:rsid w:val="7E22622F"/>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CEBD88"/>
  <w15:docId w15:val="{BECB89D5-06F7-48A3-A61C-AFB891EDD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unhideWhenUsed/>
    <w:qFormat/>
    <w:pPr>
      <w:keepNext/>
      <w:keepLines/>
      <w:spacing w:before="260" w:after="260" w:line="413" w:lineRule="auto"/>
      <w:jc w:val="left"/>
      <w:outlineLvl w:val="2"/>
    </w:pPr>
    <w:rPr>
      <w:rFonts w:eastAsia="黑体"/>
      <w:sz w:val="28"/>
    </w:rPr>
  </w:style>
  <w:style w:type="paragraph" w:styleId="4">
    <w:name w:val="heading 4"/>
    <w:basedOn w:val="a"/>
    <w:next w:val="a"/>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Plain Text"/>
    <w:basedOn w:val="a"/>
    <w:rPr>
      <w:rFonts w:ascii="宋体" w:hAnsi="Courier New"/>
      <w:szCs w:val="21"/>
    </w:rPr>
  </w:style>
  <w:style w:type="paragraph" w:styleId="a4">
    <w:name w:val="footer"/>
    <w:basedOn w:val="a"/>
    <w:link w:val="a5"/>
    <w:pPr>
      <w:tabs>
        <w:tab w:val="center" w:pos="4153"/>
        <w:tab w:val="right" w:pos="8306"/>
      </w:tabs>
      <w:snapToGrid w:val="0"/>
      <w:spacing w:line="240" w:lineRule="atLeast"/>
      <w:jc w:val="left"/>
    </w:pPr>
    <w:rPr>
      <w:sz w:val="18"/>
      <w:szCs w:val="18"/>
    </w:rPr>
  </w:style>
  <w:style w:type="paragraph" w:styleId="a6">
    <w:name w:val="header"/>
    <w:basedOn w:val="a"/>
    <w:link w:val="a7"/>
    <w:pPr>
      <w:tabs>
        <w:tab w:val="center" w:pos="4153"/>
        <w:tab w:val="right" w:pos="8306"/>
      </w:tabs>
      <w:snapToGrid w:val="0"/>
      <w:spacing w:line="240" w:lineRule="atLeast"/>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8">
    <w:name w:val="Normal (Web)"/>
    <w:basedOn w:val="a"/>
    <w:uiPriority w:val="99"/>
    <w:unhideWhenUsed/>
    <w:pPr>
      <w:widowControl/>
      <w:spacing w:before="100" w:beforeAutospacing="1" w:after="100" w:afterAutospacing="1" w:line="240" w:lineRule="auto"/>
      <w:jc w:val="left"/>
    </w:pPr>
    <w:rPr>
      <w:rFonts w:ascii="宋体" w:hAnsi="宋体" w:cs="宋体"/>
      <w:kern w:val="0"/>
    </w:rPr>
  </w:style>
  <w:style w:type="character" w:styleId="a9">
    <w:name w:val="Emphasis"/>
    <w:basedOn w:val="a0"/>
    <w:qFormat/>
    <w:rPr>
      <w:i/>
    </w:rPr>
  </w:style>
  <w:style w:type="character" w:styleId="aa">
    <w:name w:val="Hyperlink"/>
    <w:basedOn w:val="a0"/>
    <w:uiPriority w:val="99"/>
    <w:qFormat/>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a7">
    <w:name w:val="页眉 字符"/>
    <w:basedOn w:val="a0"/>
    <w:link w:val="a6"/>
    <w:rPr>
      <w:rFonts w:ascii="Calibri" w:hAnsi="Calibri"/>
      <w:kern w:val="2"/>
      <w:sz w:val="18"/>
      <w:szCs w:val="18"/>
    </w:rPr>
  </w:style>
  <w:style w:type="character" w:customStyle="1" w:styleId="a5">
    <w:name w:val="页脚 字符"/>
    <w:basedOn w:val="a0"/>
    <w:link w:val="a4"/>
    <w:rPr>
      <w:rFonts w:ascii="Calibri" w:hAnsi="Calibri"/>
      <w:kern w:val="2"/>
      <w:sz w:val="18"/>
      <w:szCs w:val="18"/>
    </w:rPr>
  </w:style>
  <w:style w:type="paragraph" w:customStyle="1" w:styleId="10">
    <w:name w:val="修订1"/>
    <w:hidden/>
    <w:uiPriority w:val="99"/>
    <w:unhideWhenUsed/>
    <w:rPr>
      <w:rFonts w:ascii="Calibri" w:hAnsi="Calibri"/>
      <w:kern w:val="2"/>
      <w:sz w:val="24"/>
      <w:szCs w:val="24"/>
    </w:rPr>
  </w:style>
  <w:style w:type="character" w:styleId="ab">
    <w:name w:val="Placeholder Text"/>
    <w:basedOn w:val="a0"/>
    <w:uiPriority w:val="99"/>
    <w:unhideWhenUsed/>
    <w:rPr>
      <w:color w:val="808080"/>
    </w:rPr>
  </w:style>
  <w:style w:type="paragraph" w:customStyle="1" w:styleId="ac">
    <w:name w:val="图片说明"/>
    <w:basedOn w:val="a"/>
    <w:pPr>
      <w:spacing w:before="0" w:after="0" w:line="240" w:lineRule="auto"/>
      <w:ind w:firstLineChars="200" w:firstLine="420"/>
      <w:jc w:val="center"/>
    </w:pPr>
    <w:rPr>
      <w:rFonts w:ascii="等线" w:eastAsia="微软雅黑" w:hAnsi="等线"/>
      <w:sz w:val="18"/>
      <w:szCs w:val="18"/>
    </w:rPr>
  </w:style>
  <w:style w:type="paragraph" w:customStyle="1" w:styleId="line">
    <w:name w:val="line"/>
    <w:basedOn w:val="a"/>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45/2980179.2980246" TargetMode="External"/><Relationship Id="rId39" Type="http://schemas.openxmlformats.org/officeDocument/2006/relationships/hyperlink" Target="https://doi.org/10.1145/166117.166149" TargetMode="External"/><Relationship Id="rId21" Type="http://schemas.openxmlformats.org/officeDocument/2006/relationships/hyperlink" Target="https://doi.org/10.1145/2931002.2931011" TargetMode="External"/><Relationship Id="rId34" Type="http://schemas.openxmlformats.org/officeDocument/2006/relationships/hyperlink" Target="https://doi.org/10.1007/s11554-012-0281-6" TargetMode="External"/><Relationship Id="rId42" Type="http://schemas.openxmlformats.org/officeDocument/2006/relationships/hyperlink" Target="https://doi.org/10.1145/34467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0042-6989(74)90049-2" TargetMode="External"/><Relationship Id="rId29" Type="http://schemas.openxmlformats.org/officeDocument/2006/relationships/hyperlink" Target="https://doi.org/10.1145/1670671.1670676" TargetMode="External"/><Relationship Id="rId41" Type="http://schemas.openxmlformats.org/officeDocument/2006/relationships/hyperlink" Target="https://doi.org/10.1109/VR.2018.84461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67/jov.21.1.2" TargetMode="External"/><Relationship Id="rId32" Type="http://schemas.openxmlformats.org/officeDocument/2006/relationships/hyperlink" Target="https://doi.org/10.1111/cgf.12956" TargetMode="External"/><Relationship Id="rId37" Type="http://schemas.openxmlformats.org/officeDocument/2006/relationships/hyperlink" Target="https://doi.org/10.1145/3306346.3323033" TargetMode="External"/><Relationship Id="rId40" Type="http://schemas.openxmlformats.org/officeDocument/2006/relationships/hyperlink" Target="https://doi.org/10.16910/jemr.12.1.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45/3306346.3322985" TargetMode="External"/><Relationship Id="rId28" Type="http://schemas.openxmlformats.org/officeDocument/2006/relationships/hyperlink" Target="https://doi.org/10.1145/1344471.1344507" TargetMode="External"/><Relationship Id="rId36" Type="http://schemas.openxmlformats.org/officeDocument/2006/relationships/hyperlink" Target="https://doi.org/10.1109/38.9466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45/2601097.260110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3203199" TargetMode="External"/><Relationship Id="rId27" Type="http://schemas.openxmlformats.org/officeDocument/2006/relationships/hyperlink" Target="https://doi.org/10.1145/3306346.3322985" TargetMode="External"/><Relationship Id="rId30" Type="http://schemas.openxmlformats.org/officeDocument/2006/relationships/hyperlink" Target="https://doi.org/10.1145/2530691" TargetMode="External"/><Relationship Id="rId35" Type="http://schemas.openxmlformats.org/officeDocument/2006/relationships/hyperlink" Target="https://doi.org/10.1002/j.2637-496x.2017.tb01040.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7/12.537476" TargetMode="External"/><Relationship Id="rId33" Type="http://schemas.openxmlformats.org/officeDocument/2006/relationships/hyperlink" Target="https://doi.org/10.1145/2601097.2601105" TargetMode="External"/><Relationship Id="rId38" Type="http://schemas.openxmlformats.org/officeDocument/2006/relationships/hyperlink" Target="https://doi.org/10.1145/91394.914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59</Pages>
  <Words>19763</Words>
  <Characters>34587</Characters>
  <Application>Microsoft Office Word</Application>
  <DocSecurity>0</DocSecurity>
  <Lines>1115</Lines>
  <Paragraphs>715</Paragraphs>
  <ScaleCrop>false</ScaleCrop>
  <Company/>
  <LinksUpToDate>false</LinksUpToDate>
  <CharactersWithSpaces>53635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bob_x</dc:creator>
  <cp:lastModifiedBy>天舒 熊</cp:lastModifiedBy>
  <cp:revision>322</cp:revision>
  <dcterms:created xsi:type="dcterms:W3CDTF">2023-09-17T08:18:00Z</dcterms:created>
  <dcterms:modified xsi:type="dcterms:W3CDTF">2023-11-12T11:50:00Z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9517316A5A4344379F4F2CE37BF5FCDF_13</vt:lpwstr>
  </property>
</Properties>
</file>