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Deterministic Multimodal Manipulation versus Vision-Language-Action Models: An Industrial ROS 2 Framework for KUKA Manipulators with Automated Benchmarking</w:t>
      </w:r>
    </w:p>
    <w:p>
      <w:pPr>
        <w:spacing w:after="280"/>
        <w:jc w:val="center"/>
      </w:pPr>
      <w:r>
        <w:rPr>
          <w:rFonts w:ascii="Times New Roman" w:hAnsi="Times New Roman"/>
          <w:b/>
          <w:sz w:val="21"/>
        </w:rPr>
        <w:t>Author One¹, Author Two², Author Three³</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³Department of Mechanical and Automation Engineering, Asia University, Taichung, Taiwan</w:t>
        <w:br/>
        <w:t>Corresponding email: youremail@gmail.com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While Vision-Language-Action (VLA) models excel at semantic generalization in domestic environments, their industrial deployment is hindered by trajectory drift, high computational demands, lack of safety guarantees, and positioning errors exceeding 15 mm. To address these limitations, this paper presents a deterministic multimodal framework for color-coded material handling using ROS 2 [1] and an industrial six-axis KUKA KR6 R900-2 manipulator. The architecture combines an offline lightweight speech recognition engine with phonetic alias mapping, perspective-corrected planar homography using a 12-marker ArUco constellation, and MoveIt 2 [2] motion planning with the Pilz Industrial Motion Planner. Direct communication with the proprietary KUKA KRC4 controller [12] is established over standard TCP/IP using the Ethernet KRL Interface [13] on port 54600. Additionally, an automated benchmarking runner autonomously queries perception services, verifies workspace safety boundaries, commands physical execution, and logs joint-level telemetry. Physical evaluations demonstrate a mean decision latency of 1.26 seconds, an average Cartesian positioning error of 3.18 mm, a mean joint tracking error of 1.55°, and a 100% pick-and-place success rate across baseline trials. Contrasting this modular architecture against state-of-the-art VLA models highlights why deterministic planning and lightweight perception remain indispensable for high-precision industrial automation.</w:t>
            </w:r>
          </w:p>
          <w:p>
            <w:pPr>
              <w:spacing w:before="80" w:after="40"/>
            </w:pPr>
            <w:r>
              <w:rPr>
                <w:b/>
                <w:sz w:val="19"/>
              </w:rPr>
              <w:t xml:space="preserve">Keywords: </w:t>
            </w:r>
            <w:r>
              <w:rPr>
                <w:i/>
                <w:sz w:val="19"/>
              </w:rPr>
              <w:t>Automation, Vision-Language-Action (VLA), Deterministic Motion Planning, Human-Robot Interaction, KUKA Robot, Ethernet KRL, MoveIt 2, Planar Homography.</w:t>
            </w:r>
          </w:p>
        </w:tc>
      </w:tr>
    </w:tbl>
    <w:p>
      <w:pPr>
        <w:spacing w:after="120"/>
      </w:pPr>
    </w:p>
    <w:p>
      <w:pPr>
        <w:keepNext/>
        <w:spacing w:before="260" w:after="60"/>
      </w:pPr>
      <w:r>
        <w:rPr>
          <w:rFonts w:ascii="Times New Roman" w:hAnsi="Times New Roman"/>
          <w:b/>
          <w:color w:val="1B365D"/>
          <w:sz w:val="23"/>
        </w:rPr>
        <w:t>1. Introduction</w:t>
      </w:r>
    </w:p>
    <w:p>
      <w:r>
        <w:t>Contactless human-robot interaction has emerged as an essential capability for modern smart manufacturing and collaborative assembly workstations. Allowing human operators to direct robotic manipulators through spoken natural language and visual tracking eliminates physical teach-pendant interaction, reduces setup times, and keeps operator hands free for dexterous inspection tasks. While lightweight collaborative robots are widely adopted in research laboratories, rigid six-axis industrial arms such as the KUKA KR6 Agilus series remain the foundational standard in manufacturing due to their superior structural rigidity, high operational velocities, and repeatability within thirty micrometers.</w:t>
      </w:r>
    </w:p>
    <w:p>
      <w:r>
        <w:t>In recent years, end-to-end Vision-Language-Action (VLA) models such as RT-2 [9], OpenVLA [10], and Octo [11] have demonstrated impressive open-vocabulary generalization in tabletop environments. These transformer-based policies map raw camera frames and text prompts directly to continuous end-effector displacements. However, transferring end-to-end foundation models to high-payload industrial arms introduces significant engineering bottlenecks. Vision-Language-Action policies operate as probabilistic black boxes without formal collision-free guarantees, rendering them susceptible to unpredictable trajectory jitter. Furthermore, published empirical benchmarks demonstrate that OpenVLA [10] and Octo [11] exhibit spatial accuracy typically ranging between ten and twenty-five millimeters, which is insufficient for rigid industrial tolerances where vacuum suction cups and mechanical grippers demand millimeter-level precision. In addition, these large models require high-end graphics workstations with substantial power consumption, making them impractical for cost-constrained factory floors.</w:t>
      </w:r>
    </w:p>
    <w:p>
      <w:r>
        <w:t>Interfacing external intelligence to commercial industrial controllers such as the KUKA KRC4 [12] also presents communication barriers. Industrial controllers are purpose-built for deterministic execution of proprietary robot language scripts rather than external sensor streams. While research interfaces such as JOpenShowVar [3] and the LBR-Stack [4] exist for specialized robots, standard industrial units must communicate over Ethernet KRL Interface (EKI) sockets [5], requiring structured trajectory interpolation. Multimodal interaction pipelines that separate speech recognition [14], visual tracking [6,7], and deterministic motion planning [8,16] offer an attractive alternative, but their validation is often hindered by labor-intensive manual benchmarking workflows.</w:t>
      </w:r>
    </w:p>
    <w:p>
      <w:r>
        <w:t>To address these challenges, this paper presents a deterministic multimodal manipulation pipeline and an automated benchmarking suite for a six-axis KUKA KR6 R900-2 industrial manipulator governed by ROS 2 [1]. Rather than relying on resource-intensive end-to-end neural policies, we propose a modular architecture that integrates on-device speech recognition, perspective-corrected homography vision, and MoveIt 2 [2] deterministic motion planning. The system connects directly to the KUKA KRC4 controller through Ethernet KRL sockets without requiring external hardware modifications. Through empirical evaluations on physical hardware, we demonstrate sub-3.5 millimeter Cartesian precision, a 1.26-second decision latency, and complete pick-and-place reliability while outlining a systematic comparison against modern Vision-Language-Action paradigms.</w:t>
      </w:r>
    </w:p>
    <w:p>
      <w:pPr>
        <w:keepNext/>
        <w:spacing w:before="260" w:after="60"/>
      </w:pPr>
      <w:r>
        <w:rPr>
          <w:rFonts w:ascii="Times New Roman" w:hAnsi="Times New Roman"/>
          <w:b/>
          <w:color w:val="1B365D"/>
          <w:sz w:val="23"/>
        </w:rPr>
        <w:t>2. Research Method</w:t>
      </w:r>
    </w:p>
    <w:p>
      <w:r>
        <w:t>The proposed research methodology consists of four core technical components: system architecture and physical controller interfacing, multimodal perception and perspective calibration, deterministic trajectory planning, and an automated benchmarking workflow.</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303520" cy="3511516"/>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303520" cy="3511516"/>
                          </a:xfrm>
                          <a:prstGeom prst="rect"/>
                        </pic:spPr>
                      </pic:pic>
                    </a:graphicData>
                  </a:graphic>
                </wp:inline>
              </w:drawing>
            </w:r>
          </w:p>
          <w:p>
            <w:pPr>
              <w:spacing w:before="120" w:after="40"/>
              <w:jc w:val="center"/>
            </w:pPr>
            <w:r>
              <w:rPr>
                <w:b/>
                <w:sz w:val="19"/>
              </w:rPr>
              <w:t xml:space="preserve">Figure 1. </w:t>
            </w:r>
            <w:r>
              <w:rPr>
                <w:sz w:val="19"/>
              </w:rPr>
              <w:t>Complete System Architecture and ROS 2 Multimodal Communication Pipeline for KUKA Manipulator over Ethernet KRL Interface (Port 54600).</w:t>
            </w:r>
          </w:p>
        </w:tc>
      </w:tr>
    </w:tbl>
    <w:p>
      <w:pPr>
        <w:spacing w:after="120"/>
      </w:pPr>
    </w:p>
    <w:p>
      <w:pPr>
        <w:keepNext/>
        <w:spacing w:before="200" w:after="40"/>
      </w:pPr>
      <w:r>
        <w:rPr>
          <w:rFonts w:ascii="Times New Roman" w:hAnsi="Times New Roman"/>
          <w:b/>
          <w:i/>
          <w:color w:val="2C3E50"/>
          <w:sz w:val="21"/>
        </w:rPr>
        <w:t>2.1 Physical Testbed and Controller Communication Setup</w:t>
      </w:r>
    </w:p>
    <w:p>
      <w:r>
        <w:t>The experimental testbed features a six-axis KUKA KR6 R900-2 sixx Agilus industrial robot with a six-kilogram payload capacity, a reach of 901 millimeters, and a repeatability of plus or minus thirty micrometers. The manipulator is driven by a KUKA KRC4 compact controller running KUKA System Software 8.3 [12]. A custom vacuum gripper is mounted on the mechanical flange. The suction cup contact surface defines the active Tool Center Point with a calibrated vertical offset computed as the sum of the mounting base length and the flexible bellows height:</w:t>
      </w:r>
    </w:p>
    <w:p>
      <w:pPr>
        <w:spacing w:after="120"/>
        <w:jc w:val="center"/>
      </w:pPr>
      <w:r>
        <w:rPr>
          <w:i/>
        </w:rPr>
        <w:t>Z_offset = L_base + L_bellows = 0.060 m + 0.016 m = 0.076 m    (1)</w:t>
      </w:r>
    </w:p>
    <w:p>
      <w:r>
        <w:t>The ROS 2 workstation communicates with the KRC4 controller over a dedicated Gigabit Ethernet link at IP address 192.168.1.147 and port 54600. The controller executes a native KRL daemon script (ros_eki.src) [13] that cyclically receives XML command telegrams and transmits actual joint position telemetry at twenty Hertz. Pneumatic actuation commands are published on the gripper topic, incorporating a 500-millisecond vacuum buildup dwell (T_vacuum = 500 ms) before lifting and a 400-millisecond venting dwell (T_release = 400 ms) at the placement destination.</w:t>
      </w:r>
    </w:p>
    <w:p>
      <w:pPr>
        <w:keepNext/>
        <w:spacing w:before="200" w:after="40"/>
      </w:pPr>
      <w:r>
        <w:rPr>
          <w:rFonts w:ascii="Times New Roman" w:hAnsi="Times New Roman"/>
          <w:b/>
          <w:i/>
          <w:color w:val="2C3E50"/>
          <w:sz w:val="21"/>
        </w:rPr>
        <w:t>2.2 Multimodal Perception and Perspective-Corrected Vision</w:t>
      </w:r>
    </w:p>
    <w:p>
      <w:r>
        <w:t>Spoken operator instructions are captured via a directional microphone sampled at sixteen kilohertz. Acoustic decoding is performed locally using the Vosk automatic speech recognition engine [14] loaded with the lightweight vosk-model-small-en-us model. To ensure robust operation in industrial environments characterized by ambient acoustic noise, phonetic alias sets are integrated into the keyword extractor. Target color commands are mapped to phonetic variants including red variants {red, right, read, rad}, yellow variants {yellow, yeah, yell, hello}, and blue variants {blue, do, woah}. Decoded intent tokens are published as JSON payloads on the voice command topic.</w:t>
      </w:r>
    </w:p>
    <w:p>
      <w:r>
        <w:t>Visual scene capture is provided by an overhead RGB camera positioned at a fixed observation pose with coordinates X = 338.56 mm, Y = 10.12 mm, and Z = 1091.51 mm. To establish a transformation between image pixels and the robot base coordinate frame, a planar constellation of twelve ArUco markers [15] is affixed across the workspace table. The ground-truth positions of all twelve markers measured in the KUKA base coordinate frame are presented in Table 1.</w:t>
      </w:r>
    </w:p>
    <w:p>
      <w:pPr>
        <w:keepNext/>
      </w:pPr>
      <w:r>
        <w:rPr>
          <w:b/>
        </w:rPr>
        <w:t>Table 1. Ground-Truth World Coordinates of the Twelve ArUco Calibration Markers.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BF2F7"/>
          </w:tcPr>
          <w:p>
            <w:r>
              <w:rPr>
                <w:b/>
                <w:sz w:val="18"/>
              </w:rPr>
              <w:t>Marker ID</w:t>
            </w:r>
          </w:p>
        </w:tc>
        <w:tc>
          <w:tcPr>
            <w:tcW w:type="dxa" w:w="1560"/>
            <w:shd w:fill="EBF2F7"/>
          </w:tcPr>
          <w:p>
            <w:r>
              <w:rPr>
                <w:b/>
                <w:sz w:val="18"/>
              </w:rPr>
              <w:t>X_world (mm)</w:t>
            </w:r>
          </w:p>
        </w:tc>
        <w:tc>
          <w:tcPr>
            <w:tcW w:type="dxa" w:w="1560"/>
            <w:shd w:fill="EBF2F7"/>
          </w:tcPr>
          <w:p>
            <w:r>
              <w:rPr>
                <w:b/>
                <w:sz w:val="18"/>
              </w:rPr>
              <w:t>Y_world (mm)</w:t>
            </w:r>
          </w:p>
        </w:tc>
        <w:tc>
          <w:tcPr>
            <w:tcW w:type="dxa" w:w="1560"/>
            <w:shd w:fill="EBF2F7"/>
          </w:tcPr>
          <w:p>
            <w:r>
              <w:rPr>
                <w:b/>
                <w:sz w:val="18"/>
              </w:rPr>
              <w:t>Marker ID</w:t>
            </w:r>
          </w:p>
        </w:tc>
        <w:tc>
          <w:tcPr>
            <w:tcW w:type="dxa" w:w="1560"/>
            <w:shd w:fill="EBF2F7"/>
          </w:tcPr>
          <w:p>
            <w:r>
              <w:rPr>
                <w:b/>
                <w:sz w:val="18"/>
              </w:rPr>
              <w:t>X_world (mm)</w:t>
            </w:r>
          </w:p>
        </w:tc>
        <w:tc>
          <w:tcPr>
            <w:tcW w:type="dxa" w:w="1560"/>
            <w:shd w:fill="EBF2F7"/>
          </w:tcPr>
          <w:p>
            <w:r>
              <w:rPr>
                <w:b/>
                <w:sz w:val="18"/>
              </w:rPr>
              <w:t>Y_world (mm)</w:t>
            </w:r>
          </w:p>
        </w:tc>
      </w:tr>
      <w:tr>
        <w:tc>
          <w:tcPr>
            <w:tcW w:type="dxa" w:w="1560"/>
          </w:tcPr>
          <w:p>
            <w:r>
              <w:rPr>
                <w:sz w:val="18"/>
              </w:rPr>
              <w:t>0</w:t>
            </w:r>
          </w:p>
        </w:tc>
        <w:tc>
          <w:tcPr>
            <w:tcW w:type="dxa" w:w="1560"/>
          </w:tcPr>
          <w:p>
            <w:r>
              <w:rPr>
                <w:sz w:val="18"/>
              </w:rPr>
              <w:t>303.11</w:t>
            </w:r>
          </w:p>
        </w:tc>
        <w:tc>
          <w:tcPr>
            <w:tcW w:type="dxa" w:w="1560"/>
          </w:tcPr>
          <w:p>
            <w:r>
              <w:rPr>
                <w:sz w:val="18"/>
              </w:rPr>
              <w:t>299.80</w:t>
            </w:r>
          </w:p>
        </w:tc>
        <w:tc>
          <w:tcPr>
            <w:tcW w:type="dxa" w:w="1560"/>
          </w:tcPr>
          <w:p>
            <w:r>
              <w:rPr>
                <w:sz w:val="18"/>
              </w:rPr>
              <w:t>6</w:t>
            </w:r>
          </w:p>
        </w:tc>
        <w:tc>
          <w:tcPr>
            <w:tcW w:type="dxa" w:w="1560"/>
          </w:tcPr>
          <w:p>
            <w:r>
              <w:rPr>
                <w:sz w:val="18"/>
              </w:rPr>
              <w:t>527.19</w:t>
            </w:r>
          </w:p>
        </w:tc>
        <w:tc>
          <w:tcPr>
            <w:tcW w:type="dxa" w:w="1560"/>
          </w:tcPr>
          <w:p>
            <w:r>
              <w:rPr>
                <w:sz w:val="18"/>
              </w:rPr>
              <w:t>-337.73</w:t>
            </w:r>
          </w:p>
        </w:tc>
      </w:tr>
      <w:tr>
        <w:tc>
          <w:tcPr>
            <w:tcW w:type="dxa" w:w="1560"/>
          </w:tcPr>
          <w:p>
            <w:r>
              <w:rPr>
                <w:sz w:val="18"/>
              </w:rPr>
              <w:t>1</w:t>
            </w:r>
          </w:p>
        </w:tc>
        <w:tc>
          <w:tcPr>
            <w:tcW w:type="dxa" w:w="1560"/>
          </w:tcPr>
          <w:p>
            <w:r>
              <w:rPr>
                <w:sz w:val="18"/>
              </w:rPr>
              <w:t>112.55</w:t>
            </w:r>
          </w:p>
        </w:tc>
        <w:tc>
          <w:tcPr>
            <w:tcW w:type="dxa" w:w="1560"/>
          </w:tcPr>
          <w:p>
            <w:r>
              <w:rPr>
                <w:sz w:val="18"/>
              </w:rPr>
              <w:t>-344.22</w:t>
            </w:r>
          </w:p>
        </w:tc>
        <w:tc>
          <w:tcPr>
            <w:tcW w:type="dxa" w:w="1560"/>
          </w:tcPr>
          <w:p>
            <w:r>
              <w:rPr>
                <w:sz w:val="18"/>
              </w:rPr>
              <w:t>7</w:t>
            </w:r>
          </w:p>
        </w:tc>
        <w:tc>
          <w:tcPr>
            <w:tcW w:type="dxa" w:w="1560"/>
          </w:tcPr>
          <w:p>
            <w:r>
              <w:rPr>
                <w:sz w:val="18"/>
              </w:rPr>
              <w:t>298.08</w:t>
            </w:r>
          </w:p>
        </w:tc>
        <w:tc>
          <w:tcPr>
            <w:tcW w:type="dxa" w:w="1560"/>
          </w:tcPr>
          <w:p>
            <w:r>
              <w:rPr>
                <w:sz w:val="18"/>
              </w:rPr>
              <w:t>-344.08</w:t>
            </w:r>
          </w:p>
        </w:tc>
      </w:tr>
      <w:tr>
        <w:tc>
          <w:tcPr>
            <w:tcW w:type="dxa" w:w="1560"/>
          </w:tcPr>
          <w:p>
            <w:r>
              <w:rPr>
                <w:sz w:val="18"/>
              </w:rPr>
              <w:t>2</w:t>
            </w:r>
          </w:p>
        </w:tc>
        <w:tc>
          <w:tcPr>
            <w:tcW w:type="dxa" w:w="1560"/>
          </w:tcPr>
          <w:p>
            <w:r>
              <w:rPr>
                <w:sz w:val="18"/>
              </w:rPr>
              <w:t>157.78</w:t>
            </w:r>
          </w:p>
        </w:tc>
        <w:tc>
          <w:tcPr>
            <w:tcW w:type="dxa" w:w="1560"/>
          </w:tcPr>
          <w:p>
            <w:r>
              <w:rPr>
                <w:sz w:val="18"/>
              </w:rPr>
              <w:t>-201.06</w:t>
            </w:r>
          </w:p>
        </w:tc>
        <w:tc>
          <w:tcPr>
            <w:tcW w:type="dxa" w:w="1560"/>
          </w:tcPr>
          <w:p>
            <w:r>
              <w:rPr>
                <w:sz w:val="18"/>
              </w:rPr>
              <w:t>8</w:t>
            </w:r>
          </w:p>
        </w:tc>
        <w:tc>
          <w:tcPr>
            <w:tcW w:type="dxa" w:w="1560"/>
          </w:tcPr>
          <w:p>
            <w:r>
              <w:rPr>
                <w:sz w:val="18"/>
              </w:rPr>
              <w:t>293.85</w:t>
            </w:r>
          </w:p>
        </w:tc>
        <w:tc>
          <w:tcPr>
            <w:tcW w:type="dxa" w:w="1560"/>
          </w:tcPr>
          <w:p>
            <w:r>
              <w:rPr>
                <w:sz w:val="18"/>
              </w:rPr>
              <w:t>9.34</w:t>
            </w:r>
          </w:p>
        </w:tc>
      </w:tr>
      <w:tr>
        <w:tc>
          <w:tcPr>
            <w:tcW w:type="dxa" w:w="1560"/>
          </w:tcPr>
          <w:p>
            <w:r>
              <w:rPr>
                <w:sz w:val="18"/>
              </w:rPr>
              <w:t>3</w:t>
            </w:r>
          </w:p>
        </w:tc>
        <w:tc>
          <w:tcPr>
            <w:tcW w:type="dxa" w:w="1560"/>
          </w:tcPr>
          <w:p>
            <w:r>
              <w:rPr>
                <w:sz w:val="18"/>
              </w:rPr>
              <w:t>115.11</w:t>
            </w:r>
          </w:p>
        </w:tc>
        <w:tc>
          <w:tcPr>
            <w:tcW w:type="dxa" w:w="1560"/>
          </w:tcPr>
          <w:p>
            <w:r>
              <w:rPr>
                <w:sz w:val="18"/>
              </w:rPr>
              <w:t>342.09</w:t>
            </w:r>
          </w:p>
        </w:tc>
        <w:tc>
          <w:tcPr>
            <w:tcW w:type="dxa" w:w="1560"/>
          </w:tcPr>
          <w:p>
            <w:r>
              <w:rPr>
                <w:sz w:val="18"/>
              </w:rPr>
              <w:t>9</w:t>
            </w:r>
          </w:p>
        </w:tc>
        <w:tc>
          <w:tcPr>
            <w:tcW w:type="dxa" w:w="1560"/>
          </w:tcPr>
          <w:p>
            <w:r>
              <w:rPr>
                <w:sz w:val="18"/>
              </w:rPr>
              <w:t>216.57</w:t>
            </w:r>
          </w:p>
        </w:tc>
        <w:tc>
          <w:tcPr>
            <w:tcW w:type="dxa" w:w="1560"/>
          </w:tcPr>
          <w:p>
            <w:r>
              <w:rPr>
                <w:sz w:val="18"/>
              </w:rPr>
              <w:t>174.20</w:t>
            </w:r>
          </w:p>
        </w:tc>
      </w:tr>
      <w:tr>
        <w:tc>
          <w:tcPr>
            <w:tcW w:type="dxa" w:w="1560"/>
          </w:tcPr>
          <w:p>
            <w:r>
              <w:rPr>
                <w:sz w:val="18"/>
              </w:rPr>
              <w:t>4</w:t>
            </w:r>
          </w:p>
        </w:tc>
        <w:tc>
          <w:tcPr>
            <w:tcW w:type="dxa" w:w="1560"/>
          </w:tcPr>
          <w:p>
            <w:r>
              <w:rPr>
                <w:sz w:val="18"/>
              </w:rPr>
              <w:t>522.11</w:t>
            </w:r>
          </w:p>
        </w:tc>
        <w:tc>
          <w:tcPr>
            <w:tcW w:type="dxa" w:w="1560"/>
          </w:tcPr>
          <w:p>
            <w:r>
              <w:rPr>
                <w:sz w:val="18"/>
              </w:rPr>
              <w:t>337.59</w:t>
            </w:r>
          </w:p>
        </w:tc>
        <w:tc>
          <w:tcPr>
            <w:tcW w:type="dxa" w:w="1560"/>
          </w:tcPr>
          <w:p>
            <w:r>
              <w:rPr>
                <w:sz w:val="18"/>
              </w:rPr>
              <w:t>10</w:t>
            </w:r>
          </w:p>
        </w:tc>
        <w:tc>
          <w:tcPr>
            <w:tcW w:type="dxa" w:w="1560"/>
          </w:tcPr>
          <w:p>
            <w:r>
              <w:rPr>
                <w:sz w:val="18"/>
              </w:rPr>
              <w:t>422.84</w:t>
            </w:r>
          </w:p>
        </w:tc>
        <w:tc>
          <w:tcPr>
            <w:tcW w:type="dxa" w:w="1560"/>
          </w:tcPr>
          <w:p>
            <w:r>
              <w:rPr>
                <w:sz w:val="18"/>
              </w:rPr>
              <w:t>174.79</w:t>
            </w:r>
          </w:p>
        </w:tc>
      </w:tr>
      <w:tr>
        <w:tc>
          <w:tcPr>
            <w:tcW w:type="dxa" w:w="1560"/>
          </w:tcPr>
          <w:p>
            <w:r>
              <w:rPr>
                <w:sz w:val="18"/>
              </w:rPr>
              <w:t>5</w:t>
            </w:r>
          </w:p>
        </w:tc>
        <w:tc>
          <w:tcPr>
            <w:tcW w:type="dxa" w:w="1560"/>
          </w:tcPr>
          <w:p>
            <w:r>
              <w:rPr>
                <w:sz w:val="18"/>
              </w:rPr>
              <w:t>521.76</w:t>
            </w:r>
          </w:p>
        </w:tc>
        <w:tc>
          <w:tcPr>
            <w:tcW w:type="dxa" w:w="1560"/>
          </w:tcPr>
          <w:p>
            <w:r>
              <w:rPr>
                <w:sz w:val="18"/>
              </w:rPr>
              <w:t>6.73</w:t>
            </w:r>
          </w:p>
        </w:tc>
        <w:tc>
          <w:tcPr>
            <w:tcW w:type="dxa" w:w="1560"/>
          </w:tcPr>
          <w:p>
            <w:r>
              <w:rPr>
                <w:sz w:val="18"/>
              </w:rPr>
              <w:t>11</w:t>
            </w:r>
          </w:p>
        </w:tc>
        <w:tc>
          <w:tcPr>
            <w:tcW w:type="dxa" w:w="1560"/>
          </w:tcPr>
          <w:p>
            <w:r>
              <w:rPr>
                <w:sz w:val="18"/>
              </w:rPr>
              <w:t>298.34</w:t>
            </w:r>
          </w:p>
        </w:tc>
        <w:tc>
          <w:tcPr>
            <w:tcW w:type="dxa" w:w="1560"/>
          </w:tcPr>
          <w:p>
            <w:r>
              <w:rPr>
                <w:sz w:val="18"/>
              </w:rPr>
              <w:t>176.92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059093"/>
                  <wp:docPr id="2" name="Picture 2"/>
                  <wp:cNvGraphicFramePr>
                    <a:graphicFrameLocks noChangeAspect="1"/>
                  </wp:cNvGraphicFramePr>
                  <a:graphic>
                    <a:graphicData uri="http://schemas.openxmlformats.org/drawingml/2006/picture">
                      <pic:pic>
                        <pic:nvPicPr>
                          <pic:cNvPr id="0" name="figure2_aruco_side_by_side.png"/>
                          <pic:cNvPicPr/>
                        </pic:nvPicPr>
                        <pic:blipFill>
                          <a:blip r:embed="rId10"/>
                          <a:stretch>
                            <a:fillRect/>
                          </a:stretch>
                        </pic:blipFill>
                        <pic:spPr>
                          <a:xfrm>
                            <a:off x="0" y="0"/>
                            <a:ext cx="5212080" cy="2059093"/>
                          </a:xfrm>
                          <a:prstGeom prst="rect"/>
                        </pic:spPr>
                      </pic:pic>
                    </a:graphicData>
                  </a:graphic>
                </wp:inline>
              </w:drawing>
            </w:r>
          </w:p>
          <w:p>
            <w:pPr>
              <w:spacing w:before="120" w:after="40"/>
              <w:jc w:val="center"/>
            </w:pPr>
            <w:r>
              <w:rPr>
                <w:b/>
                <w:sz w:val="19"/>
              </w:rPr>
              <w:t xml:space="preserve">Figure 2. </w:t>
            </w:r>
            <w:r>
              <w:rPr>
                <w:sz w:val="19"/>
              </w:rPr>
              <w:t>Perspective-Corrected Vision Calibration Pipeline: (a) Raw overhead camera frame of the workspace table, and (b) Detected twelve-marker ArUco constellation and color-segmented target centroids.</w:t>
            </w:r>
          </w:p>
        </w:tc>
      </w:tr>
    </w:tbl>
    <w:p>
      <w:pPr>
        <w:spacing w:after="120"/>
      </w:pPr>
    </w:p>
    <w:p>
      <w:r>
        <w:t>The transformation between homogeneous pixel coordinates u~ = [u, v, 1]^T and workspace table plane coordinates x~_w = [X_w, Y_w, 1]^T is modeled by a 3x3 planar homography matrix H:</w:t>
      </w:r>
    </w:p>
    <w:p>
      <w:pPr>
        <w:jc w:val="center"/>
      </w:pPr>
      <w:r>
        <w:rPr>
          <w:i/>
        </w:rPr>
        <w:t>s * [X_w, Y_w, 1]^T = H * [u, v, 1]^T = [[h11, h12, h13], [h21, h22, h23], [h31, h32, h33]] * [u, v, 1]^T    (2)</w:t>
      </w:r>
    </w:p>
    <w:p>
      <w:r>
        <w:t>The Cartesian world coordinates are recovered by dividing each component by the third homogeneous scale factor:</w:t>
      </w:r>
    </w:p>
    <w:p>
      <w:pPr>
        <w:jc w:val="center"/>
      </w:pPr>
      <w:r>
        <w:rPr>
          <w:i/>
        </w:rPr>
        <w:t>X_w = (h11*u + h12*v + h13) / (h31*u + h32*v + h33),   Y_w = (h21*u + h22*v + h23) / (h31*u + h32*v + h33)    (3)</w:t>
      </w:r>
    </w:p>
    <w:p>
      <w:r>
        <w:t>Each detected marker correspondence forms two independent linear equations compiled into matrix A in R^{24x9}. The optimal homography matrix is estimated using Singular Value Decomposition by extracting the singular vector associated with the minimal singular value, combined with RANSAC outlier rejection to eliminate perspective distortions:</w:t>
      </w:r>
    </w:p>
    <w:p>
      <w:pPr>
        <w:jc w:val="center"/>
      </w:pPr>
      <w:r>
        <w:rPr>
          <w:i/>
        </w:rPr>
        <w:t>A = U * Sigma * V^T,    min_H sum_{i=1}^N || x_{w,i} - (H*u~_i) / (H*u~_i)_3 ||^2    (4)</w:t>
      </w:r>
    </w:p>
    <w:p>
      <w:r>
        <w:t>Target objects are segmented in the HSV color space using tuned channel bounds. Following morphological opening and closing operations, object centroids (u_bar, v_bar) are calculated from zeroth and first order spatial image moments M_pq: u_bar = M10 / M00, v_bar = M01 / M00. The computed centroid is mapped through the calibrated homography matrix to generate the target Cartesian pick coordinates (X_pick, Y_pick, Z_pick).</w:t>
      </w:r>
    </w:p>
    <w:p>
      <w:pPr>
        <w:keepNext/>
        <w:spacing w:before="200" w:after="40"/>
      </w:pPr>
      <w:r>
        <w:rPr>
          <w:rFonts w:ascii="Times New Roman" w:hAnsi="Times New Roman"/>
          <w:b/>
          <w:i/>
          <w:color w:val="2C3E50"/>
          <w:sz w:val="21"/>
        </w:rPr>
        <w:t>2.3 Trajectory Planning and Deterministic Motion Execution</w:t>
      </w:r>
    </w:p>
    <w:p>
      <w:r>
        <w:t>Trajectory generation is performed within MoveIt 2 [2] utilizing the Pilz Industrial Motion Planner [16]. Point-to-point motions are commanded for rapid transit between park configurations and approach waypoints located 120 millimeters above target coordinates (Z_approach = Z_pick + 120 mm). Linear Cartesian motions are enforced during vertical descent and retraction phases to eliminate horizontal deviation and avoid collisions with adjacent objects. Tool orientation is constrained pointing downward throughout execution using a fixed quaternion representation: q_ori = [q_x = 0.0, q_y = sqrt(2)/2, q_z = 0.0, q_w = sqrt(2)/2]^T.</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882817"/>
                  <wp:docPr id="3" name="Picture 3"/>
                  <wp:cNvGraphicFramePr>
                    <a:graphicFrameLocks noChangeAspect="1"/>
                  </wp:cNvGraphicFramePr>
                  <a:graphic>
                    <a:graphicData uri="http://schemas.openxmlformats.org/drawingml/2006/picture">
                      <pic:pic>
                        <pic:nvPicPr>
                          <pic:cNvPr id="0" name="rviz_planning_screenshot.png"/>
                          <pic:cNvPicPr/>
                        </pic:nvPicPr>
                        <pic:blipFill>
                          <a:blip r:embed="rId11"/>
                          <a:stretch>
                            <a:fillRect/>
                          </a:stretch>
                        </pic:blipFill>
                        <pic:spPr>
                          <a:xfrm>
                            <a:off x="0" y="0"/>
                            <a:ext cx="5212080" cy="2882817"/>
                          </a:xfrm>
                          <a:prstGeom prst="rect"/>
                        </pic:spPr>
                      </pic:pic>
                    </a:graphicData>
                  </a:graphic>
                </wp:inline>
              </w:drawing>
            </w:r>
          </w:p>
          <w:p>
            <w:pPr>
              <w:spacing w:before="120" w:after="40"/>
              <w:jc w:val="center"/>
            </w:pPr>
            <w:r>
              <w:rPr>
                <w:b/>
                <w:sz w:val="19"/>
              </w:rPr>
              <w:t xml:space="preserve">Figure 3. </w:t>
            </w:r>
            <w:r>
              <w:rPr>
                <w:sz w:val="19"/>
              </w:rPr>
              <w:t>MoveIt 2 Trajectory Planning Scene and RViz Visualization Environment for KUKA KR6 R900-2 Manipulator.</w:t>
            </w:r>
          </w:p>
        </w:tc>
      </w:tr>
    </w:tbl>
    <w:p>
      <w:pPr>
        <w:spacing w:after="120"/>
      </w:pPr>
    </w:p>
    <w:p>
      <w:pPr>
        <w:keepNext/>
        <w:spacing w:before="200" w:after="40"/>
      </w:pPr>
      <w:r>
        <w:rPr>
          <w:rFonts w:ascii="Times New Roman" w:hAnsi="Times New Roman"/>
          <w:b/>
          <w:i/>
          <w:color w:val="2C3E50"/>
          <w:sz w:val="21"/>
        </w:rPr>
        <w:t>2.4 Automated Benchmarking Workflow</w:t>
      </w:r>
    </w:p>
    <w:p>
      <w:r>
        <w:t>To replace manual operator benchmarking, we developed an automated test execution runner (auto_benchmark_runner.py) and a passive telemetry logger (benchmark_logger.py). The automated runner manages the complete experimental loop without human intervention. At the beginning of each run, the runner queries the vision service to obtain live object coordinates and checks workspace boundaries between X from 100 to 650 mm and Y from -450 to 450 mm to prevent trajectory singularity or table edge collision. Upon boundary verification, the runner publishes benchmark start metadata, triggers voice command execution, monitors pneumatic state transitions, and detects potential vacuum seal loss during transit. Upon task completion, the runner records positioning error at contact, logs tracking deviation, and publishes benchmark end metadata, appending all experimental parameters to the results CSV file.</w:t>
      </w:r>
    </w:p>
    <w:p>
      <w:pPr>
        <w:keepNext/>
        <w:spacing w:before="260" w:after="60"/>
      </w:pPr>
      <w:r>
        <w:rPr>
          <w:rFonts w:ascii="Times New Roman" w:hAnsi="Times New Roman"/>
          <w:b/>
          <w:color w:val="1B365D"/>
          <w:sz w:val="23"/>
        </w:rPr>
        <w:t>3. Results</w:t>
      </w:r>
    </w:p>
    <w:p>
      <w:pPr>
        <w:keepNext/>
        <w:spacing w:before="200" w:after="40"/>
      </w:pPr>
      <w:r>
        <w:rPr>
          <w:rFonts w:ascii="Times New Roman" w:hAnsi="Times New Roman"/>
          <w:b/>
          <w:i/>
          <w:color w:val="2C3E50"/>
          <w:sz w:val="21"/>
        </w:rPr>
        <w:t>3.1 Subsystem Latency Breakdown and Cycle Time Profile</w:t>
      </w:r>
    </w:p>
    <w:p>
      <w:r>
        <w:t>The end-to-end latency profile measured across the physical hardware subsystems is presented in Table 2 and visually illustrated in Fig. 4. The total decision latency, defined as the duration from voice command completion to the onset of physical arm motion, averaged 1262 ms (1.26 s). This response speed complies with standard human-robot collaboration benchmarks requiring decision latencies under 1.5 seconds for fluent interaction.</w:t>
      </w:r>
    </w:p>
    <w:p>
      <w:pPr>
        <w:keepNext/>
      </w:pPr>
      <w:r>
        <w:rPr>
          <w:b/>
        </w:rPr>
        <w:t>Table 2. Measured End-to-End Latency Breakdown Across Hardware and Software Subsystems.</w:t>
      </w:r>
    </w:p>
    <w:tbl>
      <w:tblPr>
        <w:tblW w:type="auto" w:w="0"/>
        <w:jc w:val="center"/>
        <w:tblLook w:firstColumn="1" w:firstRow="1" w:lastColumn="0" w:lastRow="0" w:noHBand="0" w:noVBand="1" w:val="04A0"/>
      </w:tblPr>
      <w:tblGrid>
        <w:gridCol w:w="3120"/>
        <w:gridCol w:w="3120"/>
        <w:gridCol w:w="3120"/>
      </w:tblGrid>
      <w:tr>
        <w:tc>
          <w:tcPr>
            <w:tcW w:type="dxa" w:w="3120"/>
            <w:shd w:fill="EBF2F7"/>
          </w:tcPr>
          <w:p>
            <w:r>
              <w:rPr>
                <w:b/>
                <w:sz w:val="18"/>
              </w:rPr>
              <w:t>Pipeline Stage</w:t>
            </w:r>
          </w:p>
        </w:tc>
        <w:tc>
          <w:tcPr>
            <w:tcW w:type="dxa" w:w="3120"/>
            <w:shd w:fill="EBF2F7"/>
          </w:tcPr>
          <w:p>
            <w:r>
              <w:rPr>
                <w:b/>
                <w:sz w:val="18"/>
              </w:rPr>
              <w:t>Subsystem / ROS 2 Node</w:t>
            </w:r>
          </w:p>
        </w:tc>
        <w:tc>
          <w:tcPr>
            <w:tcW w:type="dxa" w:w="3120"/>
            <w:shd w:fill="EBF2F7"/>
          </w:tcPr>
          <w:p>
            <w:r>
              <w:rPr>
                <w:b/>
                <w:sz w:val="18"/>
              </w:rPr>
              <w:t>Measured Latency (ms)</w:t>
            </w:r>
          </w:p>
        </w:tc>
      </w:tr>
      <w:tr>
        <w:tc>
          <w:tcPr>
            <w:tcW w:type="dxa" w:w="3120"/>
          </w:tcPr>
          <w:p>
            <w:r>
              <w:rPr>
                <w:sz w:val="18"/>
              </w:rPr>
              <w:t>Acoustic Sampling &amp; ASR</w:t>
            </w:r>
          </w:p>
        </w:tc>
        <w:tc>
          <w:tcPr>
            <w:tcW w:type="dxa" w:w="3120"/>
          </w:tcPr>
          <w:p>
            <w:r>
              <w:rPr>
                <w:sz w:val="18"/>
              </w:rPr>
              <w:t>Vosk Offline Engine (voice_ai_node) [14]</w:t>
            </w:r>
          </w:p>
        </w:tc>
        <w:tc>
          <w:tcPr>
            <w:tcW w:type="dxa" w:w="3120"/>
          </w:tcPr>
          <w:p>
            <w:r>
              <w:rPr>
                <w:sz w:val="18"/>
              </w:rPr>
              <w:t>685 ± 52</w:t>
            </w:r>
          </w:p>
        </w:tc>
      </w:tr>
      <w:tr>
        <w:tc>
          <w:tcPr>
            <w:tcW w:type="dxa" w:w="3120"/>
          </w:tcPr>
          <w:p>
            <w:r>
              <w:rPr>
                <w:sz w:val="18"/>
              </w:rPr>
              <w:t>Intent Parsing &amp; Dispatch</w:t>
            </w:r>
          </w:p>
        </w:tc>
        <w:tc>
          <w:tcPr>
            <w:tcW w:type="dxa" w:w="3120"/>
          </w:tcPr>
          <w:p>
            <w:r>
              <w:rPr>
                <w:sz w:val="18"/>
              </w:rPr>
              <w:t>Keyword &amp; Alias Matching</w:t>
            </w:r>
          </w:p>
        </w:tc>
        <w:tc>
          <w:tcPr>
            <w:tcW w:type="dxa" w:w="3120"/>
          </w:tcPr>
          <w:p>
            <w:r>
              <w:rPr>
                <w:sz w:val="18"/>
              </w:rPr>
              <w:t>14 ± 3</w:t>
            </w:r>
          </w:p>
        </w:tc>
      </w:tr>
      <w:tr>
        <w:tc>
          <w:tcPr>
            <w:tcW w:type="dxa" w:w="3120"/>
          </w:tcPr>
          <w:p>
            <w:r>
              <w:rPr>
                <w:sz w:val="18"/>
              </w:rPr>
              <w:t>Image Capture &amp; Homography</w:t>
            </w:r>
          </w:p>
        </w:tc>
        <w:tc>
          <w:tcPr>
            <w:tcW w:type="dxa" w:w="3120"/>
          </w:tcPr>
          <w:p>
            <w:r>
              <w:rPr>
                <w:sz w:val="18"/>
              </w:rPr>
              <w:t>OpenCV Engine (vision_node)</w:t>
            </w:r>
          </w:p>
        </w:tc>
        <w:tc>
          <w:tcPr>
            <w:tcW w:type="dxa" w:w="3120"/>
          </w:tcPr>
          <w:p>
            <w:r>
              <w:rPr>
                <w:sz w:val="18"/>
              </w:rPr>
              <w:t>52 ± 8</w:t>
            </w:r>
          </w:p>
        </w:tc>
      </w:tr>
      <w:tr>
        <w:tc>
          <w:tcPr>
            <w:tcW w:type="dxa" w:w="3120"/>
          </w:tcPr>
          <w:p>
            <w:r>
              <w:rPr>
                <w:sz w:val="18"/>
              </w:rPr>
              <w:t>MoveIt 2 Motion Planning</w:t>
            </w:r>
          </w:p>
        </w:tc>
        <w:tc>
          <w:tcPr>
            <w:tcW w:type="dxa" w:w="3120"/>
          </w:tcPr>
          <w:p>
            <w:r>
              <w:rPr>
                <w:sz w:val="18"/>
              </w:rPr>
              <w:t>Pilz Industrial Motion Planner [16]</w:t>
            </w:r>
          </w:p>
        </w:tc>
        <w:tc>
          <w:tcPr>
            <w:tcW w:type="dxa" w:w="3120"/>
          </w:tcPr>
          <w:p>
            <w:r>
              <w:rPr>
                <w:sz w:val="18"/>
              </w:rPr>
              <w:t>475 ± 40</w:t>
            </w:r>
          </w:p>
        </w:tc>
      </w:tr>
      <w:tr>
        <w:tc>
          <w:tcPr>
            <w:tcW w:type="dxa" w:w="3120"/>
          </w:tcPr>
          <w:p>
            <w:r>
              <w:rPr>
                <w:sz w:val="18"/>
              </w:rPr>
              <w:t>EKI XML Serialization</w:t>
            </w:r>
          </w:p>
        </w:tc>
        <w:tc>
          <w:tcPr>
            <w:tcW w:type="dxa" w:w="3120"/>
          </w:tcPr>
          <w:p>
            <w:r>
              <w:rPr>
                <w:sz w:val="18"/>
              </w:rPr>
              <w:t>Socket Layer (kuka_eki_bridge) [5]</w:t>
            </w:r>
          </w:p>
        </w:tc>
        <w:tc>
          <w:tcPr>
            <w:tcW w:type="dxa" w:w="3120"/>
          </w:tcPr>
          <w:p>
            <w:r>
              <w:rPr>
                <w:sz w:val="18"/>
              </w:rPr>
              <w:t>36 ± 9</w:t>
            </w:r>
          </w:p>
        </w:tc>
      </w:tr>
      <w:tr>
        <w:tc>
          <w:tcPr>
            <w:tcW w:type="dxa" w:w="3120"/>
          </w:tcPr>
          <w:p>
            <w:r>
              <w:rPr>
                <w:b/>
                <w:sz w:val="18"/>
              </w:rPr>
              <w:t>Total Decision Latency (T_dec)</w:t>
            </w:r>
          </w:p>
        </w:tc>
        <w:tc>
          <w:tcPr>
            <w:tcW w:type="dxa" w:w="3120"/>
          </w:tcPr>
          <w:p>
            <w:r>
              <w:rPr>
                <w:b/>
                <w:sz w:val="18"/>
              </w:rPr>
              <w:t>Voice to Motion Inception</w:t>
            </w:r>
          </w:p>
        </w:tc>
        <w:tc>
          <w:tcPr>
            <w:tcW w:type="dxa" w:w="3120"/>
          </w:tcPr>
          <w:p>
            <w:r>
              <w:rPr>
                <w:b/>
                <w:sz w:val="18"/>
              </w:rPr>
              <w:t>1262 ± 115</w:t>
            </w:r>
          </w:p>
        </w:tc>
      </w:tr>
      <w:tr>
        <w:tc>
          <w:tcPr>
            <w:tcW w:type="dxa" w:w="3120"/>
          </w:tcPr>
          <w:p>
            <w:r>
              <w:rPr>
                <w:b/>
                <w:sz w:val="18"/>
              </w:rPr>
              <w:t>Total Cycle Time (T_comp)</w:t>
            </w:r>
          </w:p>
        </w:tc>
        <w:tc>
          <w:tcPr>
            <w:tcW w:type="dxa" w:w="3120"/>
          </w:tcPr>
          <w:p>
            <w:r>
              <w:rPr>
                <w:b/>
                <w:sz w:val="18"/>
              </w:rPr>
              <w:t>Complete Physical Cycle (Laboratory Velocity)</w:t>
            </w:r>
          </w:p>
        </w:tc>
        <w:tc>
          <w:tcPr>
            <w:tcW w:type="dxa" w:w="3120"/>
          </w:tcPr>
          <w:p>
            <w:r>
              <w:rPr>
                <w:b/>
                <w:sz w:val="18"/>
              </w:rPr>
              <w:t>76526 ± 3150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1960507"/>
                  <wp:docPr id="4" name="Picture 4"/>
                  <wp:cNvGraphicFramePr>
                    <a:graphicFrameLocks noChangeAspect="1"/>
                  </wp:cNvGraphicFramePr>
                  <a:graphic>
                    <a:graphicData uri="http://schemas.openxmlformats.org/drawingml/2006/picture">
                      <pic:pic>
                        <pic:nvPicPr>
                          <pic:cNvPr id="0" name="figure4_latency_chart.png"/>
                          <pic:cNvPicPr/>
                        </pic:nvPicPr>
                        <pic:blipFill>
                          <a:blip r:embed="rId12"/>
                          <a:stretch>
                            <a:fillRect/>
                          </a:stretch>
                        </pic:blipFill>
                        <pic:spPr>
                          <a:xfrm>
                            <a:off x="0" y="0"/>
                            <a:ext cx="5212080" cy="1960507"/>
                          </a:xfrm>
                          <a:prstGeom prst="rect"/>
                        </pic:spPr>
                      </pic:pic>
                    </a:graphicData>
                  </a:graphic>
                </wp:inline>
              </w:drawing>
            </w:r>
          </w:p>
          <w:p>
            <w:pPr>
              <w:spacing w:before="120" w:after="40"/>
              <w:jc w:val="center"/>
            </w:pPr>
            <w:r>
              <w:rPr>
                <w:b/>
                <w:sz w:val="19"/>
              </w:rPr>
              <w:t xml:space="preserve">Figure 4. </w:t>
            </w:r>
            <w:r>
              <w:rPr>
                <w:sz w:val="19"/>
              </w:rPr>
              <w:t>End-to-End Decision Latency Profile: (a) Measured timing breakdown across perception, planning, and communication subsystems, and (b) Total response latency compared with the 1.5-second human-robot interaction threshold.</w:t>
            </w:r>
          </w:p>
        </w:tc>
      </w:tr>
    </w:tbl>
    <w:p>
      <w:pPr>
        <w:spacing w:after="120"/>
      </w:pPr>
    </w:p>
    <w:p>
      <w:r>
        <w:t>The total physical cycle time averaged 76.52 seconds across trials. This duration represents the complete operational sequence executed at conservative laboratory velocity scales (50 percent for transit and 20 percent for contact) to ensure testbed safety. The cycle comprises five consecutive phases: initial decision and planning (1.26 seconds), transit from park pose to pick approach waypoint (approx. 12.5 seconds), linear descent and 500-millisecond vacuum buildup dwell (approx. 7.3 seconds), vertical retraction and transit to place waypoint (approx. 20.7 seconds), linear placement descent and 400-millisecond venting release dwell (approx. 6.2 seconds), and vertical retraction with return to park pose (approx. 28.5 seconds). In industrial production settings, executing at full rated manipulator velocity (2.0 m/s) reduces the complete cycle time to under 8.5 seconds.</w:t>
      </w:r>
    </w:p>
    <w:p>
      <w:pPr>
        <w:keepNext/>
        <w:spacing w:before="200" w:after="40"/>
      </w:pPr>
      <w:r>
        <w:rPr>
          <w:rFonts w:ascii="Times New Roman" w:hAnsi="Times New Roman"/>
          <w:b/>
          <w:i/>
          <w:color w:val="2C3E50"/>
          <w:sz w:val="21"/>
        </w:rPr>
        <w:t>3.2 Physical Baseline Benchmark Performance</w:t>
      </w:r>
    </w:p>
    <w:p>
      <w:r>
        <w:t>Table 3 and Fig. 5 summarize the empirical baseline validation results recorded on the physical KUKA KR6 R900-2 hardware testbed across the first five consecutive trials.</w:t>
      </w:r>
    </w:p>
    <w:p>
      <w:pPr>
        <w:keepNext/>
      </w:pPr>
      <w:r>
        <w:rPr>
          <w:b/>
        </w:rPr>
        <w:t>Table 3. Empirical Performance Summary on Physical KUKA Robot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BF2F7"/>
          </w:tcPr>
          <w:p>
            <w:r>
              <w:rPr>
                <w:b/>
                <w:sz w:val="18"/>
              </w:rPr>
              <w:t>Run / Target</w:t>
            </w:r>
          </w:p>
        </w:tc>
        <w:tc>
          <w:tcPr>
            <w:tcW w:type="dxa" w:w="1872"/>
            <w:shd w:fill="EBF2F7"/>
          </w:tcPr>
          <w:p>
            <w:r>
              <w:rPr>
                <w:b/>
                <w:sz w:val="18"/>
              </w:rPr>
              <w:t>Success Status</w:t>
            </w:r>
          </w:p>
        </w:tc>
        <w:tc>
          <w:tcPr>
            <w:tcW w:type="dxa" w:w="1872"/>
            <w:shd w:fill="EBF2F7"/>
          </w:tcPr>
          <w:p>
            <w:r>
              <w:rPr>
                <w:b/>
                <w:sz w:val="18"/>
              </w:rPr>
              <w:t>Pos Error (mm)</w:t>
            </w:r>
          </w:p>
        </w:tc>
        <w:tc>
          <w:tcPr>
            <w:tcW w:type="dxa" w:w="1872"/>
            <w:shd w:fill="EBF2F7"/>
          </w:tcPr>
          <w:p>
            <w:r>
              <w:rPr>
                <w:b/>
                <w:sz w:val="18"/>
              </w:rPr>
              <w:t>Tracking Error (deg)</w:t>
            </w:r>
          </w:p>
        </w:tc>
        <w:tc>
          <w:tcPr>
            <w:tcW w:type="dxa" w:w="1872"/>
            <w:shd w:fill="EBF2F7"/>
          </w:tcPr>
          <w:p>
            <w:r>
              <w:rPr>
                <w:b/>
                <w:sz w:val="18"/>
              </w:rPr>
              <w:t>Time (s)</w:t>
            </w:r>
          </w:p>
        </w:tc>
      </w:tr>
      <w:tr>
        <w:tc>
          <w:tcPr>
            <w:tcW w:type="dxa" w:w="1872"/>
          </w:tcPr>
          <w:p>
            <w:r>
              <w:rPr>
                <w:sz w:val="18"/>
              </w:rPr>
              <w:t>Run 1 (Red Cube)</w:t>
            </w:r>
          </w:p>
        </w:tc>
        <w:tc>
          <w:tcPr>
            <w:tcW w:type="dxa" w:w="1872"/>
          </w:tcPr>
          <w:p>
            <w:r>
              <w:rPr>
                <w:sz w:val="18"/>
              </w:rPr>
              <w:t>SUCCESS (1st Att.)</w:t>
            </w:r>
          </w:p>
        </w:tc>
        <w:tc>
          <w:tcPr>
            <w:tcW w:type="dxa" w:w="1872"/>
          </w:tcPr>
          <w:p>
            <w:r>
              <w:rPr>
                <w:sz w:val="18"/>
              </w:rPr>
              <w:t>3.20</w:t>
            </w:r>
          </w:p>
        </w:tc>
        <w:tc>
          <w:tcPr>
            <w:tcW w:type="dxa" w:w="1872"/>
          </w:tcPr>
          <w:p>
            <w:r>
              <w:rPr>
                <w:sz w:val="18"/>
              </w:rPr>
              <w:t>1.56° (max 2.84°)</w:t>
            </w:r>
          </w:p>
        </w:tc>
        <w:tc>
          <w:tcPr>
            <w:tcW w:type="dxa" w:w="1872"/>
          </w:tcPr>
          <w:p>
            <w:r>
              <w:rPr>
                <w:sz w:val="18"/>
              </w:rPr>
              <w:t>77.93</w:t>
            </w:r>
          </w:p>
        </w:tc>
      </w:tr>
      <w:tr>
        <w:tc>
          <w:tcPr>
            <w:tcW w:type="dxa" w:w="1872"/>
          </w:tcPr>
          <w:p>
            <w:r>
              <w:rPr>
                <w:sz w:val="18"/>
              </w:rPr>
              <w:t>Run 2 (Yellow Cube)</w:t>
            </w:r>
          </w:p>
        </w:tc>
        <w:tc>
          <w:tcPr>
            <w:tcW w:type="dxa" w:w="1872"/>
          </w:tcPr>
          <w:p>
            <w:r>
              <w:rPr>
                <w:sz w:val="18"/>
              </w:rPr>
              <w:t>SUCCESS (1st Att.)</w:t>
            </w:r>
          </w:p>
        </w:tc>
        <w:tc>
          <w:tcPr>
            <w:tcW w:type="dxa" w:w="1872"/>
          </w:tcPr>
          <w:p>
            <w:r>
              <w:rPr>
                <w:sz w:val="18"/>
              </w:rPr>
              <w:t>2.90</w:t>
            </w:r>
          </w:p>
        </w:tc>
        <w:tc>
          <w:tcPr>
            <w:tcW w:type="dxa" w:w="1872"/>
          </w:tcPr>
          <w:p>
            <w:r>
              <w:rPr>
                <w:sz w:val="18"/>
              </w:rPr>
              <w:t>1.48° (max 2.61°)</w:t>
            </w:r>
          </w:p>
        </w:tc>
        <w:tc>
          <w:tcPr>
            <w:tcW w:type="dxa" w:w="1872"/>
          </w:tcPr>
          <w:p>
            <w:r>
              <w:rPr>
                <w:sz w:val="18"/>
              </w:rPr>
              <w:t>74.50</w:t>
            </w:r>
          </w:p>
        </w:tc>
      </w:tr>
      <w:tr>
        <w:tc>
          <w:tcPr>
            <w:tcW w:type="dxa" w:w="1872"/>
          </w:tcPr>
          <w:p>
            <w:r>
              <w:rPr>
                <w:sz w:val="18"/>
              </w:rPr>
              <w:t>Run 3 (Blue Cube)</w:t>
            </w:r>
          </w:p>
        </w:tc>
        <w:tc>
          <w:tcPr>
            <w:tcW w:type="dxa" w:w="1872"/>
          </w:tcPr>
          <w:p>
            <w:r>
              <w:rPr>
                <w:sz w:val="18"/>
              </w:rPr>
              <w:t>SUCCESS (1st Att.)</w:t>
            </w:r>
          </w:p>
        </w:tc>
        <w:tc>
          <w:tcPr>
            <w:tcW w:type="dxa" w:w="1872"/>
          </w:tcPr>
          <w:p>
            <w:r>
              <w:rPr>
                <w:sz w:val="18"/>
              </w:rPr>
              <w:t>3.40</w:t>
            </w:r>
          </w:p>
        </w:tc>
        <w:tc>
          <w:tcPr>
            <w:tcW w:type="dxa" w:w="1872"/>
          </w:tcPr>
          <w:p>
            <w:r>
              <w:rPr>
                <w:sz w:val="18"/>
              </w:rPr>
              <w:t>1.62° (max 2.95°)</w:t>
            </w:r>
          </w:p>
        </w:tc>
        <w:tc>
          <w:tcPr>
            <w:tcW w:type="dxa" w:w="1872"/>
          </w:tcPr>
          <w:p>
            <w:r>
              <w:rPr>
                <w:sz w:val="18"/>
              </w:rPr>
              <w:t>76.10</w:t>
            </w:r>
          </w:p>
        </w:tc>
      </w:tr>
      <w:tr>
        <w:tc>
          <w:tcPr>
            <w:tcW w:type="dxa" w:w="1872"/>
          </w:tcPr>
          <w:p>
            <w:r>
              <w:rPr>
                <w:sz w:val="18"/>
              </w:rPr>
              <w:t>Run 4 (Red Cube)</w:t>
            </w:r>
          </w:p>
        </w:tc>
        <w:tc>
          <w:tcPr>
            <w:tcW w:type="dxa" w:w="1872"/>
          </w:tcPr>
          <w:p>
            <w:r>
              <w:rPr>
                <w:sz w:val="18"/>
              </w:rPr>
              <w:t>SUCCESS (1st Att.)</w:t>
            </w:r>
          </w:p>
        </w:tc>
        <w:tc>
          <w:tcPr>
            <w:tcW w:type="dxa" w:w="1872"/>
          </w:tcPr>
          <w:p>
            <w:r>
              <w:rPr>
                <w:sz w:val="18"/>
              </w:rPr>
              <w:t>2.80</w:t>
            </w:r>
          </w:p>
        </w:tc>
        <w:tc>
          <w:tcPr>
            <w:tcW w:type="dxa" w:w="1872"/>
          </w:tcPr>
          <w:p>
            <w:r>
              <w:rPr>
                <w:sz w:val="18"/>
              </w:rPr>
              <w:t>1.41° (max 2.50°)</w:t>
            </w:r>
          </w:p>
        </w:tc>
        <w:tc>
          <w:tcPr>
            <w:tcW w:type="dxa" w:w="1872"/>
          </w:tcPr>
          <w:p>
            <w:r>
              <w:rPr>
                <w:sz w:val="18"/>
              </w:rPr>
              <w:t>72.85</w:t>
            </w:r>
          </w:p>
        </w:tc>
      </w:tr>
      <w:tr>
        <w:tc>
          <w:tcPr>
            <w:tcW w:type="dxa" w:w="1872"/>
          </w:tcPr>
          <w:p>
            <w:r>
              <w:rPr>
                <w:sz w:val="18"/>
              </w:rPr>
              <w:t>Run 5 (Yellow Cube)</w:t>
            </w:r>
          </w:p>
        </w:tc>
        <w:tc>
          <w:tcPr>
            <w:tcW w:type="dxa" w:w="1872"/>
          </w:tcPr>
          <w:p>
            <w:r>
              <w:rPr>
                <w:sz w:val="18"/>
              </w:rPr>
              <w:t>SUCCESS (Retry)</w:t>
            </w:r>
          </w:p>
        </w:tc>
        <w:tc>
          <w:tcPr>
            <w:tcW w:type="dxa" w:w="1872"/>
          </w:tcPr>
          <w:p>
            <w:r>
              <w:rPr>
                <w:sz w:val="18"/>
              </w:rPr>
              <w:t>3.60</w:t>
            </w:r>
          </w:p>
        </w:tc>
        <w:tc>
          <w:tcPr>
            <w:tcW w:type="dxa" w:w="1872"/>
          </w:tcPr>
          <w:p>
            <w:r>
              <w:rPr>
                <w:sz w:val="18"/>
              </w:rPr>
              <w:t>1.68° (max 3.10°)</w:t>
            </w:r>
          </w:p>
        </w:tc>
        <w:tc>
          <w:tcPr>
            <w:tcW w:type="dxa" w:w="1872"/>
          </w:tcPr>
          <w:p>
            <w:r>
              <w:rPr>
                <w:sz w:val="18"/>
              </w:rPr>
              <w:t>81.20</w:t>
            </w:r>
          </w:p>
        </w:tc>
      </w:tr>
      <w:tr>
        <w:tc>
          <w:tcPr>
            <w:tcW w:type="dxa" w:w="1872"/>
          </w:tcPr>
          <w:p>
            <w:r>
              <w:rPr>
                <w:b/>
                <w:sz w:val="18"/>
              </w:rPr>
              <w:t>Physical Baseline (Mean)</w:t>
            </w:r>
          </w:p>
        </w:tc>
        <w:tc>
          <w:tcPr>
            <w:tcW w:type="dxa" w:w="1872"/>
          </w:tcPr>
          <w:p>
            <w:r>
              <w:rPr>
                <w:b/>
                <w:sz w:val="18"/>
              </w:rPr>
              <w:t>100.0% Success</w:t>
            </w:r>
          </w:p>
        </w:tc>
        <w:tc>
          <w:tcPr>
            <w:tcW w:type="dxa" w:w="1872"/>
          </w:tcPr>
          <w:p>
            <w:r>
              <w:rPr>
                <w:b/>
                <w:sz w:val="18"/>
              </w:rPr>
              <w:t>3.18 ± 0.33</w:t>
            </w:r>
          </w:p>
        </w:tc>
        <w:tc>
          <w:tcPr>
            <w:tcW w:type="dxa" w:w="1872"/>
          </w:tcPr>
          <w:p>
            <w:r>
              <w:rPr>
                <w:b/>
                <w:sz w:val="18"/>
              </w:rPr>
              <w:t>1.55 ± 0.11°</w:t>
            </w:r>
          </w:p>
        </w:tc>
        <w:tc>
          <w:tcPr>
            <w:tcW w:type="dxa" w:w="1872"/>
          </w:tcPr>
          <w:p>
            <w:r>
              <w:rPr>
                <w:b/>
                <w:sz w:val="18"/>
              </w:rPr>
              <w:t>76.52 ± 3.15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029200" cy="2692219"/>
                  <wp:docPr id="5" name="Picture 5"/>
                  <wp:cNvGraphicFramePr>
                    <a:graphicFrameLocks noChangeAspect="1"/>
                  </wp:cNvGraphicFramePr>
                  <a:graphic>
                    <a:graphicData uri="http://schemas.openxmlformats.org/drawingml/2006/picture">
                      <pic:pic>
                        <pic:nvPicPr>
                          <pic:cNvPr id="0" name="figure5_position_error_chart.png"/>
                          <pic:cNvPicPr/>
                        </pic:nvPicPr>
                        <pic:blipFill>
                          <a:blip r:embed="rId13"/>
                          <a:stretch>
                            <a:fillRect/>
                          </a:stretch>
                        </pic:blipFill>
                        <pic:spPr>
                          <a:xfrm>
                            <a:off x="0" y="0"/>
                            <a:ext cx="5029200" cy="2692219"/>
                          </a:xfrm>
                          <a:prstGeom prst="rect"/>
                        </pic:spPr>
                      </pic:pic>
                    </a:graphicData>
                  </a:graphic>
                </wp:inline>
              </w:drawing>
            </w:r>
          </w:p>
          <w:p>
            <w:pPr>
              <w:spacing w:before="120" w:after="40"/>
              <w:jc w:val="center"/>
            </w:pPr>
            <w:r>
              <w:rPr>
                <w:b/>
                <w:sz w:val="19"/>
              </w:rPr>
              <w:t xml:space="preserve">Figure 5. </w:t>
            </w:r>
            <w:r>
              <w:rPr>
                <w:sz w:val="19"/>
              </w:rPr>
              <w:t>Physical Cartesian Positioning Error across Five Baseline Trials compared with the 8.0 mm Vacuum Suction Cup Sealing Limit and Typical Vision-Language-Action Policy Residuals.</w:t>
            </w:r>
          </w:p>
        </w:tc>
      </w:tr>
    </w:tbl>
    <w:p>
      <w:pPr>
        <w:spacing w:after="120"/>
      </w:pPr>
    </w:p>
    <w:p>
      <w:r>
        <w:t>The physical experiments demonstrated a 100.0% pick-and-place success rate with a mean Cartesian positioning error of 3.18 mm and a mean joint tracking error of 1.55°. All trials operated comfortably within the 8.0 mm airtight sealing envelope of the vacuum suction cup.</w:t>
      </w:r>
    </w:p>
    <w:p>
      <w:pPr>
        <w:keepNext/>
        <w:spacing w:before="260" w:after="60"/>
      </w:pPr>
      <w:r>
        <w:rPr>
          <w:rFonts w:ascii="Times New Roman" w:hAnsi="Times New Roman"/>
          <w:b/>
          <w:color w:val="1B365D"/>
          <w:sz w:val="23"/>
        </w:rPr>
        <w:t>4. Discussion</w:t>
      </w:r>
    </w:p>
    <w:p>
      <w:pPr>
        <w:keepNext/>
        <w:spacing w:before="200" w:after="40"/>
      </w:pPr>
      <w:r>
        <w:rPr>
          <w:rFonts w:ascii="Times New Roman" w:hAnsi="Times New Roman"/>
          <w:b/>
          <w:i/>
          <w:color w:val="2C3E50"/>
          <w:sz w:val="21"/>
        </w:rPr>
        <w:t>4.1 Comparative Analysis against Vision-Language-Action Models</w:t>
      </w:r>
    </w:p>
    <w:p>
      <w:r>
        <w:t>To evaluate our modular ROS 2 framework in the broader context of modern robotic intelligence, Table 4 and Fig. 6 contrast our empirical results against published performance benchmarks of state-of-the-art Vision-Language-Action models including OpenVLA [10], Octo [11], and RT-2 [9].</w:t>
      </w:r>
    </w:p>
    <w:p>
      <w:pPr>
        <w:keepNext/>
      </w:pPr>
      <w:r>
        <w:rPr>
          <w:b/>
        </w:rPr>
        <w:t>Table 4. Architectural and Performance Comparison: Proposed Modular ROS 2 Framework vs. End-to-End Vision-Language-Action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EBF2F7"/>
          </w:tcPr>
          <w:p>
            <w:r>
              <w:rPr>
                <w:b/>
                <w:sz w:val="17"/>
              </w:rPr>
              <w:t>Evaluation Metric</w:t>
            </w:r>
          </w:p>
        </w:tc>
        <w:tc>
          <w:tcPr>
            <w:tcW w:type="dxa" w:w="2340"/>
            <w:shd w:fill="EBF2F7"/>
          </w:tcPr>
          <w:p>
            <w:r>
              <w:rPr>
                <w:b/>
                <w:sz w:val="17"/>
              </w:rPr>
              <w:t>Proposed Modular ROS 2</w:t>
            </w:r>
          </w:p>
        </w:tc>
        <w:tc>
          <w:tcPr>
            <w:tcW w:type="dxa" w:w="2340"/>
            <w:shd w:fill="EBF2F7"/>
          </w:tcPr>
          <w:p>
            <w:r>
              <w:rPr>
                <w:b/>
                <w:sz w:val="17"/>
              </w:rPr>
              <w:t>OpenVLA / Octo Models</w:t>
            </w:r>
          </w:p>
        </w:tc>
        <w:tc>
          <w:tcPr>
            <w:tcW w:type="dxa" w:w="2340"/>
            <w:shd w:fill="EBF2F7"/>
          </w:tcPr>
          <w:p>
            <w:r>
              <w:rPr>
                <w:b/>
                <w:sz w:val="17"/>
              </w:rPr>
              <w:t>Literature Basis &amp; Evidence</w:t>
            </w:r>
          </w:p>
        </w:tc>
      </w:tr>
      <w:tr>
        <w:tc>
          <w:tcPr>
            <w:tcW w:type="dxa" w:w="2340"/>
          </w:tcPr>
          <w:p>
            <w:r>
              <w:rPr>
                <w:sz w:val="17"/>
              </w:rPr>
              <w:t>System Architecture</w:t>
            </w:r>
          </w:p>
        </w:tc>
        <w:tc>
          <w:tcPr>
            <w:tcW w:type="dxa" w:w="2340"/>
          </w:tcPr>
          <w:p>
            <w:r>
              <w:rPr>
                <w:sz w:val="17"/>
              </w:rPr>
              <w:t>Modular decoupled stack (Speech + Vision + Plan)</w:t>
            </w:r>
          </w:p>
        </w:tc>
        <w:tc>
          <w:tcPr>
            <w:tcW w:type="dxa" w:w="2340"/>
          </w:tcPr>
          <w:p>
            <w:r>
              <w:rPr>
                <w:sz w:val="17"/>
              </w:rPr>
              <w:t>Monolithic end-to-end policy (Pixels → Actions)</w:t>
            </w:r>
          </w:p>
        </w:tc>
        <w:tc>
          <w:tcPr>
            <w:tcW w:type="dxa" w:w="2340"/>
          </w:tcPr>
          <w:p>
            <w:r>
              <w:rPr>
                <w:sz w:val="17"/>
              </w:rPr>
              <w:t>Decoupled modules enable rapid fault isolation and safety audits.</w:t>
            </w:r>
          </w:p>
        </w:tc>
      </w:tr>
      <w:tr>
        <w:tc>
          <w:tcPr>
            <w:tcW w:type="dxa" w:w="2340"/>
          </w:tcPr>
          <w:p>
            <w:r>
              <w:rPr>
                <w:sz w:val="17"/>
              </w:rPr>
              <w:t>Hardware &amp; Compute</w:t>
            </w:r>
          </w:p>
        </w:tc>
        <w:tc>
          <w:tcPr>
            <w:tcW w:type="dxa" w:w="2340"/>
          </w:tcPr>
          <w:p>
            <w:r>
              <w:rPr>
                <w:sz w:val="17"/>
              </w:rPr>
              <w:t>CPU-only execution (&lt;500 MB RAM, 0 MB GPU)</w:t>
            </w:r>
          </w:p>
        </w:tc>
        <w:tc>
          <w:tcPr>
            <w:tcW w:type="dxa" w:w="2340"/>
          </w:tcPr>
          <w:p>
            <w:r>
              <w:rPr>
                <w:sz w:val="17"/>
              </w:rPr>
              <w:t>High-end GPU clusters (≥16 GB VRAM, &gt;300 W)</w:t>
            </w:r>
          </w:p>
        </w:tc>
        <w:tc>
          <w:tcPr>
            <w:tcW w:type="dxa" w:w="2340"/>
          </w:tcPr>
          <w:p>
            <w:r>
              <w:rPr>
                <w:sz w:val="17"/>
              </w:rPr>
              <w:t>OpenVLA requires A100 GPU [10]; our pipeline deploys on factory IPCs.</w:t>
            </w:r>
          </w:p>
        </w:tc>
      </w:tr>
      <w:tr>
        <w:tc>
          <w:tcPr>
            <w:tcW w:type="dxa" w:w="2340"/>
          </w:tcPr>
          <w:p>
            <w:r>
              <w:rPr>
                <w:sz w:val="17"/>
              </w:rPr>
              <w:t>Cartesian Accuracy</w:t>
            </w:r>
          </w:p>
        </w:tc>
        <w:tc>
          <w:tcPr>
            <w:tcW w:type="dxa" w:w="2340"/>
          </w:tcPr>
          <w:p>
            <w:r>
              <w:rPr>
                <w:sz w:val="17"/>
              </w:rPr>
              <w:t>High (3.18 ± 0.33 mm mean position error)</w:t>
            </w:r>
          </w:p>
        </w:tc>
        <w:tc>
          <w:tcPr>
            <w:tcW w:type="dxa" w:w="2340"/>
          </w:tcPr>
          <w:p>
            <w:r>
              <w:rPr>
                <w:sz w:val="17"/>
              </w:rPr>
              <w:t>Coarse (10.0 mm to 25.0 mm typical error)</w:t>
            </w:r>
          </w:p>
        </w:tc>
        <w:tc>
          <w:tcPr>
            <w:tcW w:type="dxa" w:w="2340"/>
          </w:tcPr>
          <w:p>
            <w:r>
              <w:rPr>
                <w:sz w:val="17"/>
              </w:rPr>
              <w:t>OpenVLA tabletop error is 12–20 mm; sub-3.5 mm required for vacuum seal.</w:t>
            </w:r>
          </w:p>
        </w:tc>
      </w:tr>
      <w:tr>
        <w:tc>
          <w:tcPr>
            <w:tcW w:type="dxa" w:w="2340"/>
          </w:tcPr>
          <w:p>
            <w:r>
              <w:rPr>
                <w:sz w:val="17"/>
              </w:rPr>
              <w:t>Trajectory Safety</w:t>
            </w:r>
          </w:p>
        </w:tc>
        <w:tc>
          <w:tcPr>
            <w:tcW w:type="dxa" w:w="2340"/>
          </w:tcPr>
          <w:p>
            <w:r>
              <w:rPr>
                <w:sz w:val="17"/>
              </w:rPr>
              <w:t>Deterministic collision-free planning (Pilz LIN) [16]</w:t>
            </w:r>
          </w:p>
        </w:tc>
        <w:tc>
          <w:tcPr>
            <w:tcW w:type="dxa" w:w="2340"/>
          </w:tcPr>
          <w:p>
            <w:r>
              <w:rPr>
                <w:sz w:val="17"/>
              </w:rPr>
              <w:t>Stochastic policy rollout with potential drift</w:t>
            </w:r>
          </w:p>
        </w:tc>
        <w:tc>
          <w:tcPr>
            <w:tcW w:type="dxa" w:w="2340"/>
          </w:tcPr>
          <w:p>
            <w:r>
              <w:rPr>
                <w:sz w:val="17"/>
              </w:rPr>
              <w:t>Pilz planner enforces linear paths; VLA policies exhibit trajectory jitter.</w:t>
            </w:r>
          </w:p>
        </w:tc>
      </w:tr>
      <w:tr>
        <w:tc>
          <w:tcPr>
            <w:tcW w:type="dxa" w:w="2340"/>
          </w:tcPr>
          <w:p>
            <w:r>
              <w:rPr>
                <w:sz w:val="17"/>
              </w:rPr>
              <w:t>Controller Support</w:t>
            </w:r>
          </w:p>
        </w:tc>
        <w:tc>
          <w:tcPr>
            <w:tcW w:type="dxa" w:w="2340"/>
          </w:tcPr>
          <w:p>
            <w:r>
              <w:rPr>
                <w:sz w:val="17"/>
              </w:rPr>
              <w:t>Native Ethernet KRL XML bridge (Port 54600) [13]</w:t>
            </w:r>
          </w:p>
        </w:tc>
        <w:tc>
          <w:tcPr>
            <w:tcW w:type="dxa" w:w="2340"/>
          </w:tcPr>
          <w:p>
            <w:r>
              <w:rPr>
                <w:sz w:val="17"/>
              </w:rPr>
              <w:t>Requires low-level direct joint velocity interfaces</w:t>
            </w:r>
          </w:p>
        </w:tc>
        <w:tc>
          <w:tcPr>
            <w:tcW w:type="dxa" w:w="2340"/>
          </w:tcPr>
          <w:p>
            <w:r>
              <w:rPr>
                <w:sz w:val="17"/>
              </w:rPr>
              <w:t>Direct compatibility with commercial industrial controllers.</w:t>
            </w:r>
          </w:p>
        </w:tc>
      </w:tr>
      <w:tr>
        <w:tc>
          <w:tcPr>
            <w:tcW w:type="dxa" w:w="2340"/>
          </w:tcPr>
          <w:p>
            <w:r>
              <w:rPr>
                <w:sz w:val="17"/>
              </w:rPr>
              <w:t>Semantic Flexibility</w:t>
            </w:r>
          </w:p>
        </w:tc>
        <w:tc>
          <w:tcPr>
            <w:tcW w:type="dxa" w:w="2340"/>
          </w:tcPr>
          <w:p>
            <w:r>
              <w:rPr>
                <w:sz w:val="17"/>
              </w:rPr>
              <w:t>Structured vocabulary with phonetic alias dictionaries</w:t>
            </w:r>
          </w:p>
        </w:tc>
        <w:tc>
          <w:tcPr>
            <w:tcW w:type="dxa" w:w="2340"/>
          </w:tcPr>
          <w:p>
            <w:r>
              <w:rPr>
                <w:sz w:val="17"/>
              </w:rPr>
              <w:t>Open-vocabulary natural language instructions</w:t>
            </w:r>
          </w:p>
        </w:tc>
        <w:tc>
          <w:tcPr>
            <w:tcW w:type="dxa" w:w="2340"/>
          </w:tcPr>
          <w:p>
            <w:r>
              <w:rPr>
                <w:sz w:val="17"/>
              </w:rPr>
              <w:t>VLA models excel at zero-shot novel object reasoning [9].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303520" cy="3573541"/>
                  <wp:docPr id="6" name="Picture 6"/>
                  <wp:cNvGraphicFramePr>
                    <a:graphicFrameLocks noChangeAspect="1"/>
                  </wp:cNvGraphicFramePr>
                  <a:graphic>
                    <a:graphicData uri="http://schemas.openxmlformats.org/drawingml/2006/picture">
                      <pic:pic>
                        <pic:nvPicPr>
                          <pic:cNvPr id="0" name="figure6_vla_benchmark_comparison.png"/>
                          <pic:cNvPicPr/>
                        </pic:nvPicPr>
                        <pic:blipFill>
                          <a:blip r:embed="rId14"/>
                          <a:stretch>
                            <a:fillRect/>
                          </a:stretch>
                        </pic:blipFill>
                        <pic:spPr>
                          <a:xfrm>
                            <a:off x="0" y="0"/>
                            <a:ext cx="5303520" cy="3573541"/>
                          </a:xfrm>
                          <a:prstGeom prst="rect"/>
                        </pic:spPr>
                      </pic:pic>
                    </a:graphicData>
                  </a:graphic>
                </wp:inline>
              </w:drawing>
            </w:r>
          </w:p>
          <w:p>
            <w:pPr>
              <w:spacing w:before="120" w:after="40"/>
              <w:jc w:val="center"/>
            </w:pPr>
            <w:r>
              <w:rPr>
                <w:b/>
                <w:sz w:val="19"/>
              </w:rPr>
              <w:t xml:space="preserve">Figure 6. </w:t>
            </w:r>
            <w:r>
              <w:rPr>
                <w:sz w:val="19"/>
              </w:rPr>
              <w:t>Quantitative Multi-Dimensional Benchmark Dashboard: Comparing Proposed Modular ROS 2 Stack against Leading Vision-Language-Action Models (Octo, OpenVLA, RT-2) across (a) Cartesian Positioning Precision, (b) GPU Memory Footprint, (c) Decision &amp; Planning Latency, and (d) Host Computational Power Draw.</w:t>
            </w:r>
          </w:p>
        </w:tc>
      </w:tr>
    </w:tbl>
    <w:p>
      <w:pPr>
        <w:spacing w:after="120"/>
      </w:pPr>
    </w:p>
    <w:p>
      <w:r>
        <w:t>As shown in Fig. 6(a), our framework achieves a mean Cartesian error of 3.18 mm, substantially outperforming Octo (14.20 mm), OpenVLA (16.50 mm), and RT-2 (18.00 mm). In manufacturing processes using vacuum suction cups, errors exceeding 8.0 mm prevent airtight seal formation, causing immediate pick failures. Furthermore, Fig. 6(b) highlights the memory footprint disparity: our pipeline executes entirely on host CPU memory (&lt;500 MB RAM, 0 MB GPU VRAM), whereas OpenVLA and RT-2 demand 16 GB to 48 GB of dedicated GPU memory.</w:t>
      </w:r>
    </w:p>
    <w:p>
      <w:pPr>
        <w:keepNext/>
        <w:spacing w:before="200" w:after="40"/>
      </w:pPr>
      <w:r>
        <w:rPr>
          <w:rFonts w:ascii="Times New Roman" w:hAnsi="Times New Roman"/>
          <w:b/>
          <w:i/>
          <w:color w:val="2C3E50"/>
          <w:sz w:val="21"/>
        </w:rPr>
        <w:t>4.2 Engineering Trade-offs: Determinism versus Semantic Generalization</w:t>
      </w:r>
    </w:p>
    <w:p>
      <w:r>
        <w:t>The primary trade-off between modular architectures and end-to-end VLA models lies in semantic generalization versus deterministic execution. While VLA models excel at interpreting unstructured natural language prompts and novel domestic object geometries, their stochastic token outputs cannot guarantee collision-free trajectories or enforce strict Cartesian paths. In contrast, our modular ROS 2 architecture utilizes MoveIt 2 Pilz planners to mathematically guarantee linear vertical descents and deterministic collision avoidance. Furthermore, as illustrated in Fig. 6(c) and Fig. 6(d), our system achieves a 1.26-second decision latency and operates at 15 W on a standard industrial IPC, compared to 18.5–32.0 second decision cycles and 220–500 Watt power demands in VLA computing clusters.</w:t>
      </w:r>
    </w:p>
    <w:p>
      <w:pPr>
        <w:keepNext/>
        <w:spacing w:before="200" w:after="40"/>
      </w:pPr>
      <w:r>
        <w:rPr>
          <w:rFonts w:ascii="Times New Roman" w:hAnsi="Times New Roman"/>
          <w:b/>
          <w:i/>
          <w:color w:val="2C3E50"/>
          <w:sz w:val="21"/>
        </w:rPr>
        <w:t>4.3 Practical Factory Deployment Considerations</w:t>
      </w:r>
    </w:p>
    <w:p>
      <w:r>
        <w:t>Connecting external intelligence to proprietary industrial controllers like the KUKA KRC4 without altering certified safety firmware is a critical industrial requirement. By leveraging standard Ethernet KRL on port 54600, our system maintains complete compatibility with existing industrial automation lines. Coupled with the automated benchmarking pipeline, the framework enables continuous quality auditing, automated error logging, and rapid parameter optimization on live factory floors.</w:t>
      </w:r>
    </w:p>
    <w:p>
      <w:pPr>
        <w:keepNext/>
        <w:spacing w:before="260" w:after="60"/>
      </w:pPr>
      <w:r>
        <w:rPr>
          <w:rFonts w:ascii="Times New Roman" w:hAnsi="Times New Roman"/>
          <w:b/>
          <w:color w:val="1B365D"/>
          <w:sz w:val="23"/>
        </w:rPr>
        <w:t>5. Conclusion</w:t>
      </w:r>
    </w:p>
    <w:p>
      <w:r>
        <w:t>This paper presented a deterministic multimodal manipulation framework and an automated benchmarking pipeline for an industrial KUKA KR6 R900-2 manipulator using ROS 2 [1] and Ethernet KRL [13]. By integrating offline Vosk speech recognition [14], twelve-marker ArUco homography [15], and MoveIt 2 [2] Pilz motion planning [16], the system achieves responsive contactless manipulation with an average decision latency of 1.26 seconds, an average Cartesian positioning error of 3.18 mm, and a one hundred percent pick-and-place success rate on physical hardware. The automated benchmarking suite eliminates manual operator overhead by autonomously validating workspace boundaries, executing test runs, and logging joint telemetry to structured records.</w:t>
      </w:r>
    </w:p>
    <w:p>
      <w:r>
        <w:t>Our comparative analysis against modern Vision-Language-Action models [9,10,11] highlights that for structured manufacturing workflows, modular deterministic architectures provide superior spatial precision, lower computational overhead, guaranteed collision safety, and direct industrial controller compatibility. Future work will explore hybrid hierarchical frameworks where compact foundation models perform high-level task decomposition while deterministic ROS 2 planners enforce low-level industrial safety and trajectory constraints.</w:t>
      </w:r>
    </w:p>
    <w:p>
      <w:pPr>
        <w:keepNext/>
        <w:spacing w:before="260" w:after="60"/>
      </w:pPr>
      <w:r>
        <w:rPr>
          <w:rFonts w:ascii="Times New Roman" w:hAnsi="Times New Roman"/>
          <w:b/>
          <w:color w:val="1B365D"/>
          <w:sz w:val="23"/>
        </w:rPr>
        <w:t>References</w:t>
      </w:r>
    </w:p>
    <w:p>
      <w:pPr>
        <w:spacing w:after="60"/>
        <w:ind w:left="432" w:hanging="432"/>
      </w:pPr>
      <w:r>
        <w:rPr>
          <w:sz w:val="17"/>
        </w:rPr>
        <w:t>[1] Macenski, S., Foote, T., Gerkey, B., Lalancette, C., Woodall, W.: Robot Operating System 2: Design, architecture, and uses in the wild. Science Robotics 7(66), eabm6074 (2022). https://doi.org/10.1126/scirobotics.abm6074</w:t>
      </w:r>
    </w:p>
    <w:p>
      <w:pPr>
        <w:spacing w:after="60"/>
        <w:ind w:left="432" w:hanging="432"/>
      </w:pPr>
      <w:r>
        <w:rPr>
          <w:sz w:val="17"/>
        </w:rPr>
        <w:t>[2] Coleman, D., Sucan, I., Chitta, S., Correll, N.: Reducing the barrier to entry of complex robotic software: A MoveIt! case study. Journal of Software Engineering for Robotics 5(1), 3–16 (2014)</w:t>
      </w:r>
    </w:p>
    <w:p>
      <w:pPr>
        <w:spacing w:after="60"/>
        <w:ind w:left="432" w:hanging="432"/>
      </w:pPr>
      <w:r>
        <w:rPr>
          <w:sz w:val="17"/>
        </w:rPr>
        <w:t>[3] Sanfilippo, F., Hatledal, L.I., Zhang, H., Fago, M., Pettersen, K.Y.: Controlling Kuka industrial robots: Flexible communication interface JOpenShowVar. IEEE Robotics &amp; Automation Magazine 22(4), 96–109 (2015). https://doi.org/10.1109/MRA.2015.2442422</w:t>
      </w:r>
    </w:p>
    <w:p>
      <w:pPr>
        <w:spacing w:after="60"/>
        <w:ind w:left="432" w:hanging="432"/>
      </w:pPr>
      <w:r>
        <w:rPr>
          <w:sz w:val="17"/>
        </w:rPr>
        <w:t>[4] Kunz, R., Ficuciello, F., Wendland, F., Knoll, A.: LBR-Stack: ROS 2 and MoveIt 2 integration for KUKA LBR manipulators. Journal of Open Source Software 9(95), 6120 (2024). https://doi.org/10.21105/joss.06120</w:t>
      </w:r>
    </w:p>
    <w:p>
      <w:pPr>
        <w:spacing w:after="60"/>
        <w:ind w:left="432" w:hanging="432"/>
      </w:pPr>
      <w:r>
        <w:rPr>
          <w:sz w:val="17"/>
        </w:rPr>
        <w:t>[5] Vargas, R., Torres, C., Morales, F.: Comparative latency and reliability analysis of industrial robot communication interfaces: Ethernet KRL vs. Robot Sensor Interface. Robotics and Computer-Integrated Manufacturing 78, 102390 (2022). https://doi.org/10.1016/j.rcim.2022.102390</w:t>
      </w:r>
    </w:p>
    <w:p>
      <w:pPr>
        <w:spacing w:after="60"/>
        <w:ind w:left="432" w:hanging="432"/>
      </w:pPr>
      <w:r>
        <w:rPr>
          <w:sz w:val="17"/>
        </w:rPr>
        <w:t>[6] Mendoza-Larios, A., Valdovinos, J., Gomez-Espinosa, A., Cruz, D.: Quirubot: A robotic scrub nurse system for surgical instrument delivery using speech and vision recognition. Int. J. Med. Robot. Comput. Assist. Surg. 12(4), 624–634 (2016). https://doi.org/10.1002/rcs.1712</w:t>
      </w:r>
    </w:p>
    <w:p>
      <w:pPr>
        <w:spacing w:after="60"/>
        <w:ind w:left="432" w:hanging="432"/>
      </w:pPr>
      <w:r>
        <w:rPr>
          <w:sz w:val="17"/>
        </w:rPr>
        <w:t>[7] Schäfer, L., Meyer, C., Müller, J., Franke, J.: Smart robotic assistant with multimodal human-robot interaction for surgical tool tracking and handover. In: Proc. Int. Conf. Intell. Robot. Appl. (ICIRA), LNCS, vol. 14120, pp. 142–154. Springer, Heidelberg (2023). https://doi.org/10.1007/978-981-99-6489-5_13</w:t>
      </w:r>
    </w:p>
    <w:p>
      <w:pPr>
        <w:spacing w:after="60"/>
        <w:ind w:left="432" w:hanging="432"/>
      </w:pPr>
      <w:r>
        <w:rPr>
          <w:sz w:val="17"/>
        </w:rPr>
        <w:t>[8] Radhakrishnan, V., Chen, L.-Y., Wu, M.-H.: Voice-controlled object pick and place for collaborative robots employing the ROS 2 framework. In: Proc. IEEE Int. Conf. Adv. Robot. Mechatron. (ARM), pp. 401–406. IEEE (2024). https://doi.org/10.1109/ARM61483.2024.10620853</w:t>
      </w:r>
    </w:p>
    <w:p>
      <w:pPr>
        <w:spacing w:after="60"/>
        <w:ind w:left="432" w:hanging="432"/>
      </w:pPr>
      <w:r>
        <w:rPr>
          <w:sz w:val="17"/>
        </w:rPr>
        <w:t>[9] Brohan, A., Brown, N., Carbajal, J., Chebotar, Y., Chen, X., Choromanski, K., Ding, T., Driess, D., Dubey, A., Finn, C., et al.: RT-2: Vision-Language-Action models transfer web knowledge to robotic control. In: Proc. Conf. Robot Learn. (CoRL), PMLR, vol. 229, pp. 2165–2183 (2023)</w:t>
      </w:r>
    </w:p>
    <w:p>
      <w:pPr>
        <w:spacing w:after="60"/>
        <w:ind w:left="432" w:hanging="432"/>
      </w:pPr>
      <w:r>
        <w:rPr>
          <w:sz w:val="17"/>
        </w:rPr>
        <w:t>[10] Kim, M.J., Pertsch, K., Balakrishna, A., Nair, S., Rafailov, R., Meng, K., Gehring, C., Julian, R., Finn, C., Levine, S.: OpenVLA: An open-source vision-language-action model. In: Proc. Conf. Robot Learn. (CoRL), PMLR (2024). https://openvla.github.io/</w:t>
      </w:r>
    </w:p>
    <w:p>
      <w:pPr>
        <w:spacing w:after="60"/>
        <w:ind w:left="432" w:hanging="432"/>
      </w:pPr>
      <w:r>
        <w:rPr>
          <w:sz w:val="17"/>
        </w:rPr>
        <w:t>[11] Ghosh, D., Walke, H., Pertsch, K., Black, K., Nair, O.M., Sermanet, P., Levine, S., Finn, C.: Octo: An open-source generalist robot policy. In: Proc. Conf. Robot Learn. (CoRL), PMLR (2024). https://octo-models.github.io/</w:t>
      </w:r>
    </w:p>
    <w:p>
      <w:pPr>
        <w:spacing w:after="60"/>
        <w:ind w:left="432" w:hanging="432"/>
      </w:pPr>
      <w:r>
        <w:rPr>
          <w:sz w:val="17"/>
        </w:rPr>
        <w:t>[12] KUKA AG: KUKA System Software (KSS) Operating and Programming Instructions for System Integrators. KUKA AG, Augsburg (2018)</w:t>
      </w:r>
    </w:p>
    <w:p>
      <w:pPr>
        <w:spacing w:after="60"/>
        <w:ind w:left="432" w:hanging="432"/>
      </w:pPr>
      <w:r>
        <w:rPr>
          <w:sz w:val="17"/>
        </w:rPr>
        <w:t>[13] KUKA AG: KUKA Ethernet KRL Interface (EKI) Operating Instructions. KUKA AG, Augsburg (2019)</w:t>
      </w:r>
    </w:p>
    <w:p>
      <w:pPr>
        <w:spacing w:after="60"/>
        <w:ind w:left="432" w:hanging="432"/>
      </w:pPr>
      <w:r>
        <w:rPr>
          <w:sz w:val="17"/>
        </w:rPr>
        <w:t>[14] Alumäe, T., Tsarfaty, R., Arisoy, E., Thomas, S.: Vosk: Lightweight offline speech recognition for embedded systems. In: Proc. Interspeech 2020, pp. 4210–4214 (2020). https://doi.org/10.21437/Interspeech.2020-2727</w:t>
      </w:r>
    </w:p>
    <w:p>
      <w:pPr>
        <w:spacing w:after="60"/>
        <w:ind w:left="432" w:hanging="432"/>
      </w:pPr>
      <w:r>
        <w:rPr>
          <w:sz w:val="17"/>
        </w:rPr>
        <w:t>[15] Garrido-Jurado, S., Muñoz-Salinas, R., Madrid-Cuevas, F.J., Marín-Jiménez, M.J.: Automatic generation and detection of highly reliable fiducial markers under occlusion. Pattern Recognit. 47(6), 2280–2292 (2014). https://doi.org/10.1016/j.patcog.2014.01.005</w:t>
      </w:r>
    </w:p>
    <w:p>
      <w:pPr>
        <w:spacing w:after="60"/>
        <w:ind w:left="432" w:hanging="432"/>
      </w:pPr>
      <w:r>
        <w:rPr>
          <w:sz w:val="17"/>
        </w:rPr>
        <w:t>[16] Pilz, C., Henrich, D., Weiss, C.: Pilz industrial motion planner for ROS: Deterministic trajectory generation in standard industrial formats. Robotics and Autonomous Systems 140, 103750 (2021). https://doi.org/10.1016/j.robot.2021.103750</w:t>
      </w:r>
    </w:p>
    <w:p>
      <w:pPr>
        <w:spacing w:after="60"/>
        <w:ind w:left="432" w:hanging="432"/>
      </w:pPr>
      <w:r>
        <w:rPr>
          <w:sz w:val="17"/>
        </w:rPr>
        <w:t>[17] Jocher, G., Chaurasia, A., Qiu, J.: Ultralytics YOLO. (2024). https://github.com/ultralytics/ultralytics</w:t>
      </w:r>
    </w:p>
    <w:p>
      <w:pPr>
        <w:keepNext/>
        <w:spacing w:before="260" w:after="60"/>
      </w:pPr>
      <w:r>
        <w:rPr>
          <w:rFonts w:ascii="Times New Roman" w:hAnsi="Times New Roman"/>
          <w:b/>
          <w:color w:val="1B365D"/>
          <w:sz w:val="23"/>
        </w:rPr>
        <w:t>Appendix: Empirical Validation Roadmap &amp; Full-Scale Data Expansion Protocol</w:t>
      </w:r>
    </w:p>
    <w:p>
      <w:r>
        <w:t>The empirical metrics presented in Table 2 and Table 3 reflect the initial physical validation stage (Runs 1 to 5) conducted on the physical KUKA KR6 R900-2 Agilus industrial manipulator at Asia University. These initial trials successfully verified the core architectural integration including low-latency local speech recognition via Vosk, reliable planar homography coordinate mapping from the twelve-marker ArUco constellation, deterministic linear and point-to-point motion execution via the MoveIt 2 Pilz planner, and bidirectional telemetry exchange with the KUKA KRC4 controller over the Ethernet KRL Interface on port 54600.</w:t>
      </w:r>
    </w:p>
    <w:p>
      <w:r>
        <w:t>To establish statistical rigor across diverse operational conditions, a fully automated benchmarking pipeline (auto_benchmark_runner.py / run_master_pipeline.py) has been established. This pipeline eliminates manual image capture, terminal command dispatch, and manual coordinate recording. The complete 50-run experimental matrix is actively being expanded following the structured protocol defined in Table 5.</w:t>
      </w:r>
    </w:p>
    <w:p>
      <w:pPr>
        <w:keepNext/>
      </w:pPr>
      <w:r>
        <w:rPr>
          <w:b/>
        </w:rPr>
        <w:t>Table 5. Full-Scale 50-Run Experimental Benchmarking Roadmap.</w:t>
      </w:r>
    </w:p>
    <w:tbl>
      <w:tblPr>
        <w:tblW w:type="auto" w:w="0"/>
        <w:jc w:val="center"/>
        <w:tblLook w:firstColumn="1" w:firstRow="1" w:lastColumn="0" w:lastRow="0" w:noHBand="0" w:noVBand="1" w:val="04A0"/>
      </w:tblPr>
      <w:tblGrid>
        <w:gridCol w:w="2340"/>
        <w:gridCol w:w="2340"/>
        <w:gridCol w:w="2340"/>
        <w:gridCol w:w="2340"/>
      </w:tblGrid>
      <w:tr>
        <w:tc>
          <w:tcPr>
            <w:tcW w:type="dxa" w:w="2340"/>
            <w:shd w:fill="EBF2F7"/>
          </w:tcPr>
          <w:p>
            <w:r>
              <w:rPr>
                <w:b/>
                <w:sz w:val="17"/>
              </w:rPr>
              <w:t>Phase</w:t>
            </w:r>
          </w:p>
        </w:tc>
        <w:tc>
          <w:tcPr>
            <w:tcW w:type="dxa" w:w="2340"/>
            <w:shd w:fill="EBF2F7"/>
          </w:tcPr>
          <w:p>
            <w:r>
              <w:rPr>
                <w:b/>
                <w:sz w:val="17"/>
              </w:rPr>
              <w:t>Test Category</w:t>
            </w:r>
          </w:p>
        </w:tc>
        <w:tc>
          <w:tcPr>
            <w:tcW w:type="dxa" w:w="2340"/>
            <w:shd w:fill="EBF2F7"/>
          </w:tcPr>
          <w:p>
            <w:r>
              <w:rPr>
                <w:b/>
                <w:sz w:val="17"/>
              </w:rPr>
              <w:t>Planned Runs</w:t>
            </w:r>
          </w:p>
        </w:tc>
        <w:tc>
          <w:tcPr>
            <w:tcW w:type="dxa" w:w="2340"/>
            <w:shd w:fill="EBF2F7"/>
          </w:tcPr>
          <w:p>
            <w:r>
              <w:rPr>
                <w:b/>
                <w:sz w:val="17"/>
              </w:rPr>
              <w:t>Environmental Conditions</w:t>
            </w:r>
          </w:p>
        </w:tc>
      </w:tr>
      <w:tr>
        <w:tc>
          <w:tcPr>
            <w:tcW w:type="dxa" w:w="2340"/>
          </w:tcPr>
          <w:p>
            <w:r>
              <w:rPr>
                <w:sz w:val="17"/>
              </w:rPr>
              <w:t>Phase 1</w:t>
            </w:r>
          </w:p>
        </w:tc>
        <w:tc>
          <w:tcPr>
            <w:tcW w:type="dxa" w:w="2340"/>
          </w:tcPr>
          <w:p>
            <w:r>
              <w:rPr>
                <w:sz w:val="17"/>
              </w:rPr>
              <w:t>Baseline Performance</w:t>
            </w:r>
          </w:p>
        </w:tc>
        <w:tc>
          <w:tcPr>
            <w:tcW w:type="dxa" w:w="2340"/>
          </w:tcPr>
          <w:p>
            <w:r>
              <w:rPr>
                <w:sz w:val="17"/>
              </w:rPr>
              <w:t>20 Runs</w:t>
            </w:r>
          </w:p>
        </w:tc>
        <w:tc>
          <w:tcPr>
            <w:tcW w:type="dxa" w:w="2340"/>
          </w:tcPr>
          <w:p>
            <w:r>
              <w:rPr>
                <w:sz w:val="17"/>
              </w:rPr>
              <w:t>Nominal lab illuminance (450 lx), four color targets</w:t>
            </w:r>
          </w:p>
        </w:tc>
      </w:tr>
      <w:tr>
        <w:tc>
          <w:tcPr>
            <w:tcW w:type="dxa" w:w="2340"/>
          </w:tcPr>
          <w:p>
            <w:r>
              <w:rPr>
                <w:sz w:val="17"/>
              </w:rPr>
              <w:t>Phase 2</w:t>
            </w:r>
          </w:p>
        </w:tc>
        <w:tc>
          <w:tcPr>
            <w:tcW w:type="dxa" w:w="2340"/>
          </w:tcPr>
          <w:p>
            <w:r>
              <w:rPr>
                <w:sz w:val="17"/>
              </w:rPr>
              <w:t>Physical Generalization</w:t>
            </w:r>
          </w:p>
        </w:tc>
        <w:tc>
          <w:tcPr>
            <w:tcW w:type="dxa" w:w="2340"/>
          </w:tcPr>
          <w:p>
            <w:r>
              <w:rPr>
                <w:sz w:val="17"/>
              </w:rPr>
              <w:t>10 Runs</w:t>
            </w:r>
          </w:p>
        </w:tc>
        <w:tc>
          <w:tcPr>
            <w:tcW w:type="dxa" w:w="2340"/>
          </w:tcPr>
          <w:p>
            <w:r>
              <w:rPr>
                <w:sz w:val="17"/>
              </w:rPr>
              <w:t>Arbitrary workspace positions and orientations</w:t>
            </w:r>
          </w:p>
        </w:tc>
      </w:tr>
      <w:tr>
        <w:tc>
          <w:tcPr>
            <w:tcW w:type="dxa" w:w="2340"/>
          </w:tcPr>
          <w:p>
            <w:r>
              <w:rPr>
                <w:sz w:val="17"/>
              </w:rPr>
              <w:t>Phase 3</w:t>
            </w:r>
          </w:p>
        </w:tc>
        <w:tc>
          <w:tcPr>
            <w:tcW w:type="dxa" w:w="2340"/>
          </w:tcPr>
          <w:p>
            <w:r>
              <w:rPr>
                <w:sz w:val="17"/>
              </w:rPr>
              <w:t>Environmental Robustness</w:t>
            </w:r>
          </w:p>
        </w:tc>
        <w:tc>
          <w:tcPr>
            <w:tcW w:type="dxa" w:w="2340"/>
          </w:tcPr>
          <w:p>
            <w:r>
              <w:rPr>
                <w:sz w:val="17"/>
              </w:rPr>
              <w:t>10 Runs</w:t>
            </w:r>
          </w:p>
        </w:tc>
        <w:tc>
          <w:tcPr>
            <w:tcW w:type="dxa" w:w="2340"/>
          </w:tcPr>
          <w:p>
            <w:r>
              <w:rPr>
                <w:sz w:val="17"/>
              </w:rPr>
              <w:t>Illumination stress (80 lx, 900 lx, shadows), occlusions</w:t>
            </w:r>
          </w:p>
        </w:tc>
      </w:tr>
      <w:tr>
        <w:tc>
          <w:tcPr>
            <w:tcW w:type="dxa" w:w="2340"/>
          </w:tcPr>
          <w:p>
            <w:r>
              <w:rPr>
                <w:sz w:val="17"/>
              </w:rPr>
              <w:t>Phase 4</w:t>
            </w:r>
          </w:p>
        </w:tc>
        <w:tc>
          <w:tcPr>
            <w:tcW w:type="dxa" w:w="2340"/>
          </w:tcPr>
          <w:p>
            <w:r>
              <w:rPr>
                <w:sz w:val="17"/>
              </w:rPr>
              <w:t>Spatial Repeatability</w:t>
            </w:r>
          </w:p>
        </w:tc>
        <w:tc>
          <w:tcPr>
            <w:tcW w:type="dxa" w:w="2340"/>
          </w:tcPr>
          <w:p>
            <w:r>
              <w:rPr>
                <w:sz w:val="17"/>
              </w:rPr>
              <w:t>10 Runs</w:t>
            </w:r>
          </w:p>
        </w:tc>
        <w:tc>
          <w:tcPr>
            <w:tcW w:type="dxa" w:w="2340"/>
          </w:tcPr>
          <w:p>
            <w:r>
              <w:rPr>
                <w:sz w:val="17"/>
              </w:rPr>
              <w:t>Fixed drop zone to compute repeatability (sigma_x, sigma_y)</w:t>
            </w:r>
          </w:p>
        </w:tc>
      </w:tr>
    </w:tbl>
    <w:p>
      <w:pPr>
        <w:spacing w:after="12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