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3DF7F">
      <w:pPr>
        <w:spacing w:after="160"/>
        <w:jc w:val="center"/>
        <w:rPr>
          <w:rFonts w:ascii="宋体" w:hAnsi="宋体"/>
          <w:lang w:eastAsia="zh-CN"/>
        </w:rPr>
      </w:pPr>
      <w:r>
        <w:rPr>
          <w:rFonts w:ascii="宋体" w:hAnsi="宋体"/>
          <w:b/>
          <w:color w:val="1F4D78"/>
          <w:sz w:val="36"/>
          <w:lang w:eastAsia="zh-CN"/>
        </w:rPr>
        <w:t>昌兴复材数字化底座项目任务权重激励方案</w:t>
      </w:r>
    </w:p>
    <w:p w14:paraId="48D1BD90">
      <w:pPr>
        <w:spacing w:after="240"/>
        <w:jc w:val="center"/>
        <w:rPr>
          <w:rFonts w:ascii="宋体" w:hAnsi="宋体"/>
        </w:rPr>
      </w:pPr>
      <w:r>
        <w:rPr>
          <w:rFonts w:ascii="宋体" w:hAnsi="宋体"/>
          <w:color w:val="5A5A5A"/>
          <w:sz w:val="20"/>
        </w:rPr>
        <w:t>方案规范类文件</w:t>
      </w:r>
    </w:p>
    <w:tbl>
      <w:tblPr>
        <w:tblStyle w:val="33"/>
        <w:tblW w:w="9360" w:type="dxa"/>
        <w:jc w:val="center"/>
        <w:tblBorders>
          <w:top w:val="single" w:color="B7C0CA" w:sz="4" w:space="0"/>
          <w:left w:val="single" w:color="B7C0CA" w:sz="4" w:space="0"/>
          <w:bottom w:val="single" w:color="B7C0CA" w:sz="4" w:space="0"/>
          <w:right w:val="single" w:color="B7C0CA" w:sz="4" w:space="0"/>
          <w:insideH w:val="single" w:color="B7C0CA" w:sz="4" w:space="0"/>
          <w:insideV w:val="single" w:color="B7C0C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8"/>
        <w:gridCol w:w="7672"/>
      </w:tblGrid>
      <w:tr w14:paraId="686B39D3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2085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20"/>
              </w:rPr>
              <w:t>项目</w:t>
            </w:r>
          </w:p>
        </w:tc>
        <w:tc>
          <w:tcPr>
            <w:tcW w:w="76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54AD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20"/>
              </w:rPr>
              <w:t>内容</w:t>
            </w:r>
          </w:p>
        </w:tc>
      </w:tr>
      <w:tr w14:paraId="1B9CB36B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650B4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交付物编号</w:t>
            </w:r>
          </w:p>
        </w:tc>
        <w:tc>
          <w:tcPr>
            <w:tcW w:w="7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0FA9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DLV-007</w:t>
            </w:r>
          </w:p>
        </w:tc>
      </w:tr>
      <w:tr w14:paraId="6B2F70AE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CE5C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方案定位</w:t>
            </w:r>
          </w:p>
        </w:tc>
        <w:tc>
          <w:tcPr>
            <w:tcW w:w="7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88BFF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第一阶段试运行考核方案及后续全项目推广规则</w:t>
            </w:r>
          </w:p>
        </w:tc>
      </w:tr>
      <w:tr w14:paraId="443E7584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A226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适用项目</w:t>
            </w:r>
          </w:p>
        </w:tc>
        <w:tc>
          <w:tcPr>
            <w:tcW w:w="7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344AC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昌兴复材数字化底座项目</w:t>
            </w:r>
          </w:p>
        </w:tc>
      </w:tr>
      <w:tr w14:paraId="534A56D4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F2CAF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适用对象</w:t>
            </w:r>
          </w:p>
        </w:tc>
        <w:tc>
          <w:tcPr>
            <w:tcW w:w="7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20659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信息化项目管理工作室、专项工作组、跨部门工作组及其主责部门</w:t>
            </w:r>
          </w:p>
        </w:tc>
      </w:tr>
      <w:tr w14:paraId="7B40BE96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1DC54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首轮试运行范围</w:t>
            </w:r>
          </w:p>
        </w:tc>
        <w:tc>
          <w:tcPr>
            <w:tcW w:w="7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E7024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WBS1.2、WBS3.1-3.4、WBS4.1-4.7</w:t>
            </w:r>
          </w:p>
        </w:tc>
      </w:tr>
      <w:tr w14:paraId="19874B5B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C7274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评价口径</w:t>
            </w:r>
          </w:p>
        </w:tc>
        <w:tc>
          <w:tcPr>
            <w:tcW w:w="7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FD6FC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任务权重积分、总负荷、一次通过率、按期完成率、证据齐套率、返工扣减率</w:t>
            </w:r>
          </w:p>
        </w:tc>
      </w:tr>
      <w:tr w14:paraId="4A055137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2924F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不适用事项</w:t>
            </w:r>
          </w:p>
        </w:tc>
        <w:tc>
          <w:tcPr>
            <w:tcW w:w="7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3E001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不直接计算个人奖金金额；不替代公司现行绩效制度和项目激励审批流程</w:t>
            </w:r>
          </w:p>
        </w:tc>
      </w:tr>
      <w:tr w14:paraId="22AE1411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966D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编制依据</w:t>
            </w:r>
          </w:p>
        </w:tc>
        <w:tc>
          <w:tcPr>
            <w:tcW w:w="7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CBF93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PMO当前任务基线、WBS结构基线、执行标准基线、工作平衡文件、组织架构与部门职责、现行月度绩效/年度部门绩效</w:t>
            </w:r>
            <w:r>
              <w:rPr>
                <w:rFonts w:hint="eastAsia" w:ascii="宋体" w:hAnsi="宋体"/>
                <w:sz w:val="20"/>
                <w:lang w:eastAsia="zh-CN"/>
              </w:rPr>
              <w:t>；激励资金以本项目立项批准的资金方案为准</w:t>
            </w:r>
          </w:p>
        </w:tc>
      </w:tr>
    </w:tbl>
    <w:p w14:paraId="5E6FEFDB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一、第一阶段试运行考核方案</w:t>
      </w:r>
    </w:p>
    <w:p w14:paraId="07518E70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1.1试运行目的</w:t>
      </w:r>
    </w:p>
    <w:p w14:paraId="76370EBE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本次试运行聚焦第一阶段流程治理与数据治理工作，核心验证三项机制：</w:t>
      </w:r>
    </w:p>
    <w:p w14:paraId="0E8D40FB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权重合理性——任务权重是否能反映真实工作负荷；</w:t>
      </w:r>
    </w:p>
    <w:p w14:paraId="2C64AAC1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有效工作评价——是否区分“做了很多”与“做成、做准、一次过”；</w:t>
      </w:r>
    </w:p>
    <w:p w14:paraId="06C2FD42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重点标的可管理性——高风险、里程碑、阶段门任务能否作为可复盘、可兑现的重点对象。</w:t>
      </w:r>
    </w:p>
    <w:p w14:paraId="34D5E81E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试运行结果用于校准权重、阈值和推广规则。期间发现任务边界、主责部门、证据标准不清的，先列入PMO待确认清单，不直接修改任务基线。</w:t>
      </w:r>
    </w:p>
    <w:p w14:paraId="61BB9351">
      <w:pPr>
        <w:pStyle w:val="4"/>
        <w:rPr>
          <w:rFonts w:ascii="宋体" w:hAnsi="宋体"/>
          <w:lang w:eastAsia="zh-CN"/>
        </w:rPr>
      </w:pPr>
      <w:r>
        <w:rPr>
          <w:rFonts w:ascii="宋体" w:hAnsi="宋体" w:eastAsia="宋体"/>
          <w:lang w:eastAsia="zh-CN"/>
        </w:rPr>
        <w:t>1.2试运行范围</w:t>
      </w:r>
      <w:r>
        <w:rPr>
          <w:rFonts w:hint="eastAsia" w:ascii="宋体" w:hAnsi="宋体" w:eastAsia="宋体"/>
          <w:lang w:val="en-US" w:eastAsia="zh-CN"/>
        </w:rPr>
        <w:t>与负荷</w:t>
      </w:r>
    </w:p>
    <w:tbl>
      <w:tblPr>
        <w:tblStyle w:val="33"/>
        <w:tblW w:w="9360" w:type="dxa"/>
        <w:jc w:val="center"/>
        <w:tblBorders>
          <w:top w:val="single" w:color="B7C0CA" w:sz="4" w:space="0"/>
          <w:left w:val="single" w:color="B7C0CA" w:sz="4" w:space="0"/>
          <w:bottom w:val="single" w:color="B7C0CA" w:sz="4" w:space="0"/>
          <w:right w:val="single" w:color="B7C0CA" w:sz="4" w:space="0"/>
          <w:insideH w:val="single" w:color="B7C0CA" w:sz="4" w:space="0"/>
          <w:insideV w:val="single" w:color="B7C0C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2020"/>
        <w:gridCol w:w="2330"/>
        <w:gridCol w:w="2000"/>
        <w:gridCol w:w="1630"/>
      </w:tblGrid>
      <w:tr w14:paraId="34676F62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F6B74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9"/>
              </w:rPr>
              <w:t>范围</w:t>
            </w:r>
          </w:p>
        </w:tc>
        <w:tc>
          <w:tcPr>
            <w:tcW w:w="20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A49F7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9"/>
              </w:rPr>
              <w:t>管控对象</w:t>
            </w:r>
          </w:p>
        </w:tc>
        <w:tc>
          <w:tcPr>
            <w:tcW w:w="23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42FEB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9"/>
              </w:rPr>
              <w:t>试运行重点</w:t>
            </w:r>
          </w:p>
        </w:tc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F2423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9"/>
              </w:rPr>
              <w:t>首轮测算任务</w:t>
            </w:r>
          </w:p>
        </w:tc>
        <w:tc>
          <w:tcPr>
            <w:tcW w:w="16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A1D6A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9"/>
              </w:rPr>
              <w:t>首轮测算总负荷</w:t>
            </w:r>
          </w:p>
        </w:tc>
      </w:tr>
      <w:tr w14:paraId="648FD4FE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D073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9"/>
              </w:rPr>
              <w:t>WBS1.2现状调研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1C16A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部门调研、流程与数据现状、问题清单、调研小结</w:t>
            </w:r>
          </w:p>
        </w:tc>
        <w:tc>
          <w:tcPr>
            <w:tcW w:w="2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E03E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高风险调研任务、关键路径控制任务、GATE-1.2准入确认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711C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40项可计负荷任务，1项节点兑现项</w:t>
            </w:r>
          </w:p>
        </w:tc>
        <w:tc>
          <w:tcPr>
            <w:tcW w:w="1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7F6B1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9"/>
              </w:rPr>
              <w:t>225分</w:t>
            </w:r>
          </w:p>
        </w:tc>
      </w:tr>
      <w:tr w14:paraId="6B652904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AF54D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WBS3.1-3.4数据标准与主数据治理前段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93CA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组织/人员、物料编码、BOM口径、工艺资源标准</w:t>
            </w:r>
          </w:p>
        </w:tc>
        <w:tc>
          <w:tcPr>
            <w:tcW w:w="2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FA04B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数据标准草案、业务评审、修订确认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55D60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9"/>
              </w:rPr>
              <w:t>16项可计负荷任务</w:t>
            </w:r>
          </w:p>
        </w:tc>
        <w:tc>
          <w:tcPr>
            <w:tcW w:w="1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BF6BB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9"/>
              </w:rPr>
              <w:t>58分</w:t>
            </w:r>
          </w:p>
        </w:tc>
      </w:tr>
      <w:tr w14:paraId="23F1DD51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4" w:hRule="atLeast"/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36A6D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WBS4.1-4.7MDM建设准备与数据治理沉淀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6A7B3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流程地图、数据地图、主数据边界、模型与样例沉淀</w:t>
            </w:r>
          </w:p>
        </w:tc>
        <w:tc>
          <w:tcPr>
            <w:tcW w:w="2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C382C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数据治理沉淀、规则样例、跨系统口径准备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C806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9"/>
              </w:rPr>
              <w:t>20项可计负荷任务</w:t>
            </w:r>
          </w:p>
        </w:tc>
        <w:tc>
          <w:tcPr>
            <w:tcW w:w="1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D786E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9"/>
              </w:rPr>
              <w:t>108.5分</w:t>
            </w:r>
          </w:p>
        </w:tc>
      </w:tr>
      <w:tr w14:paraId="6155AF6F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43F99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9"/>
              </w:rPr>
              <w:t>合计</w:t>
            </w:r>
          </w:p>
        </w:tc>
        <w:tc>
          <w:tcPr>
            <w:tcW w:w="2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89BE2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第一阶段流程治理与数据治理试运行</w:t>
            </w:r>
          </w:p>
        </w:tc>
        <w:tc>
          <w:tcPr>
            <w:tcW w:w="2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1BFF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按总负荷评价有效工作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BD8E1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76项可计负荷任务，1项节点兑现项</w:t>
            </w:r>
          </w:p>
        </w:tc>
        <w:tc>
          <w:tcPr>
            <w:tcW w:w="1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C285F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9"/>
              </w:rPr>
              <w:t>391.5分</w:t>
            </w:r>
          </w:p>
        </w:tc>
      </w:tr>
    </w:tbl>
    <w:p w14:paraId="15D2A29D">
      <w:pPr>
        <w:rPr>
          <w:rFonts w:ascii="宋体" w:hAnsi="宋体"/>
          <w:lang w:eastAsia="zh-CN"/>
        </w:rPr>
      </w:pPr>
      <w:r>
        <w:rPr>
          <w:rFonts w:ascii="宋体" w:hAnsi="宋体"/>
          <w:i/>
          <w:lang w:eastAsia="zh-CN"/>
        </w:rPr>
        <w:t>说明：</w:t>
      </w:r>
      <w:r>
        <w:rPr>
          <w:rFonts w:hint="eastAsia" w:ascii="宋体" w:hAnsi="宋体"/>
          <w:i/>
          <w:lang w:eastAsia="zh-CN"/>
        </w:rPr>
        <w:t>以上基于当前PMO基线数据，正式执行以批准版本为准；任务增删或调整时重新测算。</w:t>
      </w:r>
    </w:p>
    <w:p w14:paraId="4CB51197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1.3试运行考核对象</w:t>
      </w:r>
    </w:p>
    <w:tbl>
      <w:tblPr>
        <w:tblStyle w:val="33"/>
        <w:tblW w:w="9360" w:type="dxa"/>
        <w:jc w:val="center"/>
        <w:tblBorders>
          <w:top w:val="single" w:color="B7C0CA" w:sz="4" w:space="0"/>
          <w:left w:val="single" w:color="B7C0CA" w:sz="4" w:space="0"/>
          <w:bottom w:val="single" w:color="B7C0CA" w:sz="4" w:space="0"/>
          <w:right w:val="single" w:color="B7C0CA" w:sz="4" w:space="0"/>
          <w:insideH w:val="single" w:color="B7C0CA" w:sz="4" w:space="0"/>
          <w:insideV w:val="single" w:color="B7C0C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2600"/>
        <w:gridCol w:w="1720"/>
        <w:gridCol w:w="1620"/>
        <w:gridCol w:w="1960"/>
      </w:tblGrid>
      <w:tr w14:paraId="533BF126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93CFE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9"/>
              </w:rPr>
              <w:t>工作组/承接对象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5C240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9"/>
              </w:rPr>
              <w:t>对应范围</w:t>
            </w:r>
          </w:p>
        </w:tc>
        <w:tc>
          <w:tcPr>
            <w:tcW w:w="1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9F342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9"/>
              </w:rPr>
              <w:t>首轮测算任务</w:t>
            </w:r>
          </w:p>
        </w:tc>
        <w:tc>
          <w:tcPr>
            <w:tcW w:w="16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F4EF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9"/>
              </w:rPr>
              <w:t>首轮测算总负荷</w:t>
            </w:r>
          </w:p>
        </w:tc>
        <w:tc>
          <w:tcPr>
            <w:tcW w:w="1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23305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9"/>
              </w:rPr>
              <w:t>评价方式</w:t>
            </w:r>
          </w:p>
        </w:tc>
      </w:tr>
      <w:tr w14:paraId="2D1ED6BA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F30B2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9"/>
              </w:rPr>
              <w:t>信息化项目组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BFA1A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9"/>
              </w:rPr>
              <w:t>WBS1.2现状调研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67E55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9"/>
              </w:rPr>
              <w:t>40项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92FEA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9"/>
              </w:rPr>
              <w:t>225分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DDDB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按调研、流程治理、数据治理前置任务整体评价</w:t>
            </w:r>
          </w:p>
        </w:tc>
      </w:tr>
      <w:tr w14:paraId="17508932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071F1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9"/>
              </w:rPr>
              <w:t>MDM工作组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FF241">
            <w:pPr>
              <w:spacing w:after="0" w:line="252" w:lineRule="auto"/>
              <w:rPr>
                <w:rFonts w:ascii="宋体" w:hAnsi="宋体"/>
              </w:rPr>
            </w:pPr>
            <w:r>
              <w:rPr>
                <w:rFonts w:ascii="宋体" w:hAnsi="宋体"/>
                <w:sz w:val="19"/>
              </w:rPr>
              <w:t>WBS3.1-3.4、WBS4.1-4.7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A14D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9"/>
              </w:rPr>
              <w:t>36项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1B9D9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9"/>
              </w:rPr>
              <w:t>166.5分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3A07B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按数据标准、数据地图、主数据边界与治理沉淀整体评价</w:t>
            </w:r>
          </w:p>
        </w:tc>
      </w:tr>
    </w:tbl>
    <w:p w14:paraId="4B5A1D05">
      <w:pPr>
        <w:spacing w:after="40"/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PMO只记录主责工作组、主责部门、协作部门及阻塞原因，不按个人拆分得分。</w:t>
      </w:r>
    </w:p>
    <w:p w14:paraId="500287EB">
      <w:pPr>
        <w:spacing w:after="40"/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主责部门未明确前，不纳入评价范围，由PMO形成待确认事项清单，经项目执行副组长确认后实施。</w:t>
      </w:r>
    </w:p>
    <w:p w14:paraId="28D28EA0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1.4重点激励和重点考核标的</w:t>
      </w:r>
    </w:p>
    <w:p w14:paraId="30B65AF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以下任务进入PMO周会、月度复盘和阶段评审重点清单：</w:t>
      </w:r>
    </w:p>
    <w:tbl>
      <w:tblPr>
        <w:tblStyle w:val="33"/>
        <w:tblW w:w="9360" w:type="dxa"/>
        <w:jc w:val="center"/>
        <w:tblBorders>
          <w:top w:val="single" w:color="B7C0CA" w:sz="4" w:space="0"/>
          <w:left w:val="single" w:color="B7C0CA" w:sz="4" w:space="0"/>
          <w:bottom w:val="single" w:color="B7C0CA" w:sz="4" w:space="0"/>
          <w:right w:val="single" w:color="B7C0CA" w:sz="4" w:space="0"/>
          <w:insideH w:val="single" w:color="B7C0CA" w:sz="4" w:space="0"/>
          <w:insideV w:val="single" w:color="B7C0C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000"/>
        <w:gridCol w:w="2300"/>
        <w:gridCol w:w="2560"/>
      </w:tblGrid>
      <w:tr w14:paraId="190B2D63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D1444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20"/>
              </w:rPr>
              <w:t>标的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F60AC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20"/>
              </w:rPr>
              <w:t>识别规则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C9CE0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20"/>
              </w:rPr>
              <w:t>正向应用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AF08C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20"/>
              </w:rPr>
              <w:t>负向应用</w:t>
            </w:r>
          </w:p>
        </w:tc>
      </w:tr>
      <w:tr w14:paraId="66D65BA7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8F2A0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高风险任务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0BECB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sz w:val="20"/>
                <w:lang w:val="en-US" w:eastAsia="zh-CN"/>
              </w:rPr>
              <w:t>PMO</w:t>
            </w:r>
            <w:r>
              <w:rPr>
                <w:rFonts w:ascii="宋体" w:hAnsi="宋体"/>
                <w:sz w:val="20"/>
              </w:rPr>
              <w:t>风险等级为高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41CFC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同等完成质量下优先纳入正向激励资格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89B9B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未获批逾期、证据不足或反复返工时优先进入整改清单</w:t>
            </w:r>
          </w:p>
        </w:tc>
      </w:tr>
      <w:tr w14:paraId="4487848A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70769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关键路径控制任务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416A4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标记为关键路径控制任务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58712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按期通过后优先支撑阶段兑现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B69D2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影响后续任务启动时，纳入PMO阻塞升级</w:t>
            </w:r>
          </w:p>
        </w:tc>
      </w:tr>
      <w:tr w14:paraId="433042CF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48783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里程碑任务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7D36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任务类型为里程碑，或任务基线中标注为里程碑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36B8B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作为节点兑现项</w:t>
            </w:r>
            <w:r>
              <w:rPr>
                <w:rFonts w:hint="eastAsia" w:ascii="宋体" w:hAnsi="宋体"/>
                <w:sz w:val="20"/>
                <w:lang w:eastAsia="zh-CN"/>
              </w:rPr>
              <w:t>，</w:t>
            </w:r>
            <w:r>
              <w:rPr>
                <w:rFonts w:ascii="宋体" w:hAnsi="宋体"/>
                <w:sz w:val="20"/>
                <w:lang w:eastAsia="zh-CN"/>
              </w:rPr>
              <w:t>不按普通工作量堆积分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16EB1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节点未达成时暂缓相关阶段正向激励资格</w:t>
            </w:r>
          </w:p>
        </w:tc>
      </w:tr>
      <w:tr w14:paraId="49C6B679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D61E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阶段门任务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60B5A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阶段门编号、阶段门名称、放行/阻断规则或合同/付款控制口径不为空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E35FD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前置交付物齐套、评审结论明确后进入专项激励资格确认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A10E2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前置交付物缺失、阻塞项未闭环时不得进入节点兑现</w:t>
            </w:r>
          </w:p>
        </w:tc>
      </w:tr>
    </w:tbl>
    <w:p w14:paraId="77B0143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首轮试运行已识别的节点兑现项为WBS1.2.7.6“进入总体蓝图编制条件确认”，对应GATE-1.2和交付物“蓝图编制准入确认单”。</w:t>
      </w:r>
    </w:p>
    <w:p w14:paraId="3903B93A">
      <w:pPr>
        <w:pStyle w:val="3"/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  <w:lang w:eastAsia="zh-CN"/>
        </w:rPr>
        <w:t>二、任务</w:t>
      </w:r>
      <w:r>
        <w:rPr>
          <w:rFonts w:hint="eastAsia" w:ascii="宋体" w:hAnsi="宋体" w:eastAsia="宋体"/>
          <w:lang w:val="en-US" w:eastAsia="zh-CN"/>
        </w:rPr>
        <w:t>有效积分</w:t>
      </w:r>
    </w:p>
    <w:p w14:paraId="5EE5B1AC">
      <w:pPr>
        <w:pStyle w:val="4"/>
        <w:rPr>
          <w:rFonts w:ascii="宋体" w:hAnsi="宋体" w:eastAsia="宋体"/>
        </w:rPr>
      </w:pPr>
      <w:r>
        <w:rPr>
          <w:rFonts w:ascii="宋体" w:hAnsi="宋体" w:eastAsia="宋体"/>
        </w:rPr>
        <w:t>2.1计入范围</w:t>
      </w:r>
    </w:p>
    <w:p w14:paraId="2CDDF7E4">
      <w:pPr>
        <w:pStyle w:val="1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计入总负荷：非摘要、非0工作日、可执行且有明确交付要求的任务。</w:t>
      </w:r>
    </w:p>
    <w:p w14:paraId="5A7BA897">
      <w:pPr>
        <w:pStyle w:val="1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不计普通工作量：摘要任务、虚拟父节点、仅用于分组展示的任务。</w:t>
      </w:r>
    </w:p>
    <w:p w14:paraId="54FF7CA0">
      <w:pPr>
        <w:pStyle w:val="1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里程碑和阶段门：不按普通工</w:t>
      </w:r>
      <w:r>
        <w:rPr>
          <w:rFonts w:hint="eastAsia" w:ascii="宋体" w:hAnsi="宋体"/>
          <w:lang w:val="en-US" w:eastAsia="zh-CN"/>
        </w:rPr>
        <w:t>作量</w:t>
      </w:r>
      <w:r>
        <w:rPr>
          <w:rFonts w:ascii="宋体" w:hAnsi="宋体"/>
          <w:lang w:eastAsia="zh-CN"/>
        </w:rPr>
        <w:t>堆积分，单独作为节点兑现和</w:t>
      </w:r>
      <w:r>
        <w:rPr>
          <w:rFonts w:hint="eastAsia" w:ascii="宋体" w:hAnsi="宋体"/>
          <w:lang w:val="en-US" w:eastAsia="zh-CN"/>
        </w:rPr>
        <w:t>专项激励资格依据</w:t>
      </w:r>
      <w:r>
        <w:rPr>
          <w:rFonts w:ascii="宋体" w:hAnsi="宋体"/>
          <w:lang w:eastAsia="zh-CN"/>
        </w:rPr>
        <w:t>。</w:t>
      </w:r>
    </w:p>
    <w:p w14:paraId="685CE2CF">
      <w:pPr>
        <w:pStyle w:val="14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经执行副组长审批同意调整的任务：按调整后周期计入，不作为未完成处理。</w:t>
      </w:r>
    </w:p>
    <w:p w14:paraId="4E76137D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2.2</w:t>
      </w:r>
      <w:r>
        <w:rPr>
          <w:rFonts w:hint="eastAsia" w:ascii="宋体" w:hAnsi="宋体" w:eastAsia="宋体"/>
          <w:lang w:val="en-US" w:eastAsia="zh-CN"/>
        </w:rPr>
        <w:t>任务权重计算规则</w:t>
      </w:r>
      <w:r>
        <w:rPr>
          <w:rFonts w:hint="eastAsia" w:ascii="宋体" w:hAnsi="宋体" w:eastAsia="宋体"/>
          <w:lang w:eastAsia="zh-CN"/>
        </w:rPr>
        <w:t>（</w:t>
      </w:r>
      <w:r>
        <w:rPr>
          <w:rFonts w:hint="eastAsia" w:ascii="宋体" w:hAnsi="宋体" w:eastAsia="宋体"/>
          <w:lang w:val="en-US" w:eastAsia="zh-CN"/>
        </w:rPr>
        <w:t>基础分1分</w:t>
      </w:r>
      <w:r>
        <w:rPr>
          <w:rFonts w:hint="eastAsia" w:ascii="宋体" w:hAnsi="宋体" w:eastAsia="宋体"/>
          <w:lang w:eastAsia="zh-CN"/>
        </w:rPr>
        <w:t>）</w:t>
      </w:r>
    </w:p>
    <w:tbl>
      <w:tblPr>
        <w:tblStyle w:val="33"/>
        <w:tblW w:w="9360" w:type="dxa"/>
        <w:jc w:val="center"/>
        <w:tblBorders>
          <w:top w:val="single" w:color="B7C0CA" w:sz="4" w:space="0"/>
          <w:left w:val="single" w:color="B7C0CA" w:sz="4" w:space="0"/>
          <w:bottom w:val="single" w:color="B7C0CA" w:sz="4" w:space="0"/>
          <w:right w:val="single" w:color="B7C0CA" w:sz="4" w:space="0"/>
          <w:insideH w:val="single" w:color="B7C0CA" w:sz="4" w:space="0"/>
          <w:insideV w:val="single" w:color="B7C0C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0"/>
        <w:gridCol w:w="2730"/>
        <w:gridCol w:w="4370"/>
      </w:tblGrid>
      <w:tr w14:paraId="47451D3C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7B22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20"/>
              </w:rPr>
              <w:t>加权项</w:t>
            </w:r>
          </w:p>
        </w:tc>
        <w:tc>
          <w:tcPr>
            <w:tcW w:w="27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3805F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20"/>
              </w:rPr>
              <w:t>加分</w:t>
            </w:r>
          </w:p>
        </w:tc>
        <w:tc>
          <w:tcPr>
            <w:tcW w:w="437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09F1E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 w14:paraId="3099D261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F70BF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高风险任务</w:t>
            </w:r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2315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+2</w:t>
            </w:r>
          </w:p>
        </w:tc>
        <w:tc>
          <w:tcPr>
            <w:tcW w:w="4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FB259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风险等级为高</w:t>
            </w:r>
          </w:p>
        </w:tc>
      </w:tr>
      <w:tr w14:paraId="7EDFA23E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A91C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关键路径控制</w:t>
            </w:r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50CA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+2</w:t>
            </w:r>
          </w:p>
        </w:tc>
        <w:tc>
          <w:tcPr>
            <w:tcW w:w="4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4496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影响后续关键任务、阶段门或整体节奏</w:t>
            </w:r>
          </w:p>
        </w:tc>
      </w:tr>
      <w:tr w14:paraId="72FD92E7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01178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H5重点展示</w:t>
            </w:r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B06A1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+1</w:t>
            </w:r>
          </w:p>
        </w:tc>
        <w:tc>
          <w:tcPr>
            <w:tcW w:w="4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A26C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已纳入PMO重点展示或管理层关注清单</w:t>
            </w:r>
          </w:p>
        </w:tc>
      </w:tr>
      <w:tr w14:paraId="752837D3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98B34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阶段门/放行阻断/合同付款控制</w:t>
            </w:r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DF0ED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+2</w:t>
            </w:r>
          </w:p>
        </w:tc>
        <w:tc>
          <w:tcPr>
            <w:tcW w:w="4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A64A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与节点放行、阻断、合同或付款控制直接相关</w:t>
            </w:r>
          </w:p>
        </w:tc>
      </w:tr>
      <w:tr w14:paraId="7DCB6090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29CC7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有明确交付物或审核人</w:t>
            </w:r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55356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+1</w:t>
            </w:r>
          </w:p>
        </w:tc>
        <w:tc>
          <w:tcPr>
            <w:tcW w:w="4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AEA4D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任务基线存在交付物、审核人或审批组</w:t>
            </w:r>
          </w:p>
        </w:tc>
      </w:tr>
      <w:tr w14:paraId="7B61198C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7749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工期6-10</w:t>
            </w:r>
            <w:r>
              <w:rPr>
                <w:rFonts w:hint="eastAsia" w:ascii="宋体" w:hAnsi="宋体"/>
                <w:sz w:val="20"/>
                <w:lang w:val="en-US" w:eastAsia="zh-CN"/>
              </w:rPr>
              <w:t>个</w:t>
            </w:r>
            <w:r>
              <w:rPr>
                <w:rFonts w:ascii="宋体" w:hAnsi="宋体"/>
                <w:sz w:val="20"/>
              </w:rPr>
              <w:t>工作日</w:t>
            </w:r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118D8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+0.5</w:t>
            </w:r>
          </w:p>
        </w:tc>
        <w:tc>
          <w:tcPr>
            <w:tcW w:w="4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2CA8A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适度补偿持续工作负荷</w:t>
            </w:r>
          </w:p>
        </w:tc>
      </w:tr>
      <w:tr w14:paraId="520BC397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E1528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工期超过10</w:t>
            </w:r>
            <w:r>
              <w:rPr>
                <w:rFonts w:hint="eastAsia" w:ascii="宋体" w:hAnsi="宋体"/>
                <w:sz w:val="20"/>
                <w:lang w:val="en-US" w:eastAsia="zh-CN"/>
              </w:rPr>
              <w:t>个</w:t>
            </w:r>
            <w:r>
              <w:rPr>
                <w:rFonts w:ascii="宋体" w:hAnsi="宋体"/>
                <w:sz w:val="20"/>
              </w:rPr>
              <w:t>工作日</w:t>
            </w:r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E7EC4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+1</w:t>
            </w:r>
          </w:p>
        </w:tc>
        <w:tc>
          <w:tcPr>
            <w:tcW w:w="4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1F9E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适度补偿长周期协调和材料闭环负荷</w:t>
            </w:r>
          </w:p>
        </w:tc>
      </w:tr>
    </w:tbl>
    <w:p w14:paraId="54A730D3">
      <w:pPr>
        <w:rPr>
          <w:rFonts w:hint="default" w:ascii="宋体" w:hAnsi="宋体"/>
          <w:lang w:val="en-US" w:eastAsia="zh-CN"/>
        </w:rPr>
      </w:pPr>
      <w:r>
        <w:rPr>
          <w:rFonts w:ascii="宋体" w:hAnsi="宋体"/>
          <w:lang w:eastAsia="zh-CN"/>
        </w:rPr>
        <w:t>单任务权重分封顶8分</w:t>
      </w:r>
      <w:r>
        <w:rPr>
          <w:rFonts w:hint="eastAsia" w:ascii="宋体" w:hAnsi="宋体"/>
          <w:lang w:eastAsia="zh-CN"/>
        </w:rPr>
        <w:t>，</w:t>
      </w:r>
      <w:r>
        <w:rPr>
          <w:rFonts w:hint="eastAsia" w:ascii="宋体" w:hAnsi="宋体"/>
          <w:lang w:val="en-US" w:eastAsia="zh-CN"/>
        </w:rPr>
        <w:t>同一属性不得重复加分</w:t>
      </w:r>
      <w:r>
        <w:rPr>
          <w:rFonts w:ascii="宋体" w:hAnsi="宋体"/>
          <w:lang w:eastAsia="zh-CN"/>
        </w:rPr>
        <w:t>。权重只用于评价任务负荷和有效工作，不代表</w:t>
      </w:r>
      <w:r>
        <w:rPr>
          <w:rFonts w:hint="eastAsia" w:ascii="宋体" w:hAnsi="宋体"/>
          <w:lang w:val="en-US" w:eastAsia="zh-CN"/>
        </w:rPr>
        <w:t>激励</w:t>
      </w:r>
      <w:r>
        <w:rPr>
          <w:rFonts w:ascii="宋体" w:hAnsi="宋体"/>
          <w:lang w:eastAsia="zh-CN"/>
        </w:rPr>
        <w:t>资金金额。</w:t>
      </w:r>
    </w:p>
    <w:p w14:paraId="7CC4E29C">
      <w:pPr>
        <w:pStyle w:val="4"/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  <w:lang w:eastAsia="zh-CN"/>
        </w:rPr>
        <w:t>2.</w:t>
      </w:r>
      <w:r>
        <w:rPr>
          <w:rFonts w:hint="eastAsia" w:ascii="宋体" w:hAnsi="宋体" w:eastAsia="宋体"/>
          <w:lang w:val="en-US" w:eastAsia="zh-CN"/>
        </w:rPr>
        <w:t>3</w:t>
      </w:r>
      <w:r>
        <w:rPr>
          <w:rFonts w:ascii="宋体" w:hAnsi="宋体" w:eastAsia="宋体"/>
          <w:lang w:eastAsia="zh-CN"/>
        </w:rPr>
        <w:t>任务有效积分</w:t>
      </w:r>
      <w:r>
        <w:rPr>
          <w:rFonts w:hint="eastAsia" w:ascii="宋体" w:hAnsi="宋体" w:eastAsia="宋体"/>
          <w:lang w:val="en-US" w:eastAsia="zh-CN"/>
        </w:rPr>
        <w:t>计算</w:t>
      </w:r>
    </w:p>
    <w:p w14:paraId="1DBFA4A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任务有效积分</w:t>
      </w:r>
      <w:r>
        <w:rPr>
          <w:rFonts w:hint="eastAsia" w:ascii="宋体" w:hAnsi="宋体"/>
          <w:lang w:val="en-US" w:eastAsia="zh-CN"/>
        </w:rPr>
        <w:t>作为工作组综合评价的唯一基础数据</w:t>
      </w:r>
      <w:r>
        <w:rPr>
          <w:rFonts w:ascii="宋体" w:hAnsi="宋体"/>
          <w:lang w:eastAsia="zh-CN"/>
        </w:rPr>
        <w:t>，计算公式为：</w:t>
      </w:r>
    </w:p>
    <w:p w14:paraId="2836824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任务有效积分=任务权重分×完成系数×质量系数×证据系数</w:t>
      </w:r>
    </w:p>
    <w:tbl>
      <w:tblPr>
        <w:tblStyle w:val="33"/>
        <w:tblW w:w="9360" w:type="dxa"/>
        <w:jc w:val="center"/>
        <w:tblBorders>
          <w:top w:val="single" w:color="B7C0CA" w:sz="4" w:space="0"/>
          <w:left w:val="single" w:color="B7C0CA" w:sz="4" w:space="0"/>
          <w:bottom w:val="single" w:color="B7C0CA" w:sz="4" w:space="0"/>
          <w:right w:val="single" w:color="B7C0CA" w:sz="4" w:space="0"/>
          <w:insideH w:val="single" w:color="B7C0CA" w:sz="4" w:space="0"/>
          <w:insideV w:val="single" w:color="B7C0C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8120"/>
      </w:tblGrid>
      <w:tr w14:paraId="18EC79D5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14865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20"/>
              </w:rPr>
              <w:t>系数</w:t>
            </w:r>
          </w:p>
        </w:tc>
        <w:tc>
          <w:tcPr>
            <w:tcW w:w="8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319AA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20"/>
              </w:rPr>
              <w:t>取值口径</w:t>
            </w:r>
          </w:p>
        </w:tc>
      </w:tr>
      <w:tr w14:paraId="5D2DDD39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AA982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完成系数</w:t>
            </w:r>
          </w:p>
        </w:tc>
        <w:tc>
          <w:tcPr>
            <w:tcW w:w="8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5C4DC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按期完成或经执行副组长审批调整后完成为1.0；未获批逾期但已完成为0.6；未完成为0</w:t>
            </w:r>
          </w:p>
        </w:tc>
      </w:tr>
      <w:tr w14:paraId="080732B7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CC17A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质量系数</w:t>
            </w:r>
          </w:p>
        </w:tc>
        <w:tc>
          <w:tcPr>
            <w:tcW w:w="8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74322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一次通过为1.0；退回一次后闭环为0.8；退回两次后闭环为0.5；最终未通过为0</w:t>
            </w:r>
          </w:p>
        </w:tc>
      </w:tr>
      <w:tr w14:paraId="7174F4B9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15546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证据系数</w:t>
            </w:r>
          </w:p>
        </w:tc>
        <w:tc>
          <w:tcPr>
            <w:tcW w:w="8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11A25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证据齐套为1.0；补齐后可追溯为0.8；无有效证据为0</w:t>
            </w:r>
          </w:p>
        </w:tc>
      </w:tr>
    </w:tbl>
    <w:p w14:paraId="7E524B82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三、</w:t>
      </w:r>
      <w:r>
        <w:rPr>
          <w:rFonts w:hint="eastAsia" w:ascii="宋体" w:hAnsi="宋体" w:eastAsia="宋体"/>
          <w:lang w:val="en-US" w:eastAsia="zh-CN"/>
        </w:rPr>
        <w:t>综合</w:t>
      </w:r>
      <w:r>
        <w:rPr>
          <w:rFonts w:ascii="宋体" w:hAnsi="宋体" w:eastAsia="宋体"/>
          <w:lang w:eastAsia="zh-CN"/>
        </w:rPr>
        <w:t>评价</w:t>
      </w:r>
    </w:p>
    <w:p w14:paraId="2B871289">
      <w:pPr>
        <w:pStyle w:val="4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3.1综合评价构成</w:t>
      </w:r>
    </w:p>
    <w:p w14:paraId="3CAB5060">
      <w:pPr>
        <w:rPr>
          <w:rFonts w:hint="eastAsia" w:ascii="宋体" w:hAnsi="宋体"/>
          <w:lang w:eastAsia="zh-CN"/>
        </w:rPr>
      </w:pPr>
    </w:p>
    <w:p w14:paraId="70DEBDA1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综合评价由产出评价和过程评价两部分组成。</w:t>
      </w:r>
    </w:p>
    <w:p w14:paraId="3C0EB5B8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其中：</w:t>
      </w:r>
    </w:p>
    <w:p w14:paraId="381C9780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（一）产出评价反映工作组实际完成工作量及价值贡献；</w:t>
      </w:r>
    </w:p>
    <w:p w14:paraId="30FD464C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（二）过程评价反映工作组任务组织能力、交付质量及执行效率。</w:t>
      </w:r>
    </w:p>
    <w:p w14:paraId="2400F141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综合评价结果作为工作组激励排序、专项激励资格确认及月度、年度绩效应用的重要依据。</w:t>
      </w:r>
    </w:p>
    <w:p w14:paraId="34E867F4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val="en-US" w:eastAsia="zh-CN"/>
        </w:rPr>
        <w:t>3</w:t>
      </w:r>
      <w:r>
        <w:rPr>
          <w:rFonts w:ascii="宋体" w:hAnsi="宋体" w:eastAsia="宋体"/>
          <w:lang w:eastAsia="zh-CN"/>
        </w:rPr>
        <w:t>.</w:t>
      </w:r>
      <w:r>
        <w:rPr>
          <w:rFonts w:hint="eastAsia" w:ascii="宋体" w:hAnsi="宋体" w:eastAsia="宋体"/>
          <w:lang w:val="en-US" w:eastAsia="zh-CN"/>
        </w:rPr>
        <w:t>2应完成</w:t>
      </w:r>
      <w:r>
        <w:rPr>
          <w:rFonts w:ascii="宋体" w:hAnsi="宋体" w:eastAsia="宋体"/>
          <w:lang w:eastAsia="zh-CN"/>
        </w:rPr>
        <w:t>总负荷</w:t>
      </w:r>
    </w:p>
    <w:p w14:paraId="74B71AD7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应完成总负荷，是指评价周期内工作组按项目计划应完成任务对应的任务权重总和。</w:t>
      </w:r>
    </w:p>
    <w:p w14:paraId="70DA669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应完成总负荷=</w:t>
      </w:r>
      <w:r>
        <w:rPr>
          <w:rFonts w:hint="eastAsia" w:ascii="宋体" w:hAnsi="宋体"/>
          <w:lang w:val="en-US" w:eastAsia="zh-CN"/>
        </w:rPr>
        <w:t>当</w:t>
      </w:r>
      <w:r>
        <w:rPr>
          <w:rFonts w:ascii="宋体" w:hAnsi="宋体"/>
          <w:lang w:eastAsia="zh-CN"/>
        </w:rPr>
        <w:t>期</w:t>
      </w:r>
      <w:r>
        <w:rPr>
          <w:rFonts w:hint="eastAsia" w:ascii="宋体" w:hAnsi="宋体"/>
          <w:lang w:val="en-US" w:eastAsia="zh-CN"/>
        </w:rPr>
        <w:t>所有</w:t>
      </w:r>
      <w:r>
        <w:rPr>
          <w:rFonts w:ascii="宋体" w:hAnsi="宋体"/>
          <w:lang w:eastAsia="zh-CN"/>
        </w:rPr>
        <w:t>应完成任务的权重分</w:t>
      </w:r>
      <w:r>
        <w:rPr>
          <w:rFonts w:hint="eastAsia" w:ascii="宋体" w:hAnsi="宋体"/>
          <w:lang w:val="en-US" w:eastAsia="zh-CN"/>
        </w:rPr>
        <w:t>之和</w:t>
      </w:r>
    </w:p>
    <w:p w14:paraId="54F5ADCF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经批准调整计划节点的任务，不计入原评价周期应完成总负荷。</w:t>
      </w:r>
    </w:p>
    <w:p w14:paraId="23A9094C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新增任务、取消任务或重大计划调整，由PMO根据批准后的项目计划同步调整应完成总负荷。</w:t>
      </w:r>
    </w:p>
    <w:p w14:paraId="077B0B7D">
      <w:pPr>
        <w:pStyle w:val="4"/>
        <w:rPr>
          <w:rFonts w:hint="eastAsia" w:ascii="宋体" w:hAnsi="宋体" w:eastAsia="宋体"/>
          <w:lang w:val="en-US" w:eastAsia="zh-CN"/>
        </w:rPr>
      </w:pPr>
      <w:r>
        <w:rPr>
          <w:rFonts w:ascii="宋体" w:hAnsi="宋体" w:eastAsia="宋体"/>
          <w:lang w:eastAsia="zh-CN"/>
        </w:rPr>
        <w:t>3.</w:t>
      </w:r>
      <w:r>
        <w:rPr>
          <w:rFonts w:hint="eastAsia" w:ascii="宋体" w:hAnsi="宋体" w:eastAsia="宋体"/>
          <w:lang w:val="en-US" w:eastAsia="zh-CN"/>
        </w:rPr>
        <w:t>3实得有效积分</w:t>
      </w:r>
    </w:p>
    <w:p w14:paraId="5B0596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实得有效积分，是指评价周期内工作组所有任务实际取得的任务有效积分总和。</w:t>
      </w:r>
    </w:p>
    <w:p w14:paraId="3390A8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实得有效积分=Σ（各项任务有效积分）</w:t>
      </w:r>
    </w:p>
    <w:p w14:paraId="6EB82B78">
      <w:pPr>
        <w:pStyle w:val="4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3.4产出得分</w:t>
      </w:r>
    </w:p>
    <w:p w14:paraId="531822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产出得分主要反映工作组实际完成工作成果情况。</w:t>
      </w:r>
    </w:p>
    <w:p w14:paraId="15B324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产出得分=实得有效积分÷应完成总负荷×100%</w:t>
      </w:r>
    </w:p>
    <w:p w14:paraId="5E5604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产出得分最高为100分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当评价周期内无应完成任务时，本项不参与计算。</w:t>
      </w:r>
    </w:p>
    <w:p w14:paraId="53D957D1">
      <w:pPr>
        <w:rPr>
          <w:rFonts w:hint="eastAsia" w:ascii="宋体" w:hAnsi="宋体" w:eastAsia="宋体" w:cstheme="majorBidi"/>
          <w:b/>
          <w:bCs/>
          <w:color w:val="2E74B5"/>
          <w:sz w:val="26"/>
          <w:szCs w:val="26"/>
          <w:lang w:val="en-US" w:eastAsia="zh-CN" w:bidi="ar-SA"/>
        </w:rPr>
      </w:pPr>
      <w:r>
        <w:rPr>
          <w:rFonts w:hint="eastAsia" w:ascii="宋体" w:hAnsi="宋体" w:eastAsia="宋体" w:cstheme="majorBidi"/>
          <w:b/>
          <w:bCs/>
          <w:color w:val="2E74B5"/>
          <w:sz w:val="26"/>
          <w:szCs w:val="26"/>
          <w:lang w:val="en-US" w:eastAsia="zh-CN" w:bidi="ar-SA"/>
        </w:rPr>
        <w:t>3.5过程评价指标</w:t>
      </w:r>
    </w:p>
    <w:p w14:paraId="48A67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过程评价包括以下四项指标：</w:t>
      </w:r>
    </w:p>
    <w:p w14:paraId="0D3DE4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按期完成率反映工作组计划执行能力。</w:t>
      </w:r>
    </w:p>
    <w:p w14:paraId="04938C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按期完成率=按期完成任务权重÷应完成总负荷×100%</w:t>
      </w:r>
    </w:p>
    <w:p w14:paraId="2CEC40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经批准调整计划节点后按新节点完成的，视为按期完成。</w:t>
      </w:r>
    </w:p>
    <w:p w14:paraId="54E9A1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一次通过率反映工作成果质量。</w:t>
      </w:r>
    </w:p>
    <w:p w14:paraId="5E641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一次通过率=一次评审通过任务权重÷已提交评审任务权重×100%</w:t>
      </w:r>
    </w:p>
    <w:p w14:paraId="09E75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首次正式评审结论为通过</w:t>
      </w:r>
      <w:r>
        <w:rPr>
          <w:rFonts w:hint="eastAsia"/>
          <w:lang w:val="en-US" w:eastAsia="zh-CN"/>
        </w:rPr>
        <w:t>，或</w:t>
      </w:r>
      <w:r>
        <w:rPr>
          <w:rFonts w:hint="default"/>
          <w:lang w:val="en-US" w:eastAsia="zh-CN"/>
        </w:rPr>
        <w:t>仅存在文字修改、格式调整等非实质性修订</w:t>
      </w:r>
      <w:r>
        <w:rPr>
          <w:rFonts w:hint="eastAsia"/>
          <w:lang w:val="en-US" w:eastAsia="zh-CN"/>
        </w:rPr>
        <w:t>且</w:t>
      </w:r>
      <w:r>
        <w:rPr>
          <w:rFonts w:hint="default"/>
          <w:lang w:val="en-US" w:eastAsia="zh-CN"/>
        </w:rPr>
        <w:t>不影响评审结论</w:t>
      </w:r>
      <w:r>
        <w:rPr>
          <w:rFonts w:hint="eastAsia"/>
          <w:lang w:val="en-US" w:eastAsia="zh-CN"/>
        </w:rPr>
        <w:t>均</w:t>
      </w:r>
      <w:r>
        <w:rPr>
          <w:rFonts w:hint="default"/>
          <w:lang w:val="en-US" w:eastAsia="zh-CN"/>
        </w:rPr>
        <w:t>视为一次通过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形成正式退回记录的，不属于一次通过。</w:t>
      </w:r>
    </w:p>
    <w:p w14:paraId="16A68B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证据齐套率反映成果可追溯程度。</w:t>
      </w:r>
    </w:p>
    <w:p w14:paraId="55B987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证据齐套率=证据完整任务权重÷已完成任务权重×100%</w:t>
      </w:r>
    </w:p>
    <w:p w14:paraId="551557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返工率反映重复劳动情况。</w:t>
      </w:r>
    </w:p>
    <w:p w14:paraId="2D147A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返工率=返工扣减积分÷已提交评审任务权重×100%</w:t>
      </w:r>
    </w:p>
    <w:p w14:paraId="2B6727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返工扣减按照以下标准执行：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788"/>
        <w:gridCol w:w="4788"/>
      </w:tblGrid>
      <w:tr w14:paraId="7B9D3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8" w:type="dxa"/>
            <w:shd w:val="clear" w:color="auto" w:fill="DCE6F2" w:themeFill="accent1" w:themeFillTint="32"/>
          </w:tcPr>
          <w:p w14:paraId="6D57EF89">
            <w:pPr>
              <w:spacing w:after="0" w:line="252" w:lineRule="auto"/>
              <w:jc w:val="center"/>
              <w:rPr>
                <w:rFonts w:hint="default" w:ascii="宋体" w:hAnsi="宋体"/>
                <w:b/>
                <w:sz w:val="20"/>
                <w:lang w:val="en-US" w:eastAsia="zh-CN"/>
              </w:rPr>
            </w:pPr>
            <w:r>
              <w:rPr>
                <w:rFonts w:hint="default" w:ascii="宋体" w:hAnsi="宋体"/>
                <w:b/>
                <w:sz w:val="20"/>
                <w:lang w:val="en-US" w:eastAsia="zh-CN"/>
              </w:rPr>
              <w:t>情形</w:t>
            </w:r>
          </w:p>
        </w:tc>
        <w:tc>
          <w:tcPr>
            <w:tcW w:w="4788" w:type="dxa"/>
            <w:shd w:val="clear" w:color="auto" w:fill="DCE6F2" w:themeFill="accent1" w:themeFillTint="32"/>
          </w:tcPr>
          <w:p w14:paraId="286036B8">
            <w:pPr>
              <w:spacing w:after="0" w:line="252" w:lineRule="auto"/>
              <w:jc w:val="center"/>
              <w:rPr>
                <w:rFonts w:hint="default" w:ascii="宋体" w:hAnsi="宋体"/>
                <w:b/>
                <w:sz w:val="20"/>
                <w:lang w:val="en-US" w:eastAsia="zh-CN"/>
              </w:rPr>
            </w:pPr>
            <w:r>
              <w:rPr>
                <w:rFonts w:hint="default" w:ascii="宋体" w:hAnsi="宋体"/>
                <w:b/>
                <w:sz w:val="20"/>
                <w:lang w:val="en-US" w:eastAsia="zh-CN"/>
              </w:rPr>
              <w:t>扣减比例</w:t>
            </w:r>
          </w:p>
        </w:tc>
      </w:tr>
      <w:tr w14:paraId="5028A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8" w:type="dxa"/>
          </w:tcPr>
          <w:p w14:paraId="09A17D15">
            <w:pPr>
              <w:spacing w:after="0" w:line="252" w:lineRule="auto"/>
              <w:jc w:val="center"/>
              <w:rPr>
                <w:rFonts w:hint="default" w:ascii="宋体" w:hAnsi="宋体"/>
                <w:sz w:val="20"/>
                <w:lang w:val="en-US" w:eastAsia="zh-CN"/>
              </w:rPr>
            </w:pPr>
            <w:r>
              <w:rPr>
                <w:rFonts w:hint="default" w:ascii="宋体" w:hAnsi="宋体"/>
                <w:sz w:val="20"/>
                <w:lang w:val="en-US" w:eastAsia="zh-CN"/>
              </w:rPr>
              <w:t>首次正式退回</w:t>
            </w:r>
          </w:p>
        </w:tc>
        <w:tc>
          <w:tcPr>
            <w:tcW w:w="4788" w:type="dxa"/>
          </w:tcPr>
          <w:p w14:paraId="1A6C7405">
            <w:pPr>
              <w:spacing w:after="0" w:line="252" w:lineRule="auto"/>
              <w:jc w:val="center"/>
              <w:rPr>
                <w:rFonts w:hint="default" w:ascii="宋体" w:hAnsi="宋体"/>
                <w:sz w:val="20"/>
                <w:lang w:val="en-US" w:eastAsia="zh-CN"/>
              </w:rPr>
            </w:pPr>
            <w:r>
              <w:rPr>
                <w:rFonts w:hint="default" w:ascii="宋体" w:hAnsi="宋体"/>
                <w:sz w:val="20"/>
                <w:lang w:val="en-US" w:eastAsia="zh-CN"/>
              </w:rPr>
              <w:t>20%</w:t>
            </w:r>
          </w:p>
        </w:tc>
      </w:tr>
      <w:tr w14:paraId="62F7C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8" w:type="dxa"/>
          </w:tcPr>
          <w:p w14:paraId="0DE6AF95">
            <w:pPr>
              <w:spacing w:after="0" w:line="252" w:lineRule="auto"/>
              <w:jc w:val="center"/>
              <w:rPr>
                <w:rFonts w:hint="default" w:ascii="宋体" w:hAnsi="宋体"/>
                <w:sz w:val="20"/>
                <w:lang w:val="en-US" w:eastAsia="zh-CN"/>
              </w:rPr>
            </w:pPr>
            <w:r>
              <w:rPr>
                <w:rFonts w:hint="default" w:ascii="宋体" w:hAnsi="宋体"/>
                <w:sz w:val="20"/>
                <w:lang w:val="en-US" w:eastAsia="zh-CN"/>
              </w:rPr>
              <w:t>第二次正式退回</w:t>
            </w:r>
          </w:p>
        </w:tc>
        <w:tc>
          <w:tcPr>
            <w:tcW w:w="4788" w:type="dxa"/>
          </w:tcPr>
          <w:p w14:paraId="049C1DD5">
            <w:pPr>
              <w:spacing w:after="0" w:line="252" w:lineRule="auto"/>
              <w:jc w:val="center"/>
              <w:rPr>
                <w:rFonts w:hint="default" w:ascii="宋体" w:hAnsi="宋体"/>
                <w:sz w:val="20"/>
                <w:lang w:val="en-US" w:eastAsia="zh-CN"/>
              </w:rPr>
            </w:pPr>
            <w:r>
              <w:rPr>
                <w:rFonts w:hint="default" w:ascii="宋体" w:hAnsi="宋体"/>
                <w:sz w:val="20"/>
                <w:lang w:val="en-US" w:eastAsia="zh-CN"/>
              </w:rPr>
              <w:t>50%</w:t>
            </w:r>
          </w:p>
        </w:tc>
      </w:tr>
      <w:tr w14:paraId="2A54D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8" w:type="dxa"/>
          </w:tcPr>
          <w:p w14:paraId="4AD905EC">
            <w:pPr>
              <w:spacing w:after="0" w:line="252" w:lineRule="auto"/>
              <w:jc w:val="center"/>
              <w:rPr>
                <w:rFonts w:hint="default" w:ascii="宋体" w:hAnsi="宋体"/>
                <w:sz w:val="20"/>
                <w:lang w:val="en-US" w:eastAsia="zh-CN"/>
              </w:rPr>
            </w:pPr>
            <w:r>
              <w:rPr>
                <w:rFonts w:hint="default" w:ascii="宋体" w:hAnsi="宋体"/>
                <w:sz w:val="20"/>
                <w:lang w:val="en-US" w:eastAsia="zh-CN"/>
              </w:rPr>
              <w:t>最终未通过</w:t>
            </w:r>
          </w:p>
        </w:tc>
        <w:tc>
          <w:tcPr>
            <w:tcW w:w="4788" w:type="dxa"/>
          </w:tcPr>
          <w:p w14:paraId="62347862">
            <w:pPr>
              <w:spacing w:after="0" w:line="252" w:lineRule="auto"/>
              <w:jc w:val="center"/>
              <w:rPr>
                <w:rFonts w:hint="default" w:ascii="宋体" w:hAnsi="宋体"/>
                <w:sz w:val="20"/>
                <w:lang w:val="en-US" w:eastAsia="zh-CN"/>
              </w:rPr>
            </w:pPr>
            <w:r>
              <w:rPr>
                <w:rFonts w:hint="default" w:ascii="宋体" w:hAnsi="宋体"/>
                <w:sz w:val="20"/>
                <w:lang w:val="en-US" w:eastAsia="zh-CN"/>
              </w:rPr>
              <w:t>100%</w:t>
            </w:r>
          </w:p>
        </w:tc>
      </w:tr>
    </w:tbl>
    <w:p w14:paraId="6AFF7F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因模板调整、审核标准统一、项目统一变更导致返工，经PMO确认后，不计入返工率。</w:t>
      </w:r>
    </w:p>
    <w:p w14:paraId="4F26F9B3">
      <w:pPr>
        <w:pStyle w:val="4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3.6过程得分</w:t>
      </w:r>
    </w:p>
    <w:p w14:paraId="4018E3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过程得分=按期完成率×40%+一次通过率×30%+证据齐套率×20%−返工率×10%</w:t>
      </w:r>
    </w:p>
    <w:p w14:paraId="164C54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当某项指标不存在统计基础时，该指标不参与计算，其权重按比例分配至其他指标。</w:t>
      </w:r>
    </w:p>
    <w:p w14:paraId="1666BE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PMO应在评价报告中说明原因。</w:t>
      </w:r>
    </w:p>
    <w:p w14:paraId="7D8F1788">
      <w:pPr>
        <w:pStyle w:val="4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3.7最终综合得分</w:t>
      </w:r>
    </w:p>
    <w:p w14:paraId="456B55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最终综合得分作为工作组排序及激励分档的唯一量化依据。</w:t>
      </w:r>
    </w:p>
    <w:p w14:paraId="042CA6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计算公式：</w:t>
      </w:r>
    </w:p>
    <w:p w14:paraId="24D9A0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最终综合得分=产出得分×50%+过程得分×50%</w:t>
      </w:r>
    </w:p>
    <w:p w14:paraId="23837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项目执行过程中，如确需调整两项权重比例，应经项目执行副组长批准后统一执行。</w:t>
      </w:r>
    </w:p>
    <w:p w14:paraId="5B132F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任何评价周期内不得临时调整计算方式。</w:t>
      </w:r>
    </w:p>
    <w:p w14:paraId="604F5E73">
      <w:pPr>
        <w:pStyle w:val="4"/>
        <w:rPr>
          <w:rFonts w:hint="eastAsia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3.8月度评价结果</w:t>
      </w:r>
    </w:p>
    <w:p w14:paraId="04D25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PMO每月形成《工作组综合评价报告》，内容包括：</w:t>
      </w:r>
    </w:p>
    <w:p w14:paraId="1142B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（一）应完成总负荷；</w:t>
      </w:r>
    </w:p>
    <w:p w14:paraId="46D25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（二）实得有效积分；</w:t>
      </w:r>
    </w:p>
    <w:p w14:paraId="0277B5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（三）产出得分；</w:t>
      </w:r>
    </w:p>
    <w:p w14:paraId="5D3722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（四）按期完成率；</w:t>
      </w:r>
    </w:p>
    <w:p w14:paraId="0BD42B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（五）一次通过率；</w:t>
      </w:r>
    </w:p>
    <w:p w14:paraId="354CFA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（六）证据齐套率；</w:t>
      </w:r>
    </w:p>
    <w:p w14:paraId="2D7D63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（七）返工率；</w:t>
      </w:r>
    </w:p>
    <w:p w14:paraId="750C08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（八）过程得分；</w:t>
      </w:r>
    </w:p>
    <w:p w14:paraId="39018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（九）最终综合得分；</w:t>
      </w:r>
    </w:p>
    <w:p w14:paraId="71A29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（十）存在问题及改进建议。</w:t>
      </w:r>
    </w:p>
    <w:p w14:paraId="3C506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评价结果经项目执行副组长确认后，作为项目专项激励、月度绩效及年度绩效应用的重要依据。</w:t>
      </w:r>
    </w:p>
    <w:p w14:paraId="610D6C51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四、</w:t>
      </w:r>
      <w:r>
        <w:rPr>
          <w:rFonts w:hint="eastAsia" w:ascii="宋体" w:hAnsi="宋体" w:eastAsia="宋体"/>
          <w:lang w:eastAsia="zh-CN"/>
        </w:rPr>
        <w:t>激励资格确认及负向管理</w:t>
      </w:r>
    </w:p>
    <w:p w14:paraId="5B013D03">
      <w:pPr>
        <w:pStyle w:val="4"/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  <w:lang w:eastAsia="zh-CN"/>
        </w:rPr>
        <w:t>4.1</w:t>
      </w:r>
      <w:r>
        <w:rPr>
          <w:rFonts w:hint="eastAsia" w:ascii="宋体" w:hAnsi="宋体" w:eastAsia="宋体"/>
          <w:lang w:val="en-US" w:eastAsia="zh-CN"/>
        </w:rPr>
        <w:t>激励资格确认原则</w:t>
      </w:r>
    </w:p>
    <w:p w14:paraId="557D8A5A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项目专项激励坚持"评分排序、资格准入、奖优罚劣"的原则。</w:t>
      </w:r>
    </w:p>
    <w:p w14:paraId="697C443B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工作组进入专项激励分档，应同时满足综合评分要求及资格准入条件。</w:t>
      </w:r>
    </w:p>
    <w:p w14:paraId="7E38FD08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激励资格确认遵循以下原则：</w:t>
      </w:r>
    </w:p>
    <w:p w14:paraId="02A7942C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（一）先评价、后确认；</w:t>
      </w:r>
    </w:p>
    <w:p w14:paraId="352882A6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（二）先资格、后分档；</w:t>
      </w:r>
    </w:p>
    <w:p w14:paraId="3643D163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（三）坚持公开、公平、公正；</w:t>
      </w:r>
    </w:p>
    <w:p w14:paraId="652867DF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（四）坚持事实评价，以项目记录及证据材料作为唯一依据。</w:t>
      </w:r>
    </w:p>
    <w:p w14:paraId="598E70E8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PMO负责形成资格确认意见，最终由项目执行副组长审核确认。</w:t>
      </w:r>
    </w:p>
    <w:p w14:paraId="19E42412">
      <w:pPr>
        <w:pStyle w:val="4"/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  <w:lang w:eastAsia="zh-CN"/>
        </w:rPr>
        <w:t>4.2激励资格</w:t>
      </w:r>
      <w:r>
        <w:rPr>
          <w:rFonts w:hint="eastAsia" w:ascii="宋体" w:hAnsi="宋体" w:eastAsia="宋体"/>
          <w:lang w:val="en-US" w:eastAsia="zh-CN"/>
        </w:rPr>
        <w:t>准入条件</w:t>
      </w:r>
    </w:p>
    <w:p w14:paraId="10F61AFB">
      <w:pPr>
        <w:pStyle w:val="14"/>
        <w:numPr>
          <w:numId w:val="0"/>
        </w:numPr>
        <w:ind w:leftChars="0"/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工作组同时满足下列条件的，可进入当期专项激励分档：</w:t>
      </w:r>
    </w:p>
    <w:p w14:paraId="3D7656DE">
      <w:pPr>
        <w:pStyle w:val="14"/>
        <w:numPr>
          <w:numId w:val="0"/>
        </w:numPr>
        <w:ind w:leftChars="0"/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（一）完成当期应完成工作负荷，或未完成部分已取得执行副组长批准调整；</w:t>
      </w:r>
    </w:p>
    <w:p w14:paraId="6DC48582">
      <w:pPr>
        <w:pStyle w:val="14"/>
        <w:numPr>
          <w:numId w:val="0"/>
        </w:numPr>
        <w:ind w:leftChars="0"/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（二）所有高风险任务均已按要求完成并形成闭环；</w:t>
      </w:r>
    </w:p>
    <w:p w14:paraId="51E5E306">
      <w:pPr>
        <w:pStyle w:val="14"/>
        <w:numPr>
          <w:numId w:val="0"/>
        </w:numPr>
        <w:ind w:leftChars="0"/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（三）关键路径任务未造成项目整体延期；</w:t>
      </w:r>
    </w:p>
    <w:p w14:paraId="11FA02BC">
      <w:pPr>
        <w:pStyle w:val="14"/>
        <w:numPr>
          <w:numId w:val="0"/>
        </w:numPr>
        <w:ind w:leftChars="0"/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（四）阶段门及里程碑节点达到放行条件；</w:t>
      </w:r>
    </w:p>
    <w:p w14:paraId="19239FF4">
      <w:pPr>
        <w:pStyle w:val="14"/>
        <w:numPr>
          <w:numId w:val="0"/>
        </w:numPr>
        <w:ind w:leftChars="0"/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（五）交付成果符合项目质量要求；</w:t>
      </w:r>
    </w:p>
    <w:p w14:paraId="0178062E">
      <w:pPr>
        <w:pStyle w:val="14"/>
        <w:numPr>
          <w:numId w:val="0"/>
        </w:numPr>
        <w:ind w:leftChars="0"/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（六）证据材料完整、真实、可追溯；</w:t>
      </w:r>
    </w:p>
    <w:p w14:paraId="371ADA3E">
      <w:pPr>
        <w:pStyle w:val="14"/>
        <w:numPr>
          <w:numId w:val="0"/>
        </w:numPr>
        <w:ind w:leftChars="0"/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（七）不存在重大质量事故、重大合规风险或客户重大投诉。</w:t>
      </w:r>
    </w:p>
    <w:p w14:paraId="3C5654BA">
      <w:pPr>
        <w:pStyle w:val="14"/>
        <w:numPr>
          <w:numId w:val="0"/>
        </w:numPr>
        <w:ind w:leftChars="0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上述条件未全部满足的，不进入当期专项激励分档。</w:t>
      </w:r>
    </w:p>
    <w:p w14:paraId="25751ACB">
      <w:pPr>
        <w:pStyle w:val="4"/>
        <w:rPr>
          <w:rFonts w:hint="eastAsia" w:ascii="宋体" w:hAnsi="宋体" w:eastAsia="宋体"/>
          <w:lang w:val="en-US" w:eastAsia="zh-CN"/>
        </w:rPr>
      </w:pPr>
      <w:r>
        <w:rPr>
          <w:rFonts w:ascii="宋体" w:hAnsi="宋体" w:eastAsia="宋体"/>
          <w:lang w:eastAsia="zh-CN"/>
        </w:rPr>
        <w:t>4.3</w:t>
      </w:r>
      <w:r>
        <w:rPr>
          <w:rFonts w:hint="eastAsia" w:ascii="宋体" w:hAnsi="宋体" w:eastAsia="宋体"/>
          <w:lang w:val="en-US" w:eastAsia="zh-CN"/>
        </w:rPr>
        <w:t>一票否决情形</w:t>
      </w:r>
    </w:p>
    <w:p w14:paraId="5092C04D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出现下列任一情形的，取消工作组当期全部专项激励资格：</w:t>
      </w:r>
    </w:p>
    <w:p w14:paraId="3E464BC2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（一）当期按期完成工作负荷低于应完成总负荷的60%；</w:t>
      </w:r>
    </w:p>
    <w:p w14:paraId="1F23B60D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（二）存在虚假完成、虚假提交、篡改数据、伪造证据等行为；</w:t>
      </w:r>
    </w:p>
    <w:p w14:paraId="0B350A74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（三）故意隐瞒重大风险、重大阻塞事项，造成项目损失；</w:t>
      </w:r>
    </w:p>
    <w:p w14:paraId="23DA44B0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（四）关键路径任务未完成且未履行调整审批程序；</w:t>
      </w:r>
    </w:p>
    <w:p w14:paraId="75265B03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（五）阶段门、里程碑节点未达成，导致项目整体延期；</w:t>
      </w:r>
    </w:p>
    <w:p w14:paraId="3F67EF45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（六）发生重大质量事故；</w:t>
      </w:r>
    </w:p>
    <w:p w14:paraId="7E5FEBA6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（七）发生重大安全、保密或合规事件；</w:t>
      </w:r>
    </w:p>
    <w:p w14:paraId="596B4357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（八）项目决策层认定的其他重大违规情形。</w:t>
      </w:r>
    </w:p>
    <w:p w14:paraId="566CA484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触发一票否决后，不再参与当期激励分档及激励金额计算。。</w:t>
      </w:r>
    </w:p>
    <w:p w14:paraId="36E2480B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val="en-US" w:eastAsia="zh-CN"/>
        </w:rPr>
        <w:t>4.4</w:t>
      </w:r>
      <w:r>
        <w:rPr>
          <w:rFonts w:hint="eastAsia" w:ascii="宋体" w:hAnsi="宋体" w:eastAsia="宋体"/>
          <w:lang w:eastAsia="zh-CN"/>
        </w:rPr>
        <w:t>暂缓激励资格情形</w:t>
      </w:r>
    </w:p>
    <w:p w14:paraId="1CD75F16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出现下列情形之一的，暂缓确认专项激励资格：</w:t>
      </w:r>
    </w:p>
    <w:p w14:paraId="4B90A18C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（一）高风险任务尚未完成闭环；</w:t>
      </w:r>
    </w:p>
    <w:p w14:paraId="5843631A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（二）阶段门前置交付成果尚未齐套；</w:t>
      </w:r>
    </w:p>
    <w:p w14:paraId="7824C241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（三）整改事项未按要求完成；</w:t>
      </w:r>
    </w:p>
    <w:p w14:paraId="45780331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（四）证据材料存在缺失，尚未形成完整证据链；</w:t>
      </w:r>
    </w:p>
    <w:p w14:paraId="5D2930FB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（五）项目执行副组长认为需进一步核查的其他事项。</w:t>
      </w:r>
    </w:p>
    <w:p w14:paraId="3711420A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暂缓资格期间，可继续开展整改。整改完成并经PMO复核、执行副组长确认后，可恢复激励资格，并按照整改后的评价结果重新确认激励分档。</w:t>
      </w:r>
    </w:p>
    <w:p w14:paraId="667085B1">
      <w:pPr>
        <w:rPr>
          <w:rFonts w:hint="eastAsia" w:ascii="宋体" w:hAnsi="宋体" w:eastAsia="宋体" w:cstheme="majorBidi"/>
          <w:b/>
          <w:bCs/>
          <w:color w:val="2E74B5"/>
          <w:sz w:val="26"/>
          <w:szCs w:val="26"/>
          <w:lang w:val="en-US" w:eastAsia="zh-CN" w:bidi="ar-SA"/>
        </w:rPr>
      </w:pPr>
      <w:r>
        <w:rPr>
          <w:rFonts w:hint="eastAsia" w:ascii="宋体" w:hAnsi="宋体" w:eastAsia="宋体" w:cstheme="majorBidi"/>
          <w:b/>
          <w:bCs/>
          <w:color w:val="2E74B5"/>
          <w:sz w:val="26"/>
          <w:szCs w:val="26"/>
          <w:lang w:val="en-US" w:eastAsia="zh-CN" w:bidi="ar-SA"/>
        </w:rPr>
        <w:t>4.5客观原因调整</w:t>
      </w:r>
    </w:p>
    <w:p w14:paraId="556998E3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因客观原因确需调整任务计划的，应至少提前三个工作日提出调整申请。</w:t>
      </w:r>
    </w:p>
    <w:p w14:paraId="1783E29B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调整申请应包括以下内容：</w:t>
      </w:r>
    </w:p>
    <w:p w14:paraId="24701673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（一）调整原因；</w:t>
      </w:r>
    </w:p>
    <w:p w14:paraId="0A51BF52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（二）影响范围；</w:t>
      </w:r>
    </w:p>
    <w:p w14:paraId="33D555DD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（三）需协调事项；</w:t>
      </w:r>
    </w:p>
    <w:p w14:paraId="2B23E330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（四）新的完成计划；</w:t>
      </w:r>
    </w:p>
    <w:p w14:paraId="2AFB1518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（五）风险控制措施。</w:t>
      </w:r>
    </w:p>
    <w:p w14:paraId="6A956777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执行副组长审批同意后，任务按调整后的节点进行评价，不视为延期，不作为负向评价依据。</w:t>
      </w:r>
    </w:p>
    <w:p w14:paraId="041A2674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未经批准擅自调整计划的，仍按原计划节点评价。</w:t>
      </w:r>
    </w:p>
    <w:p w14:paraId="7F3AFDA8">
      <w:pPr>
        <w:rPr>
          <w:rFonts w:hint="default" w:ascii="宋体" w:hAnsi="宋体" w:eastAsia="宋体" w:cstheme="majorBidi"/>
          <w:b/>
          <w:bCs/>
          <w:color w:val="2E74B5"/>
          <w:sz w:val="26"/>
          <w:szCs w:val="26"/>
          <w:lang w:val="en-US" w:eastAsia="zh-CN" w:bidi="ar-SA"/>
        </w:rPr>
      </w:pPr>
      <w:r>
        <w:rPr>
          <w:rFonts w:hint="eastAsia" w:ascii="宋体" w:hAnsi="宋体" w:cstheme="majorBidi"/>
          <w:b/>
          <w:bCs/>
          <w:color w:val="2E74B5"/>
          <w:sz w:val="26"/>
          <w:szCs w:val="26"/>
          <w:lang w:val="en-US" w:eastAsia="zh-CN" w:bidi="ar-SA"/>
        </w:rPr>
        <w:t>4</w:t>
      </w:r>
      <w:r>
        <w:rPr>
          <w:rFonts w:hint="default" w:ascii="宋体" w:hAnsi="宋体" w:eastAsia="宋体" w:cstheme="majorBidi"/>
          <w:b/>
          <w:bCs/>
          <w:color w:val="2E74B5"/>
          <w:sz w:val="26"/>
          <w:szCs w:val="26"/>
          <w:lang w:val="en-US" w:eastAsia="zh-CN" w:bidi="ar-SA"/>
        </w:rPr>
        <w:t>.6责任边界</w:t>
      </w:r>
    </w:p>
    <w:p w14:paraId="2D46CAC0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本方案仅评价本项目任务执行情况，不追溯项目历史遗留问题。</w:t>
      </w:r>
    </w:p>
    <w:p w14:paraId="02163ADA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因以下原因导致任务未完成的，经PMO确认后，不计入工作组责任：</w:t>
      </w:r>
    </w:p>
    <w:p w14:paraId="35FBFB2E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（一）项目范围调整；</w:t>
      </w:r>
    </w:p>
    <w:p w14:paraId="68654089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（二）上游任务延期；</w:t>
      </w:r>
    </w:p>
    <w:p w14:paraId="07DFEAEA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（三）跨部门未按计划配合；</w:t>
      </w:r>
    </w:p>
    <w:p w14:paraId="148EC3D4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（四）公司重大决策调整；</w:t>
      </w:r>
    </w:p>
    <w:p w14:paraId="785FB836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（五）不可抗力；</w:t>
      </w:r>
    </w:p>
    <w:p w14:paraId="55098440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（六）其他经项目决策层确认的客观原因。</w:t>
      </w:r>
    </w:p>
    <w:p w14:paraId="3167AB39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PMO应建立责任界定台账，形成书面记录，确保评价客观、公正。</w:t>
      </w:r>
    </w:p>
    <w:p w14:paraId="27B07146">
      <w:pPr>
        <w:rPr>
          <w:rFonts w:hint="default" w:ascii="宋体" w:hAnsi="宋体" w:eastAsia="宋体" w:cstheme="majorBidi"/>
          <w:b/>
          <w:bCs/>
          <w:color w:val="2E74B5"/>
          <w:sz w:val="26"/>
          <w:szCs w:val="26"/>
          <w:lang w:val="en-US" w:eastAsia="zh-CN" w:bidi="ar-SA"/>
        </w:rPr>
      </w:pPr>
      <w:r>
        <w:rPr>
          <w:rFonts w:hint="eastAsia" w:ascii="宋体" w:hAnsi="宋体" w:eastAsia="宋体" w:cstheme="majorBidi"/>
          <w:b/>
          <w:bCs/>
          <w:color w:val="2E74B5"/>
          <w:sz w:val="26"/>
          <w:szCs w:val="26"/>
          <w:lang w:val="en-US" w:eastAsia="zh-CN" w:bidi="ar-SA"/>
        </w:rPr>
        <w:t>4.7</w:t>
      </w:r>
      <w:r>
        <w:rPr>
          <w:rFonts w:hint="default" w:ascii="宋体" w:hAnsi="宋体" w:eastAsia="宋体" w:cstheme="majorBidi"/>
          <w:b/>
          <w:bCs/>
          <w:color w:val="2E74B5"/>
          <w:sz w:val="26"/>
          <w:szCs w:val="26"/>
          <w:lang w:val="en-US" w:eastAsia="zh-CN" w:bidi="ar-SA"/>
        </w:rPr>
        <w:t>异议申诉机制</w:t>
      </w:r>
    </w:p>
    <w:p w14:paraId="3F6EC16D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工作组对评价结果存在异议的，可自评价结果公布之日起3个工作日内向PMO提出书面申诉。</w:t>
      </w:r>
    </w:p>
    <w:p w14:paraId="258D1500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申诉材料应包括：</w:t>
      </w:r>
    </w:p>
    <w:p w14:paraId="25E0F685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（一）申诉事项；</w:t>
      </w:r>
    </w:p>
    <w:p w14:paraId="283C263D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（二）事实依据；</w:t>
      </w:r>
    </w:p>
    <w:p w14:paraId="5D5E55AB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（三）相关证明材料；</w:t>
      </w:r>
    </w:p>
    <w:p w14:paraId="339A0C95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（四）建议处理意见。</w:t>
      </w:r>
    </w:p>
    <w:p w14:paraId="30A8DD0B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PMO应自收到申诉之日起5个工作日内完成复核，并形成书面意见。</w:t>
      </w:r>
    </w:p>
    <w:p w14:paraId="10A27214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涉及重大争议事项的，由项目执行副组长组织相关部门集体审议，审议结果作为最终评价依据。</w:t>
      </w:r>
    </w:p>
    <w:p w14:paraId="1ED74B2F">
      <w:pPr>
        <w:pStyle w:val="3"/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  <w:lang w:eastAsia="zh-CN"/>
        </w:rPr>
        <w:t>五、</w:t>
      </w:r>
      <w:r>
        <w:rPr>
          <w:rFonts w:hint="eastAsia" w:ascii="宋体" w:hAnsi="宋体" w:eastAsia="宋体"/>
          <w:lang w:val="en-US" w:eastAsia="zh-CN"/>
        </w:rPr>
        <w:t>激励分档与激励应用</w:t>
      </w:r>
    </w:p>
    <w:p w14:paraId="62E16729">
      <w:pPr>
        <w:pStyle w:val="4"/>
        <w:rPr>
          <w:rFonts w:hint="eastAsia"/>
          <w:lang w:eastAsia="zh-CN"/>
        </w:rPr>
      </w:pPr>
      <w:r>
        <w:rPr>
          <w:rFonts w:ascii="宋体" w:hAnsi="宋体" w:eastAsia="宋体"/>
        </w:rPr>
        <w:t>5.1</w:t>
      </w:r>
      <w:r>
        <w:rPr>
          <w:rFonts w:hint="eastAsia" w:eastAsia="宋体"/>
          <w:lang w:eastAsia="zh-CN"/>
        </w:rPr>
        <w:t>激励分档原则</w:t>
      </w:r>
    </w:p>
    <w:p w14:paraId="14354B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项目专项激励实行“综合评分排序、资格准入确认、分档兑现激励”的管理模式。</w:t>
      </w:r>
    </w:p>
    <w:p w14:paraId="6E93D49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工作组应先通过第五章规定的激励资格审核，再依据第四章最终综合得分确定激励档次。</w:t>
      </w:r>
    </w:p>
    <w:p w14:paraId="5E8E477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最终综合得分作为工作组激励排序及激励分档的唯一量化依据。</w:t>
      </w:r>
    </w:p>
    <w:p w14:paraId="2F092B1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未取得专项激励资格的，不参与激励分档。</w:t>
      </w:r>
    </w:p>
    <w:p w14:paraId="557CE80F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5.2</w:t>
      </w:r>
      <w:r>
        <w:rPr>
          <w:rFonts w:hint="eastAsia" w:ascii="宋体" w:hAnsi="宋体" w:eastAsia="宋体"/>
          <w:lang w:eastAsia="zh-CN"/>
        </w:rPr>
        <w:t>激励分档标准</w:t>
      </w:r>
    </w:p>
    <w:p w14:paraId="2334705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工作组激励分档按照最终综合得分执行。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55"/>
        <w:gridCol w:w="1619"/>
        <w:gridCol w:w="1250"/>
        <w:gridCol w:w="5652"/>
      </w:tblGrid>
      <w:tr w14:paraId="01625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3" w:hRule="atLeast"/>
        </w:trPr>
        <w:tc>
          <w:tcPr>
            <w:tcW w:w="1055" w:type="dxa"/>
            <w:shd w:val="clear" w:color="auto" w:fill="DCE6F2" w:themeFill="accent1" w:themeFillTint="32"/>
          </w:tcPr>
          <w:p w14:paraId="27BBE81A">
            <w:pPr>
              <w:spacing w:after="0" w:line="252" w:lineRule="auto"/>
              <w:jc w:val="center"/>
              <w:rPr>
                <w:rFonts w:hint="default" w:ascii="宋体" w:hAnsi="宋体"/>
                <w:b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0"/>
                <w:lang w:val="en-US" w:eastAsia="zh-CN"/>
              </w:rPr>
              <w:t>激励档次</w:t>
            </w:r>
          </w:p>
        </w:tc>
        <w:tc>
          <w:tcPr>
            <w:tcW w:w="1619" w:type="dxa"/>
            <w:shd w:val="clear" w:color="auto" w:fill="DCE6F2" w:themeFill="accent1" w:themeFillTint="32"/>
          </w:tcPr>
          <w:p w14:paraId="110B6CAD">
            <w:pPr>
              <w:spacing w:after="0" w:line="252" w:lineRule="auto"/>
              <w:jc w:val="center"/>
              <w:rPr>
                <w:rFonts w:hint="default" w:ascii="宋体" w:hAnsi="宋体"/>
                <w:b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0"/>
                <w:lang w:val="en-US" w:eastAsia="zh-CN"/>
              </w:rPr>
              <w:t>最终综合得分</w:t>
            </w:r>
          </w:p>
        </w:tc>
        <w:tc>
          <w:tcPr>
            <w:tcW w:w="1250" w:type="dxa"/>
            <w:shd w:val="clear" w:color="auto" w:fill="DCE6F2" w:themeFill="accent1" w:themeFillTint="32"/>
          </w:tcPr>
          <w:p w14:paraId="786D39F3">
            <w:pPr>
              <w:spacing w:after="0" w:line="252" w:lineRule="auto"/>
              <w:jc w:val="center"/>
              <w:rPr>
                <w:rFonts w:hint="default" w:ascii="宋体" w:hAnsi="宋体"/>
                <w:b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0"/>
                <w:lang w:val="en-US" w:eastAsia="zh-CN"/>
              </w:rPr>
              <w:t>激励系数</w:t>
            </w:r>
          </w:p>
        </w:tc>
        <w:tc>
          <w:tcPr>
            <w:tcW w:w="5652" w:type="dxa"/>
            <w:shd w:val="clear" w:color="auto" w:fill="DCE6F2" w:themeFill="accent1" w:themeFillTint="32"/>
          </w:tcPr>
          <w:p w14:paraId="31F63FC4">
            <w:pPr>
              <w:spacing w:after="0" w:line="252" w:lineRule="auto"/>
              <w:jc w:val="center"/>
              <w:rPr>
                <w:rFonts w:hint="default" w:ascii="宋体" w:hAnsi="宋体"/>
                <w:b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0"/>
                <w:lang w:val="en-US" w:eastAsia="zh-CN"/>
              </w:rPr>
              <w:t>说明</w:t>
            </w:r>
          </w:p>
        </w:tc>
      </w:tr>
      <w:tr w14:paraId="40C0F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55" w:type="dxa"/>
          </w:tcPr>
          <w:p w14:paraId="5EEF5BA3">
            <w:pPr>
              <w:spacing w:after="0" w:line="252" w:lineRule="auto"/>
              <w:jc w:val="center"/>
              <w:rPr>
                <w:rFonts w:hint="default" w:ascii="宋体" w:hAnsi="宋体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sz w:val="20"/>
                <w:lang w:val="en-US" w:eastAsia="zh-CN"/>
              </w:rPr>
              <w:t>A档</w:t>
            </w:r>
          </w:p>
        </w:tc>
        <w:tc>
          <w:tcPr>
            <w:tcW w:w="1619" w:type="dxa"/>
          </w:tcPr>
          <w:p w14:paraId="0967D67F">
            <w:pPr>
              <w:spacing w:after="0" w:line="252" w:lineRule="auto"/>
              <w:jc w:val="center"/>
              <w:rPr>
                <w:rFonts w:hint="default" w:ascii="宋体" w:hAnsi="宋体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sz w:val="20"/>
                <w:lang w:val="en-US" w:eastAsia="zh-CN"/>
              </w:rPr>
              <w:t>90分及以上</w:t>
            </w:r>
          </w:p>
        </w:tc>
        <w:tc>
          <w:tcPr>
            <w:tcW w:w="1250" w:type="dxa"/>
          </w:tcPr>
          <w:p w14:paraId="5AA79B0B">
            <w:pPr>
              <w:spacing w:after="0" w:line="252" w:lineRule="auto"/>
              <w:jc w:val="center"/>
              <w:rPr>
                <w:rFonts w:hint="default" w:ascii="宋体" w:hAnsi="宋体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sz w:val="20"/>
                <w:lang w:val="en-US" w:eastAsia="zh-CN"/>
              </w:rPr>
              <w:t>1.2</w:t>
            </w:r>
          </w:p>
        </w:tc>
        <w:tc>
          <w:tcPr>
            <w:tcW w:w="5652" w:type="dxa"/>
          </w:tcPr>
          <w:p w14:paraId="0B961103">
            <w:pPr>
              <w:spacing w:after="0" w:line="252" w:lineRule="auto"/>
              <w:jc w:val="center"/>
              <w:rPr>
                <w:rFonts w:hint="eastAsia" w:ascii="宋体" w:hAnsi="宋体"/>
                <w:sz w:val="20"/>
                <w:lang w:eastAsia="zh-CN"/>
              </w:rPr>
            </w:pPr>
            <w:r>
              <w:rPr>
                <w:rFonts w:hint="eastAsia" w:ascii="宋体" w:hAnsi="宋体"/>
                <w:sz w:val="20"/>
                <w:lang w:eastAsia="zh-CN"/>
              </w:rPr>
              <w:t>综合表现优秀，项目推进效果突出，可作为项目标杆工作组。</w:t>
            </w:r>
          </w:p>
        </w:tc>
      </w:tr>
      <w:tr w14:paraId="3F18E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55" w:type="dxa"/>
          </w:tcPr>
          <w:p w14:paraId="447092AC">
            <w:pPr>
              <w:spacing w:after="0" w:line="252" w:lineRule="auto"/>
              <w:jc w:val="center"/>
              <w:rPr>
                <w:rFonts w:hint="default" w:ascii="宋体" w:hAnsi="宋体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sz w:val="20"/>
                <w:lang w:val="en-US" w:eastAsia="zh-CN"/>
              </w:rPr>
              <w:t>B档</w:t>
            </w:r>
          </w:p>
        </w:tc>
        <w:tc>
          <w:tcPr>
            <w:tcW w:w="1619" w:type="dxa"/>
          </w:tcPr>
          <w:p w14:paraId="2FC5F4D8">
            <w:pPr>
              <w:spacing w:after="0" w:line="252" w:lineRule="auto"/>
              <w:jc w:val="center"/>
              <w:rPr>
                <w:rFonts w:hint="default" w:ascii="宋体" w:hAnsi="宋体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sz w:val="20"/>
                <w:lang w:val="en-US" w:eastAsia="zh-CN"/>
              </w:rPr>
              <w:t>80分-90分</w:t>
            </w:r>
          </w:p>
        </w:tc>
        <w:tc>
          <w:tcPr>
            <w:tcW w:w="1250" w:type="dxa"/>
          </w:tcPr>
          <w:p w14:paraId="2F918A1B">
            <w:pPr>
              <w:spacing w:after="0" w:line="252" w:lineRule="auto"/>
              <w:jc w:val="center"/>
              <w:rPr>
                <w:rFonts w:hint="default" w:ascii="宋体" w:hAnsi="宋体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sz w:val="20"/>
                <w:lang w:val="en-US" w:eastAsia="zh-CN"/>
              </w:rPr>
              <w:t>1.0</w:t>
            </w:r>
          </w:p>
        </w:tc>
        <w:tc>
          <w:tcPr>
            <w:tcW w:w="5652" w:type="dxa"/>
          </w:tcPr>
          <w:p w14:paraId="3608376C">
            <w:pPr>
              <w:spacing w:after="0" w:line="252" w:lineRule="auto"/>
              <w:jc w:val="center"/>
              <w:rPr>
                <w:rFonts w:hint="eastAsia" w:ascii="宋体" w:hAnsi="宋体"/>
                <w:sz w:val="20"/>
                <w:lang w:eastAsia="zh-CN"/>
              </w:rPr>
            </w:pPr>
            <w:r>
              <w:rPr>
                <w:rFonts w:hint="eastAsia" w:ascii="宋体" w:hAnsi="宋体"/>
                <w:sz w:val="20"/>
                <w:lang w:eastAsia="zh-CN"/>
              </w:rPr>
              <w:t>综合表现良好，达到项目目标要求。</w:t>
            </w:r>
          </w:p>
        </w:tc>
      </w:tr>
      <w:tr w14:paraId="2A521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55" w:type="dxa"/>
          </w:tcPr>
          <w:p w14:paraId="44F36787">
            <w:pPr>
              <w:spacing w:after="0" w:line="252" w:lineRule="auto"/>
              <w:jc w:val="center"/>
              <w:rPr>
                <w:rFonts w:hint="default" w:ascii="宋体" w:hAnsi="宋体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sz w:val="20"/>
                <w:lang w:val="en-US" w:eastAsia="zh-CN"/>
              </w:rPr>
              <w:t>C档</w:t>
            </w:r>
          </w:p>
        </w:tc>
        <w:tc>
          <w:tcPr>
            <w:tcW w:w="1619" w:type="dxa"/>
          </w:tcPr>
          <w:p w14:paraId="4DB5585B">
            <w:pPr>
              <w:spacing w:after="0" w:line="252" w:lineRule="auto"/>
              <w:jc w:val="center"/>
              <w:rPr>
                <w:rFonts w:hint="default" w:ascii="宋体" w:hAnsi="宋体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sz w:val="20"/>
                <w:lang w:val="en-US" w:eastAsia="zh-CN"/>
              </w:rPr>
              <w:t>70分-80分</w:t>
            </w:r>
          </w:p>
        </w:tc>
        <w:tc>
          <w:tcPr>
            <w:tcW w:w="1250" w:type="dxa"/>
          </w:tcPr>
          <w:p w14:paraId="3BE592D1">
            <w:pPr>
              <w:spacing w:after="0" w:line="252" w:lineRule="auto"/>
              <w:jc w:val="center"/>
              <w:rPr>
                <w:rFonts w:hint="default" w:ascii="宋体" w:hAnsi="宋体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sz w:val="20"/>
                <w:lang w:val="en-US" w:eastAsia="zh-CN"/>
              </w:rPr>
              <w:t>0.8</w:t>
            </w:r>
          </w:p>
        </w:tc>
        <w:tc>
          <w:tcPr>
            <w:tcW w:w="5652" w:type="dxa"/>
          </w:tcPr>
          <w:p w14:paraId="44146757">
            <w:pPr>
              <w:spacing w:after="0" w:line="252" w:lineRule="auto"/>
              <w:jc w:val="center"/>
              <w:rPr>
                <w:rFonts w:hint="eastAsia" w:ascii="宋体" w:hAnsi="宋体"/>
                <w:sz w:val="20"/>
                <w:lang w:eastAsia="zh-CN"/>
              </w:rPr>
            </w:pPr>
            <w:r>
              <w:rPr>
                <w:rFonts w:hint="eastAsia" w:ascii="宋体" w:hAnsi="宋体"/>
                <w:sz w:val="20"/>
                <w:lang w:eastAsia="zh-CN"/>
              </w:rPr>
              <w:t>基本完成项目目标，存在一定改进空间。</w:t>
            </w:r>
          </w:p>
        </w:tc>
      </w:tr>
      <w:tr w14:paraId="076EF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55" w:type="dxa"/>
          </w:tcPr>
          <w:p w14:paraId="6A04A641">
            <w:pPr>
              <w:spacing w:after="0" w:line="252" w:lineRule="auto"/>
              <w:jc w:val="center"/>
              <w:rPr>
                <w:rFonts w:hint="default" w:ascii="宋体" w:hAnsi="宋体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sz w:val="20"/>
                <w:lang w:val="en-US" w:eastAsia="zh-CN"/>
              </w:rPr>
              <w:t>D档</w:t>
            </w:r>
          </w:p>
        </w:tc>
        <w:tc>
          <w:tcPr>
            <w:tcW w:w="1619" w:type="dxa"/>
          </w:tcPr>
          <w:p w14:paraId="09E736A5">
            <w:pPr>
              <w:spacing w:after="0" w:line="252" w:lineRule="auto"/>
              <w:jc w:val="center"/>
              <w:rPr>
                <w:rFonts w:hint="default" w:ascii="宋体" w:hAnsi="宋体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sz w:val="20"/>
                <w:lang w:val="en-US" w:eastAsia="zh-CN"/>
              </w:rPr>
              <w:t>60分-70分</w:t>
            </w:r>
          </w:p>
        </w:tc>
        <w:tc>
          <w:tcPr>
            <w:tcW w:w="1250" w:type="dxa"/>
          </w:tcPr>
          <w:p w14:paraId="2DFD1F60">
            <w:pPr>
              <w:spacing w:after="0" w:line="252" w:lineRule="auto"/>
              <w:jc w:val="center"/>
              <w:rPr>
                <w:rFonts w:hint="default" w:ascii="宋体" w:hAnsi="宋体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sz w:val="20"/>
                <w:lang w:val="en-US" w:eastAsia="zh-CN"/>
              </w:rPr>
              <w:t>0.5</w:t>
            </w:r>
          </w:p>
        </w:tc>
        <w:tc>
          <w:tcPr>
            <w:tcW w:w="5652" w:type="dxa"/>
          </w:tcPr>
          <w:p w14:paraId="4EEE3759">
            <w:pPr>
              <w:spacing w:after="0" w:line="252" w:lineRule="auto"/>
              <w:jc w:val="center"/>
              <w:rPr>
                <w:rFonts w:hint="eastAsia" w:ascii="宋体" w:hAnsi="宋体"/>
                <w:sz w:val="20"/>
                <w:lang w:eastAsia="zh-CN"/>
              </w:rPr>
            </w:pPr>
            <w:r>
              <w:rPr>
                <w:rFonts w:hint="eastAsia" w:ascii="宋体" w:hAnsi="宋体"/>
                <w:sz w:val="20"/>
                <w:lang w:eastAsia="zh-CN"/>
              </w:rPr>
              <w:t>勉强达到最低要求，应重点整改提升。</w:t>
            </w:r>
          </w:p>
        </w:tc>
      </w:tr>
      <w:tr w14:paraId="4F5E8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55" w:type="dxa"/>
          </w:tcPr>
          <w:p w14:paraId="17A93580">
            <w:pPr>
              <w:spacing w:after="0" w:line="252" w:lineRule="auto"/>
              <w:jc w:val="center"/>
              <w:rPr>
                <w:rFonts w:hint="default" w:ascii="宋体" w:hAnsi="宋体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sz w:val="20"/>
                <w:lang w:val="en-US" w:eastAsia="zh-CN"/>
              </w:rPr>
              <w:t>E档</w:t>
            </w:r>
          </w:p>
        </w:tc>
        <w:tc>
          <w:tcPr>
            <w:tcW w:w="1619" w:type="dxa"/>
          </w:tcPr>
          <w:p w14:paraId="5EAD8421">
            <w:pPr>
              <w:spacing w:after="0" w:line="252" w:lineRule="auto"/>
              <w:jc w:val="center"/>
              <w:rPr>
                <w:rFonts w:hint="default" w:ascii="宋体" w:hAnsi="宋体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sz w:val="20"/>
                <w:lang w:val="en-US" w:eastAsia="zh-CN"/>
              </w:rPr>
              <w:t>60分以下</w:t>
            </w:r>
          </w:p>
        </w:tc>
        <w:tc>
          <w:tcPr>
            <w:tcW w:w="1250" w:type="dxa"/>
          </w:tcPr>
          <w:p w14:paraId="3BF26D16">
            <w:pPr>
              <w:spacing w:after="0" w:line="252" w:lineRule="auto"/>
              <w:jc w:val="center"/>
              <w:rPr>
                <w:rFonts w:hint="default" w:ascii="宋体" w:hAnsi="宋体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sz w:val="20"/>
                <w:lang w:val="en-US" w:eastAsia="zh-CN"/>
              </w:rPr>
              <w:t>0</w:t>
            </w:r>
          </w:p>
        </w:tc>
        <w:tc>
          <w:tcPr>
            <w:tcW w:w="5652" w:type="dxa"/>
          </w:tcPr>
          <w:p w14:paraId="2DB4B1E5">
            <w:pPr>
              <w:spacing w:after="0" w:line="252" w:lineRule="auto"/>
              <w:jc w:val="center"/>
              <w:rPr>
                <w:rFonts w:hint="default" w:ascii="宋体" w:hAnsi="宋体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sz w:val="20"/>
                <w:lang w:eastAsia="zh-CN"/>
              </w:rPr>
              <w:t>不具备专项激励资格。</w:t>
            </w:r>
          </w:p>
        </w:tc>
      </w:tr>
    </w:tbl>
    <w:p w14:paraId="002C9D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同一评价周期内，仅按照最终综合得分对应一个激励档次，不得重复适用多个档次。</w:t>
      </w:r>
    </w:p>
    <w:p w14:paraId="5E069ECC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5.3</w:t>
      </w:r>
      <w:r>
        <w:rPr>
          <w:rFonts w:hint="eastAsia" w:ascii="宋体" w:hAnsi="宋体" w:eastAsia="宋体"/>
          <w:lang w:eastAsia="zh-CN"/>
        </w:rPr>
        <w:t>激励金额计算</w:t>
      </w:r>
    </w:p>
    <w:p w14:paraId="54FDB7A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专项激励资金按照工作组激励系数进行分配。</w:t>
      </w:r>
    </w:p>
    <w:p w14:paraId="67375F5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工作组激励金额=当期专项激励资金×（本工作组激励系数÷全部符合激励资格工作组激励系数之和）</w:t>
      </w:r>
    </w:p>
    <w:p w14:paraId="3AD81F5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其中：</w:t>
      </w:r>
    </w:p>
    <w:p w14:paraId="31ACE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专项激励资金总额由项目决策层根据项目预算、阶段成果及实施进度确定。</w:t>
      </w:r>
    </w:p>
    <w:p w14:paraId="756AC35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工作组激励系数按照本章规定执行。</w:t>
      </w:r>
    </w:p>
    <w:p w14:paraId="03DEF6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符合专项激励资格的工作组参与激励资金分配。</w:t>
      </w:r>
    </w:p>
    <w:p w14:paraId="0FE7F64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当评价周期内所有工作组均未取得专项激励资格时：</w:t>
      </w:r>
    </w:p>
    <w:p w14:paraId="59BD3C2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（一）本期专项激励资金暂不发放；</w:t>
      </w:r>
    </w:p>
    <w:p w14:paraId="07011C5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（二）激励资金原则上结转至下一评价周期；</w:t>
      </w:r>
    </w:p>
    <w:p w14:paraId="0EA635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（三）是否重新安排专项激励，由项目决策层研究确定。</w:t>
      </w:r>
    </w:p>
    <w:p w14:paraId="07E43896"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六、执行流程</w:t>
      </w:r>
    </w:p>
    <w:tbl>
      <w:tblPr>
        <w:tblStyle w:val="33"/>
        <w:tblW w:w="9360" w:type="dxa"/>
        <w:jc w:val="center"/>
        <w:tblBorders>
          <w:top w:val="single" w:color="B7C0CA" w:sz="4" w:space="0"/>
          <w:left w:val="single" w:color="B7C0CA" w:sz="4" w:space="0"/>
          <w:bottom w:val="single" w:color="B7C0CA" w:sz="4" w:space="0"/>
          <w:right w:val="single" w:color="B7C0CA" w:sz="4" w:space="0"/>
          <w:insideH w:val="single" w:color="B7C0CA" w:sz="4" w:space="0"/>
          <w:insideV w:val="single" w:color="B7C0C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5208"/>
        <w:gridCol w:w="3397"/>
      </w:tblGrid>
      <w:tr w14:paraId="646A85FA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5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B7EC6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20"/>
              </w:rPr>
              <w:t>步骤</w:t>
            </w:r>
          </w:p>
        </w:tc>
        <w:tc>
          <w:tcPr>
            <w:tcW w:w="52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592F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20"/>
              </w:rPr>
              <w:t>动作</w:t>
            </w:r>
          </w:p>
        </w:tc>
        <w:tc>
          <w:tcPr>
            <w:tcW w:w="339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91F18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20"/>
              </w:rPr>
              <w:t>输出</w:t>
            </w:r>
          </w:p>
        </w:tc>
      </w:tr>
      <w:tr w14:paraId="3959D691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2B2BE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w="5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01B96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PMO按试运行范围抽取当期应完成任务</w:t>
            </w:r>
          </w:p>
        </w:tc>
        <w:tc>
          <w:tcPr>
            <w:tcW w:w="3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06EF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第一阶段试运行任务清单</w:t>
            </w:r>
          </w:p>
        </w:tc>
      </w:tr>
      <w:tr w14:paraId="39830928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9470D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w="5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7976A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按权重规则计算任务权重分和工作组总负荷</w:t>
            </w:r>
          </w:p>
        </w:tc>
        <w:tc>
          <w:tcPr>
            <w:tcW w:w="3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8813E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总负荷与有效工作评价表</w:t>
            </w:r>
          </w:p>
        </w:tc>
      </w:tr>
      <w:tr w14:paraId="0D4F34E0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31101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w="5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04C85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主责工作组提交交付物、证据和调整申请</w:t>
            </w:r>
          </w:p>
        </w:tc>
        <w:tc>
          <w:tcPr>
            <w:tcW w:w="3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47F95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交付物、证据包、调整申请</w:t>
            </w:r>
          </w:p>
        </w:tc>
      </w:tr>
      <w:tr w14:paraId="0D0DB5CC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1C44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4</w:t>
            </w:r>
          </w:p>
        </w:tc>
        <w:tc>
          <w:tcPr>
            <w:tcW w:w="5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51A99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涉及任务调整的，由执行副组长审批确认</w:t>
            </w:r>
          </w:p>
        </w:tc>
        <w:tc>
          <w:tcPr>
            <w:tcW w:w="3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A1469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客观原因调整审批记录表</w:t>
            </w:r>
          </w:p>
        </w:tc>
      </w:tr>
      <w:tr w14:paraId="37615235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408AE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5</w:t>
            </w:r>
          </w:p>
        </w:tc>
        <w:tc>
          <w:tcPr>
            <w:tcW w:w="5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DF68B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审核人或审批组给出首次评审结论</w:t>
            </w:r>
          </w:p>
        </w:tc>
        <w:tc>
          <w:tcPr>
            <w:tcW w:w="3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80B96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一次通过率记录表</w:t>
            </w:r>
          </w:p>
        </w:tc>
      </w:tr>
      <w:tr w14:paraId="2903EB8F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B977E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6</w:t>
            </w:r>
          </w:p>
        </w:tc>
        <w:tc>
          <w:tcPr>
            <w:tcW w:w="5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F8741">
            <w:pPr>
              <w:spacing w:after="0" w:line="252" w:lineRule="auto"/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ascii="宋体" w:hAnsi="宋体"/>
                <w:sz w:val="20"/>
                <w:lang w:eastAsia="zh-CN"/>
              </w:rPr>
              <w:t>PMO</w:t>
            </w:r>
            <w:r>
              <w:rPr>
                <w:rFonts w:hint="eastAsia" w:ascii="宋体" w:hAnsi="宋体"/>
                <w:sz w:val="20"/>
                <w:lang w:val="en-US" w:eastAsia="zh-CN"/>
              </w:rPr>
              <w:t>依据制度计算完成系数、质量系数、证据系数和任务有效积分</w:t>
            </w:r>
          </w:p>
        </w:tc>
        <w:tc>
          <w:tcPr>
            <w:tcW w:w="3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49137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sz w:val="20"/>
                <w:lang w:val="en-US" w:eastAsia="zh-CN"/>
              </w:rPr>
              <w:t>综合评价表</w:t>
            </w:r>
          </w:p>
        </w:tc>
      </w:tr>
      <w:tr w14:paraId="36AB6DFD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09B1A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7</w:t>
            </w:r>
          </w:p>
        </w:tc>
        <w:tc>
          <w:tcPr>
            <w:tcW w:w="5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AF93A">
            <w:pPr>
              <w:spacing w:after="0" w:line="252" w:lineRule="auto"/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sz w:val="20"/>
                <w:lang w:val="en-US" w:eastAsia="zh-CN"/>
              </w:rPr>
              <w:t>PMO确认是否满足专项激励资格，有无一票否决或暂缓确认情形</w:t>
            </w:r>
          </w:p>
        </w:tc>
        <w:tc>
          <w:tcPr>
            <w:tcW w:w="3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81C88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sz w:val="20"/>
                <w:lang w:val="en-US" w:eastAsia="zh-CN"/>
              </w:rPr>
              <w:t>专项激励资格</w:t>
            </w:r>
            <w:r>
              <w:rPr>
                <w:rFonts w:ascii="宋体" w:hAnsi="宋体"/>
                <w:sz w:val="20"/>
                <w:lang w:eastAsia="zh-CN"/>
              </w:rPr>
              <w:t>确认表</w:t>
            </w:r>
          </w:p>
        </w:tc>
      </w:tr>
      <w:tr w14:paraId="7CB9A956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61EB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20"/>
              </w:rPr>
              <w:t>8</w:t>
            </w:r>
          </w:p>
        </w:tc>
        <w:tc>
          <w:tcPr>
            <w:tcW w:w="52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45A7F">
            <w:pPr>
              <w:spacing w:after="0" w:line="252" w:lineRule="auto"/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依据最终综合得分确定激励档次、激励系数</w:t>
            </w:r>
          </w:p>
        </w:tc>
        <w:tc>
          <w:tcPr>
            <w:tcW w:w="3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0AA15">
            <w:pPr>
              <w:spacing w:after="0" w:line="252" w:lineRule="auto"/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专项激励建议表</w:t>
            </w:r>
          </w:p>
        </w:tc>
      </w:tr>
    </w:tbl>
    <w:p w14:paraId="79A253E8">
      <w:pPr>
        <w:spacing w:after="40"/>
        <w:rPr>
          <w:rFonts w:ascii="宋体" w:hAnsi="宋体"/>
          <w:lang w:eastAsia="zh-CN"/>
        </w:rPr>
      </w:pPr>
    </w:p>
    <w:p w14:paraId="6379DB4C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val="en-US" w:eastAsia="zh-CN"/>
        </w:rPr>
        <w:t>项目执行副组长审核，决策层批准，</w:t>
      </w:r>
      <w:r>
        <w:rPr>
          <w:rFonts w:ascii="宋体" w:hAnsi="宋体"/>
          <w:lang w:eastAsia="zh-CN"/>
        </w:rPr>
        <w:t>最终绩效应用、专项激励申请和审批仍按公司制度执行。</w:t>
      </w:r>
    </w:p>
    <w:p w14:paraId="54DEE1BA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七、附表模板</w:t>
      </w:r>
    </w:p>
    <w:p w14:paraId="058684B9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附表1：第一阶段试运行任务清单</w:t>
      </w:r>
    </w:p>
    <w:tbl>
      <w:tblPr>
        <w:tblStyle w:val="33"/>
        <w:tblW w:w="10360" w:type="dxa"/>
        <w:jc w:val="center"/>
        <w:tblBorders>
          <w:top w:val="single" w:color="B7C0CA" w:sz="4" w:space="0"/>
          <w:left w:val="single" w:color="B7C0CA" w:sz="4" w:space="0"/>
          <w:bottom w:val="single" w:color="B7C0CA" w:sz="4" w:space="0"/>
          <w:right w:val="single" w:color="B7C0CA" w:sz="4" w:space="0"/>
          <w:insideH w:val="single" w:color="B7C0CA" w:sz="4" w:space="0"/>
          <w:insideV w:val="single" w:color="B7C0C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250"/>
        <w:gridCol w:w="950"/>
        <w:gridCol w:w="850"/>
        <w:gridCol w:w="850"/>
        <w:gridCol w:w="780"/>
        <w:gridCol w:w="820"/>
        <w:gridCol w:w="820"/>
        <w:gridCol w:w="900"/>
        <w:gridCol w:w="650"/>
        <w:gridCol w:w="820"/>
        <w:gridCol w:w="950"/>
      </w:tblGrid>
      <w:tr w14:paraId="6DBADA30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E731E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WBS</w:t>
            </w:r>
          </w:p>
        </w:tc>
        <w:tc>
          <w:tcPr>
            <w:tcW w:w="1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30B6F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任务名称</w:t>
            </w:r>
          </w:p>
        </w:tc>
        <w:tc>
          <w:tcPr>
            <w:tcW w:w="9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A6A60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工作组</w:t>
            </w:r>
          </w:p>
        </w:tc>
        <w:tc>
          <w:tcPr>
            <w:tcW w:w="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FE8E7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主责部门</w:t>
            </w:r>
          </w:p>
        </w:tc>
        <w:tc>
          <w:tcPr>
            <w:tcW w:w="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9B7D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任务类型</w:t>
            </w:r>
          </w:p>
        </w:tc>
        <w:tc>
          <w:tcPr>
            <w:tcW w:w="7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805BD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风险等级</w:t>
            </w:r>
          </w:p>
        </w:tc>
        <w:tc>
          <w:tcPr>
            <w:tcW w:w="8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231D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是否关键路径</w:t>
            </w:r>
          </w:p>
        </w:tc>
        <w:tc>
          <w:tcPr>
            <w:tcW w:w="8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CE853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是否H5重点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99B5B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交付物</w:t>
            </w:r>
          </w:p>
        </w:tc>
        <w:tc>
          <w:tcPr>
            <w:tcW w:w="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9DEC7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权重分</w:t>
            </w:r>
          </w:p>
        </w:tc>
        <w:tc>
          <w:tcPr>
            <w:tcW w:w="8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467A3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应完成日期</w:t>
            </w:r>
          </w:p>
        </w:tc>
        <w:tc>
          <w:tcPr>
            <w:tcW w:w="9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8AEE9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状态</w:t>
            </w:r>
          </w:p>
        </w:tc>
      </w:tr>
      <w:tr w14:paraId="0218CEEC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15076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示例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87D6F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示例任务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0D880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示例工作组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E83C9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待确认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29555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调研/评审/设计</w:t>
            </w:r>
          </w:p>
        </w:tc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79328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高/中/低</w:t>
            </w:r>
          </w:p>
        </w:tc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51EA1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是/否</w:t>
            </w:r>
          </w:p>
        </w:tc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4C9B3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是/否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AAF3E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示例交付物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1C7D9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0</w:t>
            </w:r>
          </w:p>
        </w:tc>
        <w:tc>
          <w:tcPr>
            <w:tcW w:w="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CA014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YYYY-MM-DD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60DB5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未开始/进行中/已完成</w:t>
            </w:r>
          </w:p>
        </w:tc>
      </w:tr>
    </w:tbl>
    <w:p w14:paraId="427638C3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附表2：总负荷与有效工作评价表</w:t>
      </w:r>
    </w:p>
    <w:tbl>
      <w:tblPr>
        <w:tblStyle w:val="33"/>
        <w:tblW w:w="9360" w:type="dxa"/>
        <w:jc w:val="center"/>
        <w:tblBorders>
          <w:top w:val="single" w:color="B7C0CA" w:sz="4" w:space="0"/>
          <w:left w:val="single" w:color="B7C0CA" w:sz="4" w:space="0"/>
          <w:bottom w:val="single" w:color="B7C0CA" w:sz="4" w:space="0"/>
          <w:right w:val="single" w:color="B7C0CA" w:sz="4" w:space="0"/>
          <w:insideH w:val="single" w:color="B7C0CA" w:sz="4" w:space="0"/>
          <w:insideV w:val="single" w:color="B7C0C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1150"/>
        <w:gridCol w:w="1150"/>
        <w:gridCol w:w="1050"/>
        <w:gridCol w:w="1050"/>
        <w:gridCol w:w="1050"/>
        <w:gridCol w:w="1100"/>
        <w:gridCol w:w="1050"/>
        <w:gridCol w:w="1110"/>
      </w:tblGrid>
      <w:tr w14:paraId="4B61B30D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C6619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工作组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5B2C2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周期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7A8FA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应完成总负荷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A32E5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按期完成积分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F5E3F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一次通过积分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75AB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证据齐套积分</w:t>
            </w:r>
          </w:p>
        </w:tc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18B5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返工扣减积分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AADB1">
            <w:pPr>
              <w:spacing w:after="0" w:line="252" w:lineRule="auto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b/>
                <w:sz w:val="17"/>
                <w:lang w:eastAsia="zh-CN"/>
              </w:rPr>
              <w:t>有效工作得分率</w:t>
            </w:r>
          </w:p>
        </w:tc>
        <w:tc>
          <w:tcPr>
            <w:tcW w:w="1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66C9E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分档</w:t>
            </w:r>
          </w:p>
        </w:tc>
      </w:tr>
      <w:tr w14:paraId="28F265EF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EE8C3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示例工作组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48864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YYYY-MM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0812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0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F66AC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0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28D94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0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E5057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0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CF0E7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0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2727C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0%</w:t>
            </w:r>
          </w:p>
        </w:tc>
        <w:tc>
          <w:tcPr>
            <w:tcW w:w="1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ECB1A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A/B/C/D</w:t>
            </w:r>
          </w:p>
        </w:tc>
      </w:tr>
    </w:tbl>
    <w:p w14:paraId="763D5238">
      <w:pPr>
        <w:spacing w:after="40"/>
        <w:rPr>
          <w:rFonts w:ascii="宋体" w:hAnsi="宋体"/>
        </w:rPr>
      </w:pPr>
    </w:p>
    <w:p w14:paraId="29882ABA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附表3：一次通过率记录表</w:t>
      </w:r>
    </w:p>
    <w:tbl>
      <w:tblPr>
        <w:tblStyle w:val="33"/>
        <w:tblW w:w="9360" w:type="dxa"/>
        <w:jc w:val="center"/>
        <w:tblBorders>
          <w:top w:val="single" w:color="B7C0CA" w:sz="4" w:space="0"/>
          <w:left w:val="single" w:color="B7C0CA" w:sz="4" w:space="0"/>
          <w:bottom w:val="single" w:color="B7C0CA" w:sz="4" w:space="0"/>
          <w:right w:val="single" w:color="B7C0CA" w:sz="4" w:space="0"/>
          <w:insideH w:val="single" w:color="B7C0CA" w:sz="4" w:space="0"/>
          <w:insideV w:val="single" w:color="B7C0C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1300"/>
        <w:gridCol w:w="1150"/>
        <w:gridCol w:w="1150"/>
        <w:gridCol w:w="1200"/>
        <w:gridCol w:w="1200"/>
        <w:gridCol w:w="1260"/>
        <w:gridCol w:w="1300"/>
      </w:tblGrid>
      <w:tr w14:paraId="09E0B5B3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BE920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WBS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B5C5E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任务名称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389FE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提交日期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1BB40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首次评审日期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6842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首次评审结论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175EF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退回原因</w:t>
            </w:r>
          </w:p>
        </w:tc>
        <w:tc>
          <w:tcPr>
            <w:tcW w:w="1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61005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是否一次通过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13A27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证据位置</w:t>
            </w:r>
          </w:p>
        </w:tc>
      </w:tr>
      <w:tr w14:paraId="13D7AADA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74B1A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示例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8EB55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示例任务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8C8E9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YYYY-MM-DD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072DA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YYYY-MM-DD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2F7BA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通过/退回/待补证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66EF0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ADB42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是/否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A464B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17"/>
                <w:lang w:eastAsia="zh-CN"/>
              </w:rPr>
              <w:t>文件、纪要或系统记录</w:t>
            </w:r>
          </w:p>
        </w:tc>
      </w:tr>
    </w:tbl>
    <w:p w14:paraId="53C22D8F">
      <w:pPr>
        <w:spacing w:after="40"/>
        <w:rPr>
          <w:rFonts w:ascii="宋体" w:hAnsi="宋体"/>
          <w:lang w:eastAsia="zh-CN"/>
        </w:rPr>
      </w:pPr>
    </w:p>
    <w:p w14:paraId="5B5AA1E9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附表4：</w:t>
      </w:r>
      <w:r>
        <w:rPr>
          <w:rFonts w:hint="eastAsia" w:ascii="宋体" w:hAnsi="宋体" w:eastAsia="宋体"/>
          <w:lang w:eastAsia="zh-CN"/>
        </w:rPr>
        <w:t>综合评价表</w:t>
      </w:r>
    </w:p>
    <w:tbl>
      <w:tblPr>
        <w:tblStyle w:val="33"/>
        <w:tblW w:w="9360" w:type="dxa"/>
        <w:jc w:val="center"/>
        <w:tblBorders>
          <w:top w:val="single" w:color="B7C0CA" w:sz="4" w:space="0"/>
          <w:left w:val="single" w:color="B7C0CA" w:sz="4" w:space="0"/>
          <w:bottom w:val="single" w:color="B7C0CA" w:sz="4" w:space="0"/>
          <w:right w:val="single" w:color="B7C0CA" w:sz="4" w:space="0"/>
          <w:insideH w:val="single" w:color="B7C0CA" w:sz="4" w:space="0"/>
          <w:insideV w:val="single" w:color="B7C0C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00"/>
        <w:gridCol w:w="1200"/>
        <w:gridCol w:w="1400"/>
        <w:gridCol w:w="1400"/>
        <w:gridCol w:w="1450"/>
        <w:gridCol w:w="1660"/>
      </w:tblGrid>
      <w:tr w14:paraId="11A63453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2551D">
            <w:pPr>
              <w:spacing w:after="0" w:line="252" w:lineRule="auto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sz w:val="17"/>
                <w:lang w:val="en-US" w:eastAsia="zh-CN"/>
              </w:rPr>
              <w:t>应完成总负荷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21D6">
            <w:pPr>
              <w:spacing w:after="0" w:line="252" w:lineRule="auto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sz w:val="17"/>
                <w:lang w:val="en-US" w:eastAsia="zh-CN"/>
              </w:rPr>
              <w:t>实得有效积分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E297">
            <w:pPr>
              <w:spacing w:after="0" w:line="252" w:lineRule="auto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b/>
                <w:sz w:val="17"/>
                <w:lang w:val="en-US" w:eastAsia="zh-CN"/>
              </w:rPr>
              <w:t>产出积分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F7825">
            <w:pPr>
              <w:spacing w:after="0" w:line="252" w:lineRule="auto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b/>
                <w:sz w:val="17"/>
                <w:lang w:val="en-US" w:eastAsia="zh-CN"/>
              </w:rPr>
              <w:t>过程得分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1139C">
            <w:pPr>
              <w:spacing w:after="0" w:line="252" w:lineRule="auto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b/>
                <w:sz w:val="17"/>
                <w:lang w:val="en-US" w:eastAsia="zh-CN"/>
              </w:rPr>
              <w:t>最终综合得分</w:t>
            </w:r>
          </w:p>
        </w:tc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A1E5C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sz w:val="17"/>
                <w:lang w:val="en-US" w:eastAsia="zh-CN"/>
              </w:rPr>
              <w:t>激励档次</w:t>
            </w:r>
          </w:p>
        </w:tc>
        <w:tc>
          <w:tcPr>
            <w:tcW w:w="1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B5B1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说明</w:t>
            </w:r>
          </w:p>
        </w:tc>
      </w:tr>
      <w:tr w14:paraId="3CF5753C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212B8">
            <w:pPr>
              <w:spacing w:after="0" w:line="252" w:lineRule="auto"/>
              <w:jc w:val="center"/>
              <w:rPr>
                <w:rFonts w:ascii="宋体" w:hAnsi="宋体"/>
              </w:rPr>
            </w:pP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4EA06">
            <w:pPr>
              <w:spacing w:after="0" w:line="252" w:lineRule="auto"/>
              <w:jc w:val="center"/>
              <w:rPr>
                <w:rFonts w:ascii="宋体" w:hAnsi="宋体"/>
              </w:rPr>
            </w:pP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29F1A">
            <w:pPr>
              <w:spacing w:after="0" w:line="252" w:lineRule="auto"/>
              <w:jc w:val="center"/>
              <w:rPr>
                <w:rFonts w:ascii="宋体" w:hAnsi="宋体"/>
              </w:rPr>
            </w:pP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E87C2">
            <w:pPr>
              <w:spacing w:after="0" w:line="252" w:lineRule="auto"/>
              <w:jc w:val="center"/>
              <w:rPr>
                <w:rFonts w:ascii="宋体" w:hAnsi="宋体"/>
              </w:rPr>
            </w:pP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AD2C0">
            <w:pPr>
              <w:spacing w:after="0" w:line="252" w:lineRule="auto"/>
              <w:jc w:val="center"/>
              <w:rPr>
                <w:rFonts w:ascii="宋体" w:hAnsi="宋体"/>
              </w:rPr>
            </w:pP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3EF36">
            <w:pPr>
              <w:spacing w:after="0" w:line="252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CADD3">
            <w:pPr>
              <w:spacing w:after="0" w:line="252" w:lineRule="auto"/>
              <w:jc w:val="center"/>
              <w:rPr>
                <w:rFonts w:ascii="宋体" w:hAnsi="宋体"/>
              </w:rPr>
            </w:pPr>
          </w:p>
        </w:tc>
      </w:tr>
    </w:tbl>
    <w:p w14:paraId="2F9F42C2">
      <w:pPr>
        <w:spacing w:after="40"/>
        <w:rPr>
          <w:rFonts w:ascii="宋体" w:hAnsi="宋体"/>
        </w:rPr>
      </w:pPr>
    </w:p>
    <w:p w14:paraId="0BD0DCA7">
      <w:pPr>
        <w:pStyle w:val="4"/>
        <w:rPr>
          <w:rFonts w:ascii="宋体" w:hAnsi="宋体" w:eastAsia="宋体"/>
        </w:rPr>
      </w:pPr>
      <w:r>
        <w:rPr>
          <w:rFonts w:ascii="宋体" w:hAnsi="宋体" w:eastAsia="宋体"/>
        </w:rPr>
        <w:t>附表5：</w:t>
      </w:r>
      <w:r>
        <w:rPr>
          <w:rFonts w:hint="eastAsia" w:ascii="宋体" w:hAnsi="宋体" w:eastAsia="宋体"/>
        </w:rPr>
        <w:t>专项激励资格确认表</w:t>
      </w:r>
    </w:p>
    <w:tbl>
      <w:tblPr>
        <w:tblStyle w:val="33"/>
        <w:tblW w:w="9400" w:type="dxa"/>
        <w:jc w:val="center"/>
        <w:tblBorders>
          <w:top w:val="single" w:color="B7C0CA" w:sz="4" w:space="0"/>
          <w:left w:val="single" w:color="B7C0CA" w:sz="4" w:space="0"/>
          <w:bottom w:val="single" w:color="B7C0CA" w:sz="4" w:space="0"/>
          <w:right w:val="single" w:color="B7C0CA" w:sz="4" w:space="0"/>
          <w:insideH w:val="single" w:color="B7C0CA" w:sz="4" w:space="0"/>
          <w:insideV w:val="single" w:color="B7C0C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972"/>
        <w:gridCol w:w="1634"/>
        <w:gridCol w:w="1818"/>
        <w:gridCol w:w="2556"/>
      </w:tblGrid>
      <w:tr w14:paraId="1557D8E7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DB3C7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WBS</w:t>
            </w:r>
          </w:p>
        </w:tc>
        <w:tc>
          <w:tcPr>
            <w:tcW w:w="19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6D394">
            <w:pPr>
              <w:spacing w:after="0" w:line="252" w:lineRule="auto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sz w:val="17"/>
                <w:lang w:val="en-US" w:eastAsia="zh-CN"/>
              </w:rPr>
              <w:t>是否满足准入条件</w:t>
            </w:r>
          </w:p>
        </w:tc>
        <w:tc>
          <w:tcPr>
            <w:tcW w:w="163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F9907">
            <w:pPr>
              <w:spacing w:after="0" w:line="252" w:lineRule="auto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sz w:val="17"/>
                <w:lang w:val="en-US" w:eastAsia="zh-CN"/>
              </w:rPr>
              <w:t>是否触发一票否决</w:t>
            </w:r>
          </w:p>
        </w:tc>
        <w:tc>
          <w:tcPr>
            <w:tcW w:w="181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E673B">
            <w:pPr>
              <w:spacing w:after="0" w:line="252" w:lineRule="auto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b/>
                <w:sz w:val="17"/>
                <w:lang w:val="en-US" w:eastAsia="zh-CN"/>
              </w:rPr>
              <w:t>是否暂缓确认</w:t>
            </w:r>
          </w:p>
        </w:tc>
        <w:tc>
          <w:tcPr>
            <w:tcW w:w="25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AF310">
            <w:pPr>
              <w:spacing w:after="0" w:line="252" w:lineRule="auto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b/>
                <w:sz w:val="17"/>
                <w:lang w:val="en-US" w:eastAsia="zh-CN"/>
              </w:rPr>
              <w:t>最终意见</w:t>
            </w:r>
          </w:p>
        </w:tc>
      </w:tr>
      <w:tr w14:paraId="26175FBA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8CB44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示例</w:t>
            </w:r>
          </w:p>
        </w:tc>
        <w:tc>
          <w:tcPr>
            <w:tcW w:w="19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AD621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是/否</w:t>
            </w:r>
          </w:p>
        </w:tc>
        <w:tc>
          <w:tcPr>
            <w:tcW w:w="16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59571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是/否</w:t>
            </w:r>
          </w:p>
        </w:tc>
        <w:tc>
          <w:tcPr>
            <w:tcW w:w="18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2E7A4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sz w:val="17"/>
              </w:rPr>
              <w:t>是/否</w:t>
            </w:r>
          </w:p>
        </w:tc>
        <w:tc>
          <w:tcPr>
            <w:tcW w:w="25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6561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通过/不通过</w:t>
            </w:r>
          </w:p>
        </w:tc>
      </w:tr>
    </w:tbl>
    <w:p w14:paraId="69C034D7">
      <w:pPr>
        <w:spacing w:after="40"/>
        <w:rPr>
          <w:rFonts w:ascii="宋体" w:hAnsi="宋体"/>
        </w:rPr>
      </w:pPr>
    </w:p>
    <w:p w14:paraId="0DB806E2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附表6：客观原因调整审批记录表</w:t>
      </w:r>
    </w:p>
    <w:tbl>
      <w:tblPr>
        <w:tblStyle w:val="33"/>
        <w:tblW w:w="9360" w:type="dxa"/>
        <w:jc w:val="center"/>
        <w:tblBorders>
          <w:top w:val="single" w:color="B7C0CA" w:sz="4" w:space="0"/>
          <w:left w:val="single" w:color="B7C0CA" w:sz="4" w:space="0"/>
          <w:bottom w:val="single" w:color="B7C0CA" w:sz="4" w:space="0"/>
          <w:right w:val="single" w:color="B7C0CA" w:sz="4" w:space="0"/>
          <w:insideH w:val="single" w:color="B7C0CA" w:sz="4" w:space="0"/>
          <w:insideV w:val="single" w:color="B7C0C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1300"/>
        <w:gridCol w:w="1150"/>
        <w:gridCol w:w="1150"/>
        <w:gridCol w:w="1200"/>
        <w:gridCol w:w="1200"/>
        <w:gridCol w:w="1260"/>
        <w:gridCol w:w="1300"/>
      </w:tblGrid>
      <w:tr w14:paraId="3CB62519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CB95B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WBS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FCD2B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任务名称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EE727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原完成日期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698D0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申请日期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12EA4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调整原因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2392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影响范围</w:t>
            </w:r>
          </w:p>
        </w:tc>
        <w:tc>
          <w:tcPr>
            <w:tcW w:w="1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C5149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执行副组长审批结论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72EAB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sz w:val="17"/>
              </w:rPr>
              <w:t>新完成日期</w:t>
            </w:r>
          </w:p>
        </w:tc>
      </w:tr>
      <w:tr w14:paraId="7E20FF01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9F4CB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示例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D8E1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示例任务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CEE02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YYYY-MM-DD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37407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YYYY-MM-DD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71E50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客观原因说明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2C0DF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影响任务/阶段门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E14BC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通过/不通过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E5572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YYYY-MM-DD</w:t>
            </w:r>
          </w:p>
        </w:tc>
      </w:tr>
    </w:tbl>
    <w:p w14:paraId="0BD41F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40"/>
        <w:textAlignment w:val="auto"/>
        <w:rPr>
          <w:rFonts w:hint="eastAsia" w:ascii="宋体" w:hAnsi="宋体" w:eastAsia="宋体" w:cstheme="majorBidi"/>
          <w:b/>
          <w:bCs/>
          <w:color w:val="2E74B5"/>
          <w:sz w:val="26"/>
          <w:szCs w:val="26"/>
          <w:lang w:val="en-US" w:eastAsia="zh-CN" w:bidi="ar-SA"/>
        </w:rPr>
      </w:pPr>
      <w:r>
        <w:rPr>
          <w:rFonts w:hint="eastAsia" w:ascii="宋体" w:hAnsi="宋体" w:cstheme="majorBidi"/>
          <w:b/>
          <w:bCs/>
          <w:color w:val="2E74B5"/>
          <w:sz w:val="26"/>
          <w:szCs w:val="26"/>
          <w:lang w:val="en-US" w:eastAsia="zh-CN" w:bidi="ar-SA"/>
        </w:rPr>
        <w:t>附表7：</w:t>
      </w:r>
      <w:r>
        <w:rPr>
          <w:rFonts w:hint="eastAsia" w:ascii="宋体" w:hAnsi="宋体" w:eastAsia="宋体" w:cstheme="majorBidi"/>
          <w:b/>
          <w:bCs/>
          <w:color w:val="2E74B5"/>
          <w:sz w:val="26"/>
          <w:szCs w:val="26"/>
          <w:lang w:val="en-US" w:eastAsia="zh-CN" w:bidi="ar-SA"/>
        </w:rPr>
        <w:t>专项激励建议表</w:t>
      </w:r>
    </w:p>
    <w:tbl>
      <w:tblPr>
        <w:tblStyle w:val="33"/>
        <w:tblW w:w="11960" w:type="dxa"/>
        <w:jc w:val="center"/>
        <w:tblBorders>
          <w:top w:val="single" w:color="B7C0CA" w:sz="4" w:space="0"/>
          <w:left w:val="single" w:color="B7C0CA" w:sz="4" w:space="0"/>
          <w:bottom w:val="single" w:color="B7C0CA" w:sz="4" w:space="0"/>
          <w:right w:val="single" w:color="B7C0CA" w:sz="4" w:space="0"/>
          <w:insideH w:val="single" w:color="B7C0CA" w:sz="4" w:space="0"/>
          <w:insideV w:val="single" w:color="B7C0C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897"/>
        <w:gridCol w:w="1244"/>
        <w:gridCol w:w="1219"/>
        <w:gridCol w:w="1318"/>
        <w:gridCol w:w="1322"/>
        <w:gridCol w:w="1260"/>
        <w:gridCol w:w="1300"/>
        <w:gridCol w:w="1300"/>
        <w:gridCol w:w="1300"/>
      </w:tblGrid>
      <w:tr w14:paraId="7C366D03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tblHeader/>
          <w:jc w:val="center"/>
        </w:trPr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60440">
            <w:pPr>
              <w:spacing w:after="0" w:line="252" w:lineRule="auto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b/>
                <w:sz w:val="17"/>
                <w:lang w:val="en-US" w:eastAsia="zh-CN"/>
              </w:rPr>
              <w:t>序号</w:t>
            </w:r>
          </w:p>
        </w:tc>
        <w:tc>
          <w:tcPr>
            <w:tcW w:w="89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6F0E5">
            <w:pPr>
              <w:spacing w:after="0" w:line="252" w:lineRule="auto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b/>
                <w:sz w:val="17"/>
                <w:lang w:val="en-US" w:eastAsia="zh-CN"/>
              </w:rPr>
              <w:t>工作组</w:t>
            </w:r>
          </w:p>
        </w:tc>
        <w:tc>
          <w:tcPr>
            <w:tcW w:w="12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C868B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b/>
                <w:sz w:val="17"/>
              </w:rPr>
              <w:t>评价周期</w:t>
            </w:r>
          </w:p>
        </w:tc>
        <w:tc>
          <w:tcPr>
            <w:tcW w:w="121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438E2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b/>
                <w:sz w:val="17"/>
              </w:rPr>
              <w:t>应完成总负荷（分）</w:t>
            </w:r>
          </w:p>
        </w:tc>
        <w:tc>
          <w:tcPr>
            <w:tcW w:w="131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F9A0B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b/>
                <w:sz w:val="17"/>
              </w:rPr>
              <w:t>实得有效积分（分）</w:t>
            </w:r>
          </w:p>
        </w:tc>
        <w:tc>
          <w:tcPr>
            <w:tcW w:w="132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2CD94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b/>
                <w:sz w:val="17"/>
              </w:rPr>
              <w:t>最终综合得分</w:t>
            </w:r>
          </w:p>
        </w:tc>
        <w:tc>
          <w:tcPr>
            <w:tcW w:w="1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D6834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b/>
                <w:sz w:val="17"/>
              </w:rPr>
              <w:t>激励资格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5BF7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b/>
                <w:sz w:val="17"/>
              </w:rPr>
              <w:t>激励档次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FD955">
            <w:pPr>
              <w:spacing w:after="0" w:line="252" w:lineRule="auto"/>
              <w:jc w:val="center"/>
              <w:rPr>
                <w:rFonts w:hint="eastAsia" w:ascii="宋体" w:hAnsi="宋体" w:eastAsia="宋体"/>
                <w:b/>
                <w:sz w:val="17"/>
                <w:lang w:val="en-US" w:eastAsia="zh-CN"/>
              </w:rPr>
            </w:pPr>
            <w:r>
              <w:rPr>
                <w:rFonts w:hint="eastAsia" w:ascii="宋体" w:hAnsi="宋体"/>
                <w:b/>
                <w:sz w:val="17"/>
                <w:lang w:val="en-US" w:eastAsia="zh-CN"/>
              </w:rPr>
              <w:t>激励系数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90A1C">
            <w:pPr>
              <w:spacing w:after="0" w:line="252" w:lineRule="auto"/>
              <w:jc w:val="center"/>
              <w:rPr>
                <w:rFonts w:hint="eastAsia" w:ascii="宋体" w:hAnsi="宋体" w:eastAsia="宋体"/>
                <w:b/>
                <w:sz w:val="17"/>
                <w:lang w:val="en-US" w:eastAsia="zh-CN"/>
              </w:rPr>
            </w:pPr>
            <w:r>
              <w:rPr>
                <w:rFonts w:hint="eastAsia" w:ascii="宋体" w:hAnsi="宋体"/>
                <w:b/>
                <w:sz w:val="17"/>
                <w:lang w:val="en-US" w:eastAsia="zh-CN"/>
              </w:rPr>
              <w:t>建议金额（元）</w:t>
            </w:r>
          </w:p>
        </w:tc>
      </w:tr>
      <w:tr w14:paraId="0FF6D7D0">
        <w:tblPrEx>
          <w:tblBorders>
            <w:top w:val="single" w:color="B7C0CA" w:sz="4" w:space="0"/>
            <w:left w:val="single" w:color="B7C0CA" w:sz="4" w:space="0"/>
            <w:bottom w:val="single" w:color="B7C0CA" w:sz="4" w:space="0"/>
            <w:right w:val="single" w:color="B7C0CA" w:sz="4" w:space="0"/>
            <w:insideH w:val="single" w:color="B7C0CA" w:sz="4" w:space="0"/>
            <w:insideV w:val="single" w:color="B7C0C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776F">
            <w:pPr>
              <w:spacing w:after="0" w:line="252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sz w:val="17"/>
              </w:rPr>
              <w:t>示例</w:t>
            </w:r>
          </w:p>
        </w:tc>
        <w:tc>
          <w:tcPr>
            <w:tcW w:w="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6D903">
            <w:pPr>
              <w:spacing w:after="0" w:line="252" w:lineRule="auto"/>
              <w:jc w:val="center"/>
              <w:rPr>
                <w:rFonts w:ascii="宋体" w:hAnsi="宋体"/>
              </w:rPr>
            </w:pPr>
          </w:p>
        </w:tc>
        <w:tc>
          <w:tcPr>
            <w:tcW w:w="12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237DC">
            <w:pPr>
              <w:spacing w:after="0" w:line="252" w:lineRule="auto"/>
              <w:jc w:val="center"/>
              <w:rPr>
                <w:rFonts w:ascii="宋体" w:hAnsi="宋体"/>
              </w:rPr>
            </w:pPr>
          </w:p>
        </w:tc>
        <w:tc>
          <w:tcPr>
            <w:tcW w:w="12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0EF47">
            <w:pPr>
              <w:spacing w:after="0" w:line="252" w:lineRule="auto"/>
              <w:jc w:val="center"/>
              <w:rPr>
                <w:rFonts w:ascii="宋体" w:hAnsi="宋体"/>
              </w:rPr>
            </w:pPr>
          </w:p>
        </w:tc>
        <w:tc>
          <w:tcPr>
            <w:tcW w:w="13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8A3B4">
            <w:pPr>
              <w:spacing w:after="0" w:line="252" w:lineRule="auto"/>
              <w:jc w:val="center"/>
              <w:rPr>
                <w:rFonts w:ascii="宋体" w:hAnsi="宋体"/>
              </w:rPr>
            </w:pPr>
          </w:p>
        </w:tc>
        <w:tc>
          <w:tcPr>
            <w:tcW w:w="13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84CE3">
            <w:pPr>
              <w:spacing w:after="0" w:line="252" w:lineRule="auto"/>
              <w:jc w:val="center"/>
              <w:rPr>
                <w:rFonts w:ascii="宋体" w:hAnsi="宋体"/>
              </w:rPr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A1723">
            <w:pPr>
              <w:spacing w:after="0" w:line="252" w:lineRule="auto"/>
              <w:jc w:val="center"/>
              <w:rPr>
                <w:rFonts w:ascii="宋体" w:hAnsi="宋体"/>
              </w:rPr>
            </w:pP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325FF">
            <w:pPr>
              <w:spacing w:after="0" w:line="252" w:lineRule="auto"/>
              <w:jc w:val="center"/>
              <w:rPr>
                <w:rFonts w:ascii="宋体" w:hAnsi="宋体"/>
              </w:rPr>
            </w:pP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1AB77">
            <w:pPr>
              <w:spacing w:after="0" w:line="252" w:lineRule="auto"/>
              <w:jc w:val="center"/>
              <w:rPr>
                <w:rFonts w:ascii="宋体" w:hAnsi="宋体"/>
                <w:sz w:val="17"/>
              </w:rPr>
            </w:pP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DB948">
            <w:pPr>
              <w:spacing w:after="0" w:line="252" w:lineRule="auto"/>
              <w:jc w:val="center"/>
              <w:rPr>
                <w:rFonts w:ascii="宋体" w:hAnsi="宋体"/>
                <w:sz w:val="17"/>
              </w:rPr>
            </w:pPr>
          </w:p>
        </w:tc>
      </w:tr>
    </w:tbl>
    <w:p w14:paraId="44CC42F8">
      <w:pPr>
        <w:spacing w:after="40"/>
        <w:rPr>
          <w:rFonts w:hint="eastAsia" w:ascii="宋体" w:hAnsi="宋体" w:eastAsia="宋体" w:cstheme="majorBidi"/>
          <w:b/>
          <w:bCs/>
          <w:color w:val="2E74B5"/>
          <w:sz w:val="26"/>
          <w:szCs w:val="26"/>
          <w:lang w:val="en-US" w:eastAsia="zh-CN" w:bidi="ar-SA"/>
        </w:rPr>
      </w:pPr>
      <w:bookmarkStart w:id="0" w:name="_GoBack"/>
      <w:bookmarkEnd w:id="0"/>
    </w:p>
    <w:sectPr>
      <w:footerReference r:id="rId5" w:type="default"/>
      <w:pgSz w:w="12240" w:h="15840"/>
      <w:pgMar w:top="1440" w:right="1440" w:bottom="1440" w:left="1440" w:header="708" w:footer="708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C8FD18">
    <w:pPr>
      <w:pStyle w:val="24"/>
      <w:jc w:val="right"/>
      <w:rPr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F66229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F66229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>/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5A5A5A"/>
        <w:sz w:val="18"/>
        <w:lang w:eastAsia="zh-CN"/>
      </w:rPr>
      <w:t>昌兴复材数字化底座项目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0DCC"/>
    <w:rsid w:val="0015074B"/>
    <w:rsid w:val="0029639D"/>
    <w:rsid w:val="00326F90"/>
    <w:rsid w:val="003B70A7"/>
    <w:rsid w:val="00AA1D8D"/>
    <w:rsid w:val="00B47730"/>
    <w:rsid w:val="00CB0664"/>
    <w:rsid w:val="00E15A86"/>
    <w:rsid w:val="00EE2662"/>
    <w:rsid w:val="00FC693F"/>
    <w:rsid w:val="0A6A030E"/>
    <w:rsid w:val="34550DE4"/>
    <w:rsid w:val="587E0F9B"/>
    <w:rsid w:val="631D3A8B"/>
    <w:rsid w:val="6E767DDA"/>
    <w:rsid w:val="7C42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line="280" w:lineRule="auto"/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line="280" w:lineRule="auto"/>
      <w:contextualSpacing/>
    </w:pPr>
  </w:style>
  <w:style w:type="paragraph" w:styleId="17">
    <w:name w:val="Body Text 3"/>
    <w:basedOn w:val="1"/>
    <w:link w:val="146"/>
    <w:unhideWhenUsed/>
    <w:qFormat/>
    <w:uiPriority w:val="99"/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line="480" w:lineRule="auto"/>
    </w:pPr>
  </w:style>
  <w:style w:type="paragraph" w:styleId="29">
    <w:name w:val="List Continue 2"/>
    <w:basedOn w:val="1"/>
    <w:unhideWhenUsed/>
    <w:uiPriority w:val="99"/>
    <w:pPr>
      <w:ind w:left="720"/>
      <w:contextualSpacing/>
    </w:pPr>
  </w:style>
  <w:style w:type="paragraph" w:styleId="30">
    <w:name w:val="List Continue 3"/>
    <w:basedOn w:val="1"/>
    <w:unhideWhenUsed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5779</Words>
  <Characters>6191</Characters>
  <Lines>49</Lines>
  <Paragraphs>13</Paragraphs>
  <TotalTime>40</TotalTime>
  <ScaleCrop>false</ScaleCrop>
  <LinksUpToDate>false</LinksUpToDate>
  <CharactersWithSpaces>6394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信息化项目管理工作室</dc:creator>
  <dc:description>Generated from DLV-007 controlled Markdown正文; version records excluded.</dc:description>
  <cp:lastModifiedBy>Zxy-atty</cp:lastModifiedBy>
  <cp:lastPrinted>2026-07-01T01:08:00Z</cp:lastPrinted>
  <dcterms:modified xsi:type="dcterms:W3CDTF">2026-07-01T08:55:27Z</dcterms:modified>
  <dc:subject>第一阶段流程治理和数据治理试运行考核方案</dc:subject>
  <dc:title>昌兴复材数字化底座项目任务权重激励方案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48E08FC8E7A541CAB1D176FA8372C8ED_13</vt:lpwstr>
  </property>
  <property fmtid="{D5CDD505-2E9C-101B-9397-08002B2CF9AE}" pid="4" name="KSOTemplateDocerSaveRecord">
    <vt:lpwstr>eyJoZGlkIjoiODY5OTQwMTA3MTFmMTcwZGM0ZTkyY2M2Y2I0MmU1M2QiLCJ1c2VySWQiOiIyNTcxMTU0MDAifQ==</vt:lpwstr>
  </property>
</Properties>
</file>