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64" w:lineRule="auto"/>
        <w:jc w:val="center"/>
      </w:pPr>
      <w:r>
        <w:rPr>
          <w:rFonts w:ascii="Microsoft YaHei" w:hAnsi="Microsoft YaHei" w:eastAsia="Microsoft YaHei"/>
          <w:b/>
          <w:color w:val="0B2545"/>
          <w:sz w:val="36"/>
        </w:rPr>
        <w:t>昌兴复材数字化底座项目任务权重激励方案 V3 评审稿</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7488"/>
      </w:tblGrid>
      <w:tr>
        <w:tc>
          <w:tcPr>
            <w:tcW w:type="dxa" w:w="1872"/>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项目</w:t>
            </w:r>
          </w:p>
        </w:tc>
        <w:tc>
          <w:tcPr>
            <w:tcW w:type="dxa" w:w="7488"/>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内容</w:t>
            </w:r>
          </w:p>
        </w:tc>
      </w:tr>
      <w:tr>
        <w:tc>
          <w:tcPr>
            <w:tcW w:type="dxa" w:w="1872"/>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交付物编号</w:t>
            </w:r>
          </w:p>
        </w:tc>
        <w:tc>
          <w:tcPr>
            <w:tcW w:type="dxa" w:w="7488"/>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DLV-007</w:t>
            </w:r>
          </w:p>
        </w:tc>
      </w:tr>
      <w:tr>
        <w:tc>
          <w:tcPr>
            <w:tcW w:type="dxa" w:w="1872"/>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文稿定位</w:t>
            </w:r>
          </w:p>
        </w:tc>
        <w:tc>
          <w:tcPr>
            <w:tcW w:type="dxa" w:w="7488"/>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V3 评审稿</w:t>
            </w:r>
          </w:p>
        </w:tc>
      </w:tr>
      <w:tr>
        <w:tc>
          <w:tcPr>
            <w:tcW w:type="dxa" w:w="1872"/>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形成方式</w:t>
            </w:r>
          </w:p>
        </w:tc>
        <w:tc>
          <w:tcPr>
            <w:tcW w:type="dxa" w:w="7488"/>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以原稿为基础，提炼 Deepseek 返回稿和 GPT 返回稿的共性建议后修订</w:t>
            </w:r>
          </w:p>
        </w:tc>
      </w:tr>
      <w:tr>
        <w:tc>
          <w:tcPr>
            <w:tcW w:type="dxa" w:w="1872"/>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适用项目</w:t>
            </w:r>
          </w:p>
        </w:tc>
        <w:tc>
          <w:tcPr>
            <w:tcW w:type="dxa" w:w="7488"/>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昌兴复材数字化底座项目</w:t>
            </w:r>
          </w:p>
        </w:tc>
      </w:tr>
      <w:tr>
        <w:tc>
          <w:tcPr>
            <w:tcW w:type="dxa" w:w="1872"/>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适用对象</w:t>
            </w:r>
          </w:p>
        </w:tc>
        <w:tc>
          <w:tcPr>
            <w:tcW w:type="dxa" w:w="7488"/>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信息化项目管理工作室、专项工作组、跨部门工作组及其主责部门</w:t>
            </w:r>
          </w:p>
        </w:tc>
      </w:tr>
      <w:tr>
        <w:tc>
          <w:tcPr>
            <w:tcW w:type="dxa" w:w="1872"/>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首轮试运行范围</w:t>
            </w:r>
          </w:p>
        </w:tc>
        <w:tc>
          <w:tcPr>
            <w:tcW w:type="dxa" w:w="7488"/>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WBS 1.2、WBS 3.1-3.4、WBS 4.1-4.7</w:t>
            </w:r>
          </w:p>
        </w:tc>
      </w:tr>
      <w:tr>
        <w:tc>
          <w:tcPr>
            <w:tcW w:type="dxa" w:w="1872"/>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评价口径</w:t>
            </w:r>
          </w:p>
        </w:tc>
        <w:tc>
          <w:tcPr>
            <w:tcW w:type="dxa" w:w="7488"/>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任务权重积分、总负荷、一次通过率、按期完成率、证据齐套率、返工扣减率</w:t>
            </w:r>
          </w:p>
        </w:tc>
      </w:tr>
      <w:tr>
        <w:tc>
          <w:tcPr>
            <w:tcW w:type="dxa" w:w="1872"/>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边界说明</w:t>
            </w:r>
          </w:p>
        </w:tc>
        <w:tc>
          <w:tcPr>
            <w:tcW w:type="dxa" w:w="7488"/>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不直接计算个人奖金金额；不替代公司现行绩效制度和项目激励审批流程</w:t>
            </w:r>
          </w:p>
        </w:tc>
      </w:tr>
      <w:tr>
        <w:tc>
          <w:tcPr>
            <w:tcW w:type="dxa" w:w="1872"/>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编制依据</w:t>
            </w:r>
          </w:p>
        </w:tc>
        <w:tc>
          <w:tcPr>
            <w:tcW w:type="dxa" w:w="7488"/>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PMO 当前任务基线、WBS 结构基线、执行标准基线、工作平衡文件、组织架构与部门职责、现行月度绩效/年度部门绩效/项目激励制度</w:t>
            </w:r>
          </w:p>
        </w:tc>
      </w:tr>
    </w:tbl>
    <w:p>
      <w:pPr>
        <w:spacing w:before="0" w:after="80" w:line="240" w:lineRule="auto"/>
      </w:pPr>
    </w:p>
    <w:p>
      <w:pPr>
        <w:pStyle w:val="Heading2"/>
      </w:pPr>
      <w:r>
        <w:rPr>
          <w:rFonts w:ascii="Microsoft YaHei" w:hAnsi="Microsoft YaHei" w:eastAsia="Microsoft YaHei"/>
          <w:b/>
        </w:rPr>
        <w:t>一、生成依据与共性采纳说明</w:t>
      </w:r>
    </w:p>
    <w:p>
      <w:pPr>
        <w:pStyle w:val="Heading2"/>
        <w:spacing w:before="240" w:after="120" w:line="264" w:lineRule="auto"/>
      </w:pPr>
      <w:r>
        <w:rPr>
          <w:rFonts w:ascii="Microsoft YaHei" w:hAnsi="Microsoft YaHei" w:eastAsia="Microsoft YaHei"/>
          <w:b/>
          <w:color w:val="2E74B5"/>
          <w:sz w:val="26"/>
        </w:rPr>
        <w:t>1.1 版本关系说明</w:t>
      </w:r>
    </w:p>
    <w:p>
      <w:pPr>
        <w:spacing w:before="0" w:after="120" w:line="264" w:lineRule="auto"/>
      </w:pPr>
      <w:r>
        <w:rPr>
          <w:rFonts w:ascii="Calibri" w:hAnsi="Calibri" w:eastAsia="SimSun"/>
          <w:sz w:val="22"/>
        </w:rPr>
        <w:t>本 V3 评审稿与原稿、Deepseek 返回稿、GPT 返回稿之间的关系如下：</w:t>
      </w:r>
    </w:p>
    <w:tbl>
      <w:tblPr>
        <w:tblStyle w:val="TableGrid"/>
        <w:tblW w:type="dxa" w:w="9360"/>
        <w:jc w:val="center"/>
        <w:tblLayout w:type="fixed"/>
        <w:tblLook w:firstColumn="1" w:firstRow="1" w:lastColumn="0" w:lastRow="0" w:noHBand="0" w:noVBand="1" w:val="04A0"/>
        <w:tblInd w:w="120" w:type="dxa"/>
      </w:tblPr>
      <w:tblGrid>
        <w:gridCol w:w="2340"/>
        <w:gridCol w:w="2340"/>
        <w:gridCol w:w="2340"/>
        <w:gridCol w:w="2340"/>
      </w:tblGrid>
      <w:tr>
        <w:tc>
          <w:tcPr>
            <w:tcW w:type="dxa" w:w="2340"/>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7"/>
              </w:rPr>
              <w:t>版本</w:t>
            </w:r>
          </w:p>
        </w:tc>
        <w:tc>
          <w:tcPr>
            <w:tcW w:type="dxa" w:w="2340"/>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7"/>
              </w:rPr>
              <w:t>定位</w:t>
            </w:r>
          </w:p>
        </w:tc>
        <w:tc>
          <w:tcPr>
            <w:tcW w:type="dxa" w:w="2340"/>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7"/>
              </w:rPr>
              <w:t>与 V3 的关系</w:t>
            </w:r>
          </w:p>
        </w:tc>
        <w:tc>
          <w:tcPr>
            <w:tcW w:type="dxa" w:w="2340"/>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7"/>
              </w:rPr>
              <w:t>V3 处理口径</w:t>
            </w:r>
          </w:p>
        </w:tc>
      </w:tr>
      <w:tr>
        <w:tc>
          <w:tcPr>
            <w:tcW w:type="dxa" w:w="2340"/>
            <w:vAlign w:val="center"/>
            <w:tcMar>
              <w:top w:w="80" w:type="dxa"/>
              <w:start w:w="120" w:type="dxa"/>
              <w:bottom w:w="80" w:type="dxa"/>
              <w:end w:w="120" w:type="dxa"/>
            </w:tcMar>
          </w:tcPr>
          <w:p>
            <w:pPr>
              <w:spacing w:before="0" w:after="0" w:line="252" w:lineRule="auto"/>
              <w:jc w:val="left"/>
            </w:pPr>
            <w:r>
              <w:rPr>
                <w:rFonts w:ascii="Calibri" w:hAnsi="Calibri" w:eastAsia="SimSun"/>
                <w:b w:val="0"/>
                <w:sz w:val="17"/>
              </w:rPr>
              <w:t>原稿</w:t>
            </w:r>
          </w:p>
        </w:tc>
        <w:tc>
          <w:tcPr>
            <w:tcW w:type="dxa" w:w="2340"/>
            <w:vAlign w:val="center"/>
            <w:tcMar>
              <w:top w:w="80" w:type="dxa"/>
              <w:start w:w="120" w:type="dxa"/>
              <w:bottom w:w="80" w:type="dxa"/>
              <w:end w:w="120" w:type="dxa"/>
            </w:tcMar>
          </w:tcPr>
          <w:p>
            <w:pPr>
              <w:spacing w:before="0" w:after="0" w:line="252" w:lineRule="auto"/>
              <w:jc w:val="left"/>
            </w:pPr>
            <w:r>
              <w:rPr>
                <w:rFonts w:ascii="Calibri" w:hAnsi="Calibri" w:eastAsia="SimSun"/>
                <w:b w:val="0"/>
                <w:sz w:val="17"/>
              </w:rPr>
              <w:t>DLV-007 的基础版本，承载第一阶段试运行范围、总负荷口径、负向激励边界和制度映射</w:t>
            </w:r>
          </w:p>
        </w:tc>
        <w:tc>
          <w:tcPr>
            <w:tcW w:type="dxa" w:w="2340"/>
            <w:vAlign w:val="center"/>
            <w:tcMar>
              <w:top w:w="80" w:type="dxa"/>
              <w:start w:w="120" w:type="dxa"/>
              <w:bottom w:w="80" w:type="dxa"/>
              <w:end w:w="120" w:type="dxa"/>
            </w:tcMar>
          </w:tcPr>
          <w:p>
            <w:pPr>
              <w:spacing w:before="0" w:after="0" w:line="252" w:lineRule="auto"/>
              <w:jc w:val="left"/>
            </w:pPr>
            <w:r>
              <w:rPr>
                <w:rFonts w:ascii="Calibri" w:hAnsi="Calibri" w:eastAsia="SimSun"/>
                <w:b w:val="0"/>
                <w:sz w:val="17"/>
              </w:rPr>
              <w:t>V3 的基础底稿和边界依据</w:t>
            </w:r>
          </w:p>
        </w:tc>
        <w:tc>
          <w:tcPr>
            <w:tcW w:type="dxa" w:w="2340"/>
            <w:vAlign w:val="center"/>
            <w:tcMar>
              <w:top w:w="80" w:type="dxa"/>
              <w:start w:w="120" w:type="dxa"/>
              <w:bottom w:w="80" w:type="dxa"/>
              <w:end w:w="120" w:type="dxa"/>
            </w:tcMar>
          </w:tcPr>
          <w:p>
            <w:pPr>
              <w:spacing w:before="0" w:after="0" w:line="252" w:lineRule="auto"/>
              <w:jc w:val="left"/>
            </w:pPr>
            <w:r>
              <w:rPr>
                <w:rFonts w:ascii="Calibri" w:hAnsi="Calibri" w:eastAsia="SimSun"/>
                <w:b w:val="0"/>
                <w:sz w:val="17"/>
              </w:rPr>
              <w:t>保留原稿的主要章节、试运行范围、权重规则、有效工作评价公式、制度映射和“不直接计算金额”的边界</w:t>
            </w:r>
          </w:p>
        </w:tc>
      </w:tr>
      <w:tr>
        <w:tc>
          <w:tcPr>
            <w:tcW w:type="dxa" w:w="2340"/>
            <w:vAlign w:val="center"/>
            <w:tcMar>
              <w:top w:w="80" w:type="dxa"/>
              <w:start w:w="120" w:type="dxa"/>
              <w:bottom w:w="80" w:type="dxa"/>
              <w:end w:w="120" w:type="dxa"/>
            </w:tcMar>
          </w:tcPr>
          <w:p>
            <w:pPr>
              <w:spacing w:before="0" w:after="0" w:line="252" w:lineRule="auto"/>
              <w:jc w:val="left"/>
            </w:pPr>
            <w:r>
              <w:rPr>
                <w:rFonts w:ascii="Calibri" w:hAnsi="Calibri" w:eastAsia="SimSun"/>
                <w:b w:val="0"/>
                <w:sz w:val="17"/>
              </w:rPr>
              <w:t>Deepseek 返回稿</w:t>
            </w:r>
          </w:p>
        </w:tc>
        <w:tc>
          <w:tcPr>
            <w:tcW w:type="dxa" w:w="2340"/>
            <w:vAlign w:val="center"/>
            <w:tcMar>
              <w:top w:w="80" w:type="dxa"/>
              <w:start w:w="120" w:type="dxa"/>
              <w:bottom w:w="80" w:type="dxa"/>
              <w:end w:w="120" w:type="dxa"/>
            </w:tcMar>
          </w:tcPr>
          <w:p>
            <w:pPr>
              <w:spacing w:before="0" w:after="0" w:line="252" w:lineRule="auto"/>
              <w:jc w:val="left"/>
            </w:pPr>
            <w:r>
              <w:rPr>
                <w:rFonts w:ascii="Calibri" w:hAnsi="Calibri" w:eastAsia="SimSun"/>
                <w:b w:val="0"/>
                <w:sz w:val="17"/>
              </w:rPr>
              <w:t>基于原稿和 AI 对话形成的外部修订建议稿，整体更接近原稿结构</w:t>
            </w:r>
          </w:p>
        </w:tc>
        <w:tc>
          <w:tcPr>
            <w:tcW w:type="dxa" w:w="2340"/>
            <w:vAlign w:val="center"/>
            <w:tcMar>
              <w:top w:w="80" w:type="dxa"/>
              <w:start w:w="120" w:type="dxa"/>
              <w:bottom w:w="80" w:type="dxa"/>
              <w:end w:w="120" w:type="dxa"/>
            </w:tcMar>
          </w:tcPr>
          <w:p>
            <w:pPr>
              <w:spacing w:before="0" w:after="0" w:line="252" w:lineRule="auto"/>
              <w:jc w:val="left"/>
            </w:pPr>
            <w:r>
              <w:rPr>
                <w:rFonts w:ascii="Calibri" w:hAnsi="Calibri" w:eastAsia="SimSun"/>
                <w:b w:val="0"/>
                <w:sz w:val="17"/>
              </w:rPr>
              <w:t>V3 的参考稿之一</w:t>
            </w:r>
          </w:p>
        </w:tc>
        <w:tc>
          <w:tcPr>
            <w:tcW w:type="dxa" w:w="2340"/>
            <w:vAlign w:val="center"/>
            <w:tcMar>
              <w:top w:w="80" w:type="dxa"/>
              <w:start w:w="120" w:type="dxa"/>
              <w:bottom w:w="80" w:type="dxa"/>
              <w:end w:w="120" w:type="dxa"/>
            </w:tcMar>
          </w:tcPr>
          <w:p>
            <w:pPr>
              <w:spacing w:before="0" w:after="0" w:line="252" w:lineRule="auto"/>
              <w:jc w:val="left"/>
            </w:pPr>
            <w:r>
              <w:rPr>
                <w:rFonts w:ascii="Calibri" w:hAnsi="Calibri" w:eastAsia="SimSun"/>
                <w:b w:val="0"/>
                <w:sz w:val="17"/>
              </w:rPr>
              <w:t>采纳其对试运行目的、试运行范围与负荷、执行副组长审批、资格分档等方面的表达优化；不采纳其中固定激励系数、具体金额计算和删除制度映射的做法</w:t>
            </w:r>
          </w:p>
        </w:tc>
      </w:tr>
      <w:tr>
        <w:tc>
          <w:tcPr>
            <w:tcW w:type="dxa" w:w="2340"/>
            <w:vAlign w:val="center"/>
            <w:tcMar>
              <w:top w:w="80" w:type="dxa"/>
              <w:start w:w="120" w:type="dxa"/>
              <w:bottom w:w="80" w:type="dxa"/>
              <w:end w:w="120" w:type="dxa"/>
            </w:tcMar>
          </w:tcPr>
          <w:p>
            <w:pPr>
              <w:spacing w:before="0" w:after="0" w:line="252" w:lineRule="auto"/>
              <w:jc w:val="left"/>
            </w:pPr>
            <w:r>
              <w:rPr>
                <w:rFonts w:ascii="Calibri" w:hAnsi="Calibri" w:eastAsia="SimSun"/>
                <w:b w:val="0"/>
                <w:sz w:val="17"/>
              </w:rPr>
              <w:t>GPT 返回稿</w:t>
            </w:r>
          </w:p>
        </w:tc>
        <w:tc>
          <w:tcPr>
            <w:tcW w:type="dxa" w:w="2340"/>
            <w:vAlign w:val="center"/>
            <w:tcMar>
              <w:top w:w="80" w:type="dxa"/>
              <w:start w:w="120" w:type="dxa"/>
              <w:bottom w:w="80" w:type="dxa"/>
              <w:end w:w="120" w:type="dxa"/>
            </w:tcMar>
          </w:tcPr>
          <w:p>
            <w:pPr>
              <w:spacing w:before="0" w:after="0" w:line="252" w:lineRule="auto"/>
              <w:jc w:val="left"/>
            </w:pPr>
            <w:r>
              <w:rPr>
                <w:rFonts w:ascii="Calibri" w:hAnsi="Calibri" w:eastAsia="SimSun"/>
                <w:b w:val="0"/>
                <w:sz w:val="17"/>
              </w:rPr>
              <w:t>基于原稿和 AI 对话形成的外部修订建议稿，重构幅度较大，偏向完整激励制度模型</w:t>
            </w:r>
          </w:p>
        </w:tc>
        <w:tc>
          <w:tcPr>
            <w:tcW w:type="dxa" w:w="2340"/>
            <w:vAlign w:val="center"/>
            <w:tcMar>
              <w:top w:w="80" w:type="dxa"/>
              <w:start w:w="120" w:type="dxa"/>
              <w:bottom w:w="80" w:type="dxa"/>
              <w:end w:w="120" w:type="dxa"/>
            </w:tcMar>
          </w:tcPr>
          <w:p>
            <w:pPr>
              <w:spacing w:before="0" w:after="0" w:line="252" w:lineRule="auto"/>
              <w:jc w:val="left"/>
            </w:pPr>
            <w:r>
              <w:rPr>
                <w:rFonts w:ascii="Calibri" w:hAnsi="Calibri" w:eastAsia="SimSun"/>
                <w:b w:val="0"/>
                <w:sz w:val="17"/>
              </w:rPr>
              <w:t>V3 的参考稿之一</w:t>
            </w:r>
          </w:p>
        </w:tc>
        <w:tc>
          <w:tcPr>
            <w:tcW w:type="dxa" w:w="2340"/>
            <w:vAlign w:val="center"/>
            <w:tcMar>
              <w:top w:w="80" w:type="dxa"/>
              <w:start w:w="120" w:type="dxa"/>
              <w:bottom w:w="80" w:type="dxa"/>
              <w:end w:w="120" w:type="dxa"/>
            </w:tcMar>
          </w:tcPr>
          <w:p>
            <w:pPr>
              <w:spacing w:before="0" w:after="0" w:line="252" w:lineRule="auto"/>
              <w:jc w:val="left"/>
            </w:pPr>
            <w:r>
              <w:rPr>
                <w:rFonts w:ascii="Calibri" w:hAnsi="Calibri" w:eastAsia="SimSun"/>
                <w:sz w:val="17"/>
              </w:rPr>
              <w:t>采纳其关于产出评价、过程评价、资格准入、资格暂缓、异议复核等可补强事项；不采纳其将方案改写为全面奖金分配制度、设置具体金额字段或弱化阶段门硬约束的做法</w:t>
            </w:r>
          </w:p>
        </w:tc>
      </w:tr>
      <w:tr>
        <w:tc>
          <w:tcPr>
            <w:tcW w:type="dxa" w:w="2340"/>
            <w:vAlign w:val="center"/>
            <w:tcMar>
              <w:top w:w="80" w:type="dxa"/>
              <w:start w:w="120" w:type="dxa"/>
              <w:bottom w:w="80" w:type="dxa"/>
              <w:end w:w="120" w:type="dxa"/>
            </w:tcMar>
          </w:tcPr>
          <w:p>
            <w:pPr>
              <w:spacing w:before="0" w:after="0" w:line="252" w:lineRule="auto"/>
              <w:jc w:val="left"/>
            </w:pPr>
            <w:r>
              <w:rPr>
                <w:rFonts w:ascii="Calibri" w:hAnsi="Calibri" w:eastAsia="SimSun"/>
                <w:b w:val="0"/>
                <w:sz w:val="17"/>
              </w:rPr>
              <w:t>V3 评审稿</w:t>
            </w:r>
          </w:p>
        </w:tc>
        <w:tc>
          <w:tcPr>
            <w:tcW w:type="dxa" w:w="2340"/>
            <w:vAlign w:val="center"/>
            <w:tcMar>
              <w:top w:w="80" w:type="dxa"/>
              <w:start w:w="120" w:type="dxa"/>
              <w:bottom w:w="80" w:type="dxa"/>
              <w:end w:w="120" w:type="dxa"/>
            </w:tcMar>
          </w:tcPr>
          <w:p>
            <w:pPr>
              <w:spacing w:before="0" w:after="0" w:line="252" w:lineRule="auto"/>
              <w:jc w:val="left"/>
            </w:pPr>
            <w:r>
              <w:rPr>
                <w:rFonts w:ascii="Calibri" w:hAnsi="Calibri" w:eastAsia="SimSun"/>
                <w:b w:val="0"/>
                <w:sz w:val="17"/>
              </w:rPr>
              <w:t>以原稿为基础，提炼两份返回稿共性后形成的综合修订稿</w:t>
            </w:r>
          </w:p>
        </w:tc>
        <w:tc>
          <w:tcPr>
            <w:tcW w:type="dxa" w:w="2340"/>
            <w:vAlign w:val="center"/>
            <w:tcMar>
              <w:top w:w="80" w:type="dxa"/>
              <w:start w:w="120" w:type="dxa"/>
              <w:bottom w:w="80" w:type="dxa"/>
              <w:end w:w="120" w:type="dxa"/>
            </w:tcMar>
          </w:tcPr>
          <w:p>
            <w:pPr>
              <w:spacing w:before="0" w:after="0" w:line="252" w:lineRule="auto"/>
              <w:jc w:val="left"/>
            </w:pPr>
            <w:r>
              <w:rPr>
                <w:rFonts w:ascii="Calibri" w:hAnsi="Calibri" w:eastAsia="SimSun"/>
                <w:b w:val="0"/>
                <w:sz w:val="17"/>
              </w:rPr>
              <w:t>当前供评审和继续修改的版本</w:t>
            </w:r>
          </w:p>
        </w:tc>
        <w:tc>
          <w:tcPr>
            <w:tcW w:type="dxa" w:w="2340"/>
            <w:vAlign w:val="center"/>
            <w:tcMar>
              <w:top w:w="80" w:type="dxa"/>
              <w:start w:w="120" w:type="dxa"/>
              <w:bottom w:w="80" w:type="dxa"/>
              <w:end w:w="120" w:type="dxa"/>
            </w:tcMar>
          </w:tcPr>
          <w:p>
            <w:pPr>
              <w:spacing w:before="0" w:after="0" w:line="252" w:lineRule="auto"/>
              <w:jc w:val="left"/>
            </w:pPr>
            <w:r>
              <w:rPr>
                <w:rFonts w:ascii="Calibri" w:hAnsi="Calibri" w:eastAsia="SimSun"/>
                <w:b w:val="0"/>
                <w:sz w:val="17"/>
              </w:rPr>
              <w:t>不是 Deepseek 返回稿和 GPT 返回稿的简单拼接，也不表示两份返回稿并列生效；当三者口径不一致时，V3 以原稿边界和本章采纳说明为准</w:t>
            </w:r>
          </w:p>
        </w:tc>
      </w:tr>
    </w:tbl>
    <w:p>
      <w:pPr>
        <w:spacing w:before="0" w:after="120" w:line="264" w:lineRule="auto"/>
      </w:pPr>
      <w:r>
        <w:rPr>
          <w:rFonts w:ascii="Calibri" w:hAnsi="Calibri" w:eastAsia="SimSun"/>
          <w:sz w:val="22"/>
        </w:rPr>
        <w:t>因此，V3 的核心定位是“原稿为底、共性为辅、边界不变、表达增强”。两份返回稿中共同指向且不突破原稿边界的内容，作为 V3 的主要吸收来源；两份返回稿中涉及资金分配公式、固定系数、全面推广制度化处理或删除制度映射的内容，均不作为 V3 的正式采纳事项。</w:t>
      </w:r>
    </w:p>
    <w:p>
      <w:pPr>
        <w:spacing w:before="0" w:after="120" w:line="264" w:lineRule="auto"/>
      </w:pPr>
      <w:r>
        <w:rPr>
          <w:rFonts w:ascii="Calibri" w:hAnsi="Calibri" w:eastAsia="SimSun"/>
          <w:sz w:val="22"/>
        </w:rPr>
        <w:t>在 PMO 正式确认前，V3 仅作为评审稿和修订建议稿使用，不替代已登记的 DLV-007 正本。</w:t>
      </w:r>
    </w:p>
    <w:p>
      <w:pPr>
        <w:spacing w:before="0" w:after="80" w:line="240" w:lineRule="auto"/>
      </w:pPr>
    </w:p>
    <w:p>
      <w:pPr>
        <w:pStyle w:val="Heading3"/>
      </w:pPr>
      <w:r>
        <w:rPr>
          <w:rFonts w:ascii="Microsoft YaHei" w:hAnsi="Microsoft YaHei" w:eastAsia="Microsoft YaHei"/>
          <w:b/>
        </w:rPr>
        <w:t>1.2 生成依据</w:t>
      </w:r>
    </w:p>
    <w:p>
      <w:pPr>
        <w:spacing w:before="0" w:after="120" w:line="264" w:lineRule="auto"/>
      </w:pPr>
      <w:r>
        <w:rPr>
          <w:rFonts w:ascii="Calibri" w:hAnsi="Calibri" w:eastAsia="SimSun"/>
          <w:sz w:val="22"/>
        </w:rPr>
        <w:t>本稿以原稿为基础，不重写 PMO 计划口径，不改变第一阶段试运行范围，不改变任务权重积分和有效工作评价的基本公式。两份外部返回稿仅作为修订建议来源，用于识别表达、结构和管理机制上的共同方向。</w:t>
      </w:r>
    </w:p>
    <w:p>
      <w:pPr>
        <w:spacing w:before="0" w:after="120" w:line="264" w:lineRule="auto"/>
      </w:pPr>
      <w:r>
        <w:rPr>
          <w:rFonts w:ascii="Calibri" w:hAnsi="Calibri" w:eastAsia="SimSun"/>
          <w:sz w:val="22"/>
        </w:rPr>
        <w:t>本稿采用以下原则生成：</w:t>
      </w:r>
    </w:p>
    <w:p>
      <w:pPr>
        <w:pStyle w:val="ListNumber"/>
        <w:spacing w:before="0" w:after="80" w:line="264" w:lineRule="auto"/>
      </w:pPr>
      <w:r>
        <w:rPr>
          <w:rFonts w:ascii="Calibri" w:hAnsi="Calibri" w:eastAsia="SimSun"/>
          <w:sz w:val="22"/>
        </w:rPr>
        <w:t>原稿中已经明确的试运行边界、总负荷口径、高风险/里程碑/阶段门重点考核口径继续保留。</w:t>
      </w:r>
    </w:p>
    <w:p>
      <w:pPr>
        <w:pStyle w:val="ListNumber"/>
        <w:spacing w:before="0" w:after="80" w:line="264" w:lineRule="auto"/>
      </w:pPr>
      <w:r>
        <w:rPr>
          <w:rFonts w:ascii="Calibri" w:hAnsi="Calibri" w:eastAsia="SimSun"/>
          <w:sz w:val="22"/>
        </w:rPr>
        <w:t>Deepseek 返回稿和 GPT 返回稿共同强化的事项，优先作为 V3 修订依据。</w:t>
      </w:r>
    </w:p>
    <w:p>
      <w:pPr>
        <w:pStyle w:val="ListNumber"/>
        <w:spacing w:before="0" w:after="80" w:line="264" w:lineRule="auto"/>
      </w:pPr>
      <w:r>
        <w:rPr>
          <w:rFonts w:ascii="Calibri" w:hAnsi="Calibri" w:eastAsia="SimSun"/>
          <w:sz w:val="22"/>
        </w:rPr>
        <w:t>与原稿边界冲突的事项不直接采纳，尤其是不在本方案中设固定奖金池、不直接计算具体发放金额、不设置与本方案绑定的资金分配系数。</w:t>
      </w:r>
    </w:p>
    <w:p>
      <w:pPr>
        <w:pStyle w:val="ListNumber"/>
        <w:spacing w:before="0" w:after="80" w:line="264" w:lineRule="auto"/>
      </w:pPr>
      <w:r>
        <w:rPr>
          <w:rFonts w:ascii="Calibri" w:hAnsi="Calibri" w:eastAsia="SimSun"/>
          <w:sz w:val="22"/>
        </w:rPr>
        <w:t>涉及计划调整、客观原因确认、专项激励资格恢复等事项，统一强化为必须经过执行副组长审批或确认。</w:t>
      </w:r>
    </w:p>
    <w:p>
      <w:pPr>
        <w:pStyle w:val="ListNumber"/>
        <w:spacing w:before="0" w:after="80" w:line="264" w:lineRule="auto"/>
      </w:pPr>
      <w:r>
        <w:rPr>
          <w:rFonts w:ascii="Calibri" w:hAnsi="Calibri" w:eastAsia="SimSun"/>
          <w:sz w:val="22"/>
        </w:rPr>
        <w:t>本稿保留制度映射，确保方案能够承接月度绩效、年度部门绩效和项目激励管理流程。</w:t>
      </w:r>
    </w:p>
    <w:p>
      <w:pPr>
        <w:pStyle w:val="Heading3"/>
      </w:pPr>
      <w:r>
        <w:rPr>
          <w:rFonts w:ascii="Microsoft YaHei" w:hAnsi="Microsoft YaHei" w:eastAsia="Microsoft YaHei"/>
          <w:b/>
        </w:rPr>
        <w:t>1.3 两份返回稿的共性</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234"/>
        <w:gridCol w:w="2880"/>
        <w:gridCol w:w="2365"/>
        <w:gridCol w:w="2881"/>
      </w:tblGrid>
      <w:tr>
        <w:tc>
          <w:tcPr>
            <w:tcW w:type="dxa" w:w="1234"/>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共性事项</w:t>
            </w:r>
          </w:p>
        </w:tc>
        <w:tc>
          <w:tcPr>
            <w:tcW w:type="dxa" w:w="2880"/>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Deepseek 返回稿表现</w:t>
            </w:r>
          </w:p>
        </w:tc>
        <w:tc>
          <w:tcPr>
            <w:tcW w:type="dxa" w:w="2365"/>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GPT 返回稿表现</w:t>
            </w:r>
          </w:p>
        </w:tc>
        <w:tc>
          <w:tcPr>
            <w:tcW w:type="dxa" w:w="2881"/>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V3 处理</w:t>
            </w:r>
          </w:p>
        </w:tc>
      </w:tr>
      <w:tr>
        <w:tc>
          <w:tcPr>
            <w:tcW w:type="dxa" w:w="1234"/>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聚焦第一阶段试运行</w:t>
            </w:r>
          </w:p>
        </w:tc>
        <w:tc>
          <w:tcPr>
            <w:tcW w:type="dxa" w:w="288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将目的压缩为权重合理性、有效工作评价、重点标的可管理性</w:t>
            </w:r>
          </w:p>
        </w:tc>
        <w:tc>
          <w:tcPr>
            <w:tcW w:type="dxa" w:w="2365"/>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同样按三项机制说明试运行目的</w:t>
            </w:r>
          </w:p>
        </w:tc>
        <w:tc>
          <w:tcPr>
            <w:tcW w:type="dxa" w:w="2881"/>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采纳表达优化，保留“先试运行、后推广”的原稿边界</w:t>
            </w:r>
          </w:p>
        </w:tc>
      </w:tr>
      <w:tr>
        <w:tc>
          <w:tcPr>
            <w:tcW w:type="dxa" w:w="1234"/>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合并试运行范围与负荷说明</w:t>
            </w:r>
          </w:p>
        </w:tc>
        <w:tc>
          <w:tcPr>
            <w:tcW w:type="dxa" w:w="288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将“试运行范围”调整为“试运行范围与负荷”</w:t>
            </w:r>
          </w:p>
        </w:tc>
        <w:tc>
          <w:tcPr>
            <w:tcW w:type="dxa" w:w="2365"/>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同样采用“试运行范围与负荷”</w:t>
            </w:r>
          </w:p>
        </w:tc>
        <w:tc>
          <w:tcPr>
            <w:tcW w:type="dxa" w:w="2881"/>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采纳为 V3 标题，便于读者直接看到范围和总负荷</w:t>
            </w:r>
          </w:p>
        </w:tc>
      </w:tr>
      <w:tr>
        <w:tc>
          <w:tcPr>
            <w:tcW w:type="dxa" w:w="1234"/>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强调工作组和主责部门</w:t>
            </w:r>
          </w:p>
        </w:tc>
        <w:tc>
          <w:tcPr>
            <w:tcW w:type="dxa" w:w="288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明确 PMO 记录工作组、主责部门、协作部门和阻塞原因</w:t>
            </w:r>
          </w:p>
        </w:tc>
        <w:tc>
          <w:tcPr>
            <w:tcW w:type="dxa" w:w="2365"/>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明确主责未确认前需形成待确认事项并经确认</w:t>
            </w:r>
          </w:p>
        </w:tc>
        <w:tc>
          <w:tcPr>
            <w:tcW w:type="dxa" w:w="2881"/>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采纳，补充“待确认任务暂不进入激励兑现或负向处理”</w:t>
            </w:r>
          </w:p>
        </w:tc>
      </w:tr>
      <w:tr>
        <w:tc>
          <w:tcPr>
            <w:tcW w:type="dxa" w:w="1234"/>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任务有效积分公式一致</w:t>
            </w:r>
          </w:p>
        </w:tc>
        <w:tc>
          <w:tcPr>
            <w:tcW w:type="dxa" w:w="288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保留任务权重分、完成系数、质量系数、证据系数</w:t>
            </w:r>
          </w:p>
        </w:tc>
        <w:tc>
          <w:tcPr>
            <w:tcW w:type="dxa" w:w="2365"/>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保留相同公式，并作为评价基础数据</w:t>
            </w:r>
          </w:p>
        </w:tc>
        <w:tc>
          <w:tcPr>
            <w:tcW w:type="dxa" w:w="2881"/>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采纳，继续作为任务级有效积分基础</w:t>
            </w:r>
          </w:p>
        </w:tc>
      </w:tr>
      <w:tr>
        <w:tc>
          <w:tcPr>
            <w:tcW w:type="dxa" w:w="1234"/>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引入综合评价思路</w:t>
            </w:r>
          </w:p>
        </w:tc>
        <w:tc>
          <w:tcPr>
            <w:tcW w:type="dxa" w:w="288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设置综合评价得分和最终激励分数</w:t>
            </w:r>
          </w:p>
        </w:tc>
        <w:tc>
          <w:tcPr>
            <w:tcW w:type="dxa" w:w="2365"/>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设置产出得分、过程得分和最终综合得分</w:t>
            </w:r>
          </w:p>
        </w:tc>
        <w:tc>
          <w:tcPr>
            <w:tcW w:type="dxa" w:w="2881"/>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部分采纳，改为“试运行综合参考分”，不作为唯一兑现依据</w:t>
            </w:r>
          </w:p>
        </w:tc>
      </w:tr>
      <w:tr>
        <w:tc>
          <w:tcPr>
            <w:tcW w:type="dxa" w:w="1234"/>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强化执行副组长审批</w:t>
            </w:r>
          </w:p>
        </w:tc>
        <w:tc>
          <w:tcPr>
            <w:tcW w:type="dxa" w:w="288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客观原因调整和激励确认需执行副组长复核</w:t>
            </w:r>
          </w:p>
        </w:tc>
        <w:tc>
          <w:tcPr>
            <w:tcW w:type="dxa" w:w="2365"/>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计划调整、结果确认、争议事项均需执行副组长确认</w:t>
            </w:r>
          </w:p>
        </w:tc>
        <w:tc>
          <w:tcPr>
            <w:tcW w:type="dxa" w:w="2881"/>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采纳，统一写入调整、资格恢复和重大争议处理</w:t>
            </w:r>
          </w:p>
        </w:tc>
      </w:tr>
      <w:tr>
        <w:tc>
          <w:tcPr>
            <w:tcW w:type="dxa" w:w="1234"/>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强化专项激励资格准入</w:t>
            </w:r>
          </w:p>
        </w:tc>
        <w:tc>
          <w:tcPr>
            <w:tcW w:type="dxa" w:w="288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增设激励资格分档和取消正向资格情形</w:t>
            </w:r>
          </w:p>
        </w:tc>
        <w:tc>
          <w:tcPr>
            <w:tcW w:type="dxa" w:w="2365"/>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增设资格准入、一票取消、暂缓确认等条款</w:t>
            </w:r>
          </w:p>
        </w:tc>
        <w:tc>
          <w:tcPr>
            <w:tcW w:type="dxa" w:w="2881"/>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部分采纳，转化为资格确认、暂缓和取消口径，不写具体金额</w:t>
            </w:r>
          </w:p>
        </w:tc>
      </w:tr>
      <w:tr>
        <w:tc>
          <w:tcPr>
            <w:tcW w:type="dxa" w:w="1234"/>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强调虚假提交和隐瞒阻塞</w:t>
            </w:r>
          </w:p>
        </w:tc>
        <w:tc>
          <w:tcPr>
            <w:tcW w:type="dxa" w:w="288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列为取消正向激励资格情形</w:t>
            </w:r>
          </w:p>
        </w:tc>
        <w:tc>
          <w:tcPr>
            <w:tcW w:type="dxa" w:w="2365"/>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列为取消当期专项激励资格情形</w:t>
            </w:r>
          </w:p>
        </w:tc>
        <w:tc>
          <w:tcPr>
            <w:tcW w:type="dxa" w:w="2881"/>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采纳，纳入负向激励记录和项目决策层复核</w:t>
            </w:r>
          </w:p>
        </w:tc>
      </w:tr>
      <w:tr>
        <w:tc>
          <w:tcPr>
            <w:tcW w:type="dxa" w:w="1234"/>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附表服务执行闭环</w:t>
            </w:r>
          </w:p>
        </w:tc>
        <w:tc>
          <w:tcPr>
            <w:tcW w:type="dxa" w:w="288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保留任务清单、总负荷评价、一次通过率、阶段门确认、负向记录、调整审批</w:t>
            </w:r>
          </w:p>
        </w:tc>
        <w:tc>
          <w:tcPr>
            <w:tcW w:type="dxa" w:w="2365"/>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调整为评价表、资格确认表、建议表等</w:t>
            </w:r>
          </w:p>
        </w:tc>
        <w:tc>
          <w:tcPr>
            <w:tcW w:type="dxa" w:w="2881"/>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采纳共同的执行闭环思想，保留原稿附表并新增专项激励资格确认表</w:t>
            </w:r>
          </w:p>
        </w:tc>
      </w:tr>
    </w:tbl>
    <w:p>
      <w:pPr>
        <w:spacing w:before="0" w:after="80" w:line="240" w:lineRule="auto"/>
      </w:pPr>
    </w:p>
    <w:p>
      <w:pPr>
        <w:pStyle w:val="Heading3"/>
      </w:pPr>
      <w:r>
        <w:rPr>
          <w:rFonts w:ascii="Microsoft YaHei" w:hAnsi="Microsoft YaHei" w:eastAsia="Microsoft YaHei"/>
          <w:b/>
        </w:rPr>
        <w:t>1.4 未采纳事项及理由</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95"/>
        <w:gridCol w:w="2788"/>
        <w:gridCol w:w="2788"/>
        <w:gridCol w:w="2789"/>
      </w:tblGrid>
      <w:tr>
        <w:tc>
          <w:tcPr>
            <w:tcW w:type="dxa" w:w="995"/>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未采纳事项</w:t>
            </w:r>
          </w:p>
        </w:tc>
        <w:tc>
          <w:tcPr>
            <w:tcW w:type="dxa" w:w="2788"/>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来源表现</w:t>
            </w:r>
          </w:p>
        </w:tc>
        <w:tc>
          <w:tcPr>
            <w:tcW w:type="dxa" w:w="2788"/>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不采纳理由</w:t>
            </w:r>
          </w:p>
        </w:tc>
        <w:tc>
          <w:tcPr>
            <w:tcW w:type="dxa" w:w="2789"/>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V3 替代处理</w:t>
            </w:r>
          </w:p>
        </w:tc>
      </w:tr>
      <w:tr>
        <w:tc>
          <w:tcPr>
            <w:tcW w:type="dxa" w:w="995"/>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固定激励系数</w:t>
            </w:r>
          </w:p>
        </w:tc>
        <w:tc>
          <w:tcPr>
            <w:tcW w:type="dxa" w:w="2788"/>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Deepseek 返回稿和 GPT 返回稿均出现不同激励系数</w:t>
            </w:r>
          </w:p>
        </w:tc>
        <w:tc>
          <w:tcPr>
            <w:tcW w:type="dxa" w:w="2788"/>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原稿假设为先确认积分规则和资格规则，不设固定奖金池</w:t>
            </w:r>
          </w:p>
        </w:tc>
        <w:tc>
          <w:tcPr>
            <w:tcW w:type="dxa" w:w="2789"/>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改为资格状态和分档建议，具体金额仍按公司项目激励流程执行</w:t>
            </w:r>
          </w:p>
        </w:tc>
      </w:tr>
      <w:tr>
        <w:tc>
          <w:tcPr>
            <w:tcW w:type="dxa" w:w="995"/>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具体金额计算公式</w:t>
            </w:r>
          </w:p>
        </w:tc>
        <w:tc>
          <w:tcPr>
            <w:tcW w:type="dxa" w:w="2788"/>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两份返回稿均出现专项激励资金分配公式</w:t>
            </w:r>
          </w:p>
        </w:tc>
        <w:tc>
          <w:tcPr>
            <w:tcW w:type="dxa" w:w="2788"/>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本方案不应越过项目激励审批流程直接计算发放金额</w:t>
            </w:r>
          </w:p>
        </w:tc>
        <w:tc>
          <w:tcPr>
            <w:tcW w:type="dxa" w:w="2789"/>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保留“专项激励金额、分配方式和审批按公司流程执行”</w:t>
            </w:r>
          </w:p>
        </w:tc>
      </w:tr>
      <w:tr>
        <w:tc>
          <w:tcPr>
            <w:tcW w:type="dxa" w:w="995"/>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删除制度映射</w:t>
            </w:r>
          </w:p>
        </w:tc>
        <w:tc>
          <w:tcPr>
            <w:tcW w:type="dxa" w:w="2788"/>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两份返回稿均未保留原稿制度映射</w:t>
            </w:r>
          </w:p>
        </w:tc>
        <w:tc>
          <w:tcPr>
            <w:tcW w:type="dxa" w:w="2788"/>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正式方案需要说明与月度绩效、年度绩效、项目激励制度的承接关系</w:t>
            </w:r>
          </w:p>
        </w:tc>
        <w:tc>
          <w:tcPr>
            <w:tcW w:type="dxa" w:w="2789"/>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V3 恢复并保留制度映射</w:t>
            </w:r>
          </w:p>
        </w:tc>
      </w:tr>
      <w:tr>
        <w:tc>
          <w:tcPr>
            <w:tcW w:type="dxa" w:w="995"/>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将综合分作为唯一依据</w:t>
            </w:r>
          </w:p>
        </w:tc>
        <w:tc>
          <w:tcPr>
            <w:tcW w:type="dxa" w:w="2788"/>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两份返回稿均倾向将最终分数作为量化依据</w:t>
            </w:r>
          </w:p>
        </w:tc>
        <w:tc>
          <w:tcPr>
            <w:tcW w:type="dxa" w:w="2788"/>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高风险、里程碑、阶段门必须保留硬约束，不能被综合分覆盖</w:t>
            </w:r>
          </w:p>
        </w:tc>
        <w:tc>
          <w:tcPr>
            <w:tcW w:type="dxa" w:w="2789"/>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V3 将综合分定义为参考分，资格约束和节点兑现仍单独判断</w:t>
            </w:r>
          </w:p>
        </w:tc>
      </w:tr>
      <w:tr>
        <w:tc>
          <w:tcPr>
            <w:tcW w:type="dxa" w:w="995"/>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改写为全面推广制度</w:t>
            </w:r>
          </w:p>
        </w:tc>
        <w:tc>
          <w:tcPr>
            <w:tcW w:type="dxa" w:w="2788"/>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GPT 返回稿制度化程度较高</w:t>
            </w:r>
          </w:p>
        </w:tc>
        <w:tc>
          <w:tcPr>
            <w:tcW w:type="dxa" w:w="2788"/>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当前方案仍是第一阶段流程治理和数据治理试运行</w:t>
            </w:r>
          </w:p>
        </w:tc>
        <w:tc>
          <w:tcPr>
            <w:tcW w:type="dxa" w:w="2789"/>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V3 维持先试运行、再校准、后推广</w:t>
            </w:r>
          </w:p>
        </w:tc>
      </w:tr>
    </w:tbl>
    <w:p>
      <w:pPr>
        <w:spacing w:before="0" w:after="80" w:line="240" w:lineRule="auto"/>
      </w:pPr>
    </w:p>
    <w:p>
      <w:pPr>
        <w:pStyle w:val="Heading2"/>
      </w:pPr>
      <w:r>
        <w:rPr>
          <w:rFonts w:ascii="Microsoft YaHei" w:hAnsi="Microsoft YaHei" w:eastAsia="Microsoft YaHei"/>
          <w:b/>
        </w:rPr>
        <w:t>二、第一阶段试运行考核方案</w:t>
      </w:r>
    </w:p>
    <w:p>
      <w:pPr>
        <w:pStyle w:val="Heading3"/>
      </w:pPr>
      <w:r>
        <w:rPr>
          <w:rFonts w:ascii="Microsoft YaHei" w:hAnsi="Microsoft YaHei" w:eastAsia="Microsoft YaHei"/>
          <w:b/>
        </w:rPr>
        <w:t>2.1 试运行目的</w:t>
      </w:r>
    </w:p>
    <w:p>
      <w:pPr>
        <w:spacing w:before="0" w:after="120" w:line="264" w:lineRule="auto"/>
      </w:pPr>
      <w:r>
        <w:rPr>
          <w:rFonts w:ascii="Calibri" w:hAnsi="Calibri" w:eastAsia="SimSun"/>
          <w:sz w:val="22"/>
        </w:rPr>
        <w:t>本方案先服务第一阶段流程治理和数据治理工作，不直接全项目铺开。试运行的目的不是把所有事项一次性奖惩到底，而是先验证三件事：</w:t>
      </w:r>
    </w:p>
    <w:p>
      <w:pPr>
        <w:pStyle w:val="ListNumber"/>
        <w:spacing w:before="0" w:after="80" w:line="264" w:lineRule="auto"/>
      </w:pPr>
      <w:r>
        <w:rPr>
          <w:rFonts w:ascii="Calibri" w:hAnsi="Calibri" w:eastAsia="SimSun"/>
          <w:sz w:val="22"/>
        </w:rPr>
        <w:t>任务权重是否能反映真实工作负荷。</w:t>
      </w:r>
    </w:p>
    <w:p>
      <w:pPr>
        <w:pStyle w:val="ListNumber"/>
        <w:spacing w:before="0" w:after="80" w:line="264" w:lineRule="auto"/>
      </w:pPr>
      <w:r>
        <w:rPr>
          <w:rFonts w:ascii="Calibri" w:hAnsi="Calibri" w:eastAsia="SimSun"/>
          <w:sz w:val="22"/>
        </w:rPr>
        <w:t>有效工作评价是否能区分“做了很多”和“做成、做准、一次过”。</w:t>
      </w:r>
    </w:p>
    <w:p>
      <w:pPr>
        <w:pStyle w:val="ListNumber"/>
        <w:spacing w:before="0" w:after="80" w:line="264" w:lineRule="auto"/>
      </w:pPr>
      <w:r>
        <w:rPr>
          <w:rFonts w:ascii="Calibri" w:hAnsi="Calibri" w:eastAsia="SimSun"/>
          <w:sz w:val="22"/>
        </w:rPr>
        <w:t>高风险任务、里程碑任务、阶段门任务是否能成为可复盘、可兑现、可考核的重点标的。</w:t>
      </w:r>
    </w:p>
    <w:p>
      <w:pPr>
        <w:spacing w:before="0" w:after="120" w:line="264" w:lineRule="auto"/>
      </w:pPr>
      <w:r>
        <w:rPr>
          <w:rFonts w:ascii="Calibri" w:hAnsi="Calibri" w:eastAsia="SimSun"/>
          <w:sz w:val="22"/>
        </w:rPr>
        <w:t>试运行结果用于校准权重、评价阈值和后续全项目推广规则。试运行期间发现任务边界、主责部门、证据标准不清的，先进入 PMO 待确认清单，不倒推修改 PMO 任务基线。</w:t>
      </w:r>
    </w:p>
    <w:p>
      <w:pPr>
        <w:pStyle w:val="Heading3"/>
      </w:pPr>
      <w:r>
        <w:rPr>
          <w:rFonts w:ascii="Microsoft YaHei" w:hAnsi="Microsoft YaHei" w:eastAsia="Microsoft YaHei"/>
          <w:b/>
        </w:rPr>
        <w:t>2.2 试运行范围与负荷</w:t>
      </w:r>
    </w:p>
    <w:p>
      <w:pPr>
        <w:spacing w:before="0" w:after="120" w:line="264" w:lineRule="auto"/>
      </w:pPr>
      <w:r>
        <w:rPr>
          <w:rFonts w:ascii="Calibri" w:hAnsi="Calibri" w:eastAsia="SimSun"/>
          <w:sz w:val="22"/>
        </w:rPr>
        <w:t>首轮试运行范围按 PMO 任务基线和 WBS 结构基线识别，不另造任务口径。</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06"/>
        <w:gridCol w:w="2139"/>
        <w:gridCol w:w="2496"/>
        <w:gridCol w:w="1693"/>
        <w:gridCol w:w="626"/>
      </w:tblGrid>
      <w:tr>
        <w:tc>
          <w:tcPr>
            <w:tcW w:type="dxa" w:w="2406"/>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范围</w:t>
            </w:r>
          </w:p>
        </w:tc>
        <w:tc>
          <w:tcPr>
            <w:tcW w:type="dxa" w:w="2139"/>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管控对象</w:t>
            </w:r>
          </w:p>
        </w:tc>
        <w:tc>
          <w:tcPr>
            <w:tcW w:type="dxa" w:w="2496"/>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试运行重点</w:t>
            </w:r>
          </w:p>
        </w:tc>
        <w:tc>
          <w:tcPr>
            <w:tcW w:type="dxa" w:w="1693"/>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首轮测算任务</w:t>
            </w:r>
          </w:p>
        </w:tc>
        <w:tc>
          <w:tcPr>
            <w:tcW w:type="dxa" w:w="626"/>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首轮测算总负荷</w:t>
            </w:r>
          </w:p>
        </w:tc>
      </w:tr>
      <w:tr>
        <w:tc>
          <w:tcPr>
            <w:tcW w:type="dxa" w:w="2406"/>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WBS 1.2 现状调研</w:t>
            </w:r>
          </w:p>
        </w:tc>
        <w:tc>
          <w:tcPr>
            <w:tcW w:type="dxa" w:w="2139"/>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部门调研、流程与数据现状、问题清单、调研小结</w:t>
            </w:r>
          </w:p>
        </w:tc>
        <w:tc>
          <w:tcPr>
            <w:tcW w:type="dxa" w:w="2496"/>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高风险调研任务、关键路径控制任务、GATE-1.2 准入确认</w:t>
            </w:r>
          </w:p>
        </w:tc>
        <w:tc>
          <w:tcPr>
            <w:tcW w:type="dxa" w:w="1693"/>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40 项可计负荷任务，1 项节点兑现项</w:t>
            </w:r>
          </w:p>
        </w:tc>
        <w:tc>
          <w:tcPr>
            <w:tcW w:type="dxa" w:w="626"/>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225 分</w:t>
            </w:r>
          </w:p>
        </w:tc>
      </w:tr>
      <w:tr>
        <w:tc>
          <w:tcPr>
            <w:tcW w:type="dxa" w:w="2406"/>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WBS 3.1-3.4 数据标准与主数据治理前段</w:t>
            </w:r>
          </w:p>
        </w:tc>
        <w:tc>
          <w:tcPr>
            <w:tcW w:type="dxa" w:w="2139"/>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组织/人员、物料编码、BOM 口径、工艺资源标准</w:t>
            </w:r>
          </w:p>
        </w:tc>
        <w:tc>
          <w:tcPr>
            <w:tcW w:type="dxa" w:w="2496"/>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数据标准草案、业务评审、修订确认</w:t>
            </w:r>
          </w:p>
        </w:tc>
        <w:tc>
          <w:tcPr>
            <w:tcW w:type="dxa" w:w="1693"/>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16 项可计负荷任务</w:t>
            </w:r>
          </w:p>
        </w:tc>
        <w:tc>
          <w:tcPr>
            <w:tcW w:type="dxa" w:w="626"/>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58 分</w:t>
            </w:r>
          </w:p>
        </w:tc>
      </w:tr>
      <w:tr>
        <w:tc>
          <w:tcPr>
            <w:tcW w:type="dxa" w:w="2406"/>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WBS 4.1-4.7 MDM 建设准备与数据治理沉淀</w:t>
            </w:r>
          </w:p>
        </w:tc>
        <w:tc>
          <w:tcPr>
            <w:tcW w:type="dxa" w:w="2139"/>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流程地图、数据地图、主数据边界、模型与样例沉淀</w:t>
            </w:r>
          </w:p>
        </w:tc>
        <w:tc>
          <w:tcPr>
            <w:tcW w:type="dxa" w:w="2496"/>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数据治理沉淀、规则样例、跨系统口径准备</w:t>
            </w:r>
          </w:p>
        </w:tc>
        <w:tc>
          <w:tcPr>
            <w:tcW w:type="dxa" w:w="1693"/>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20 项可计负荷任务</w:t>
            </w:r>
          </w:p>
        </w:tc>
        <w:tc>
          <w:tcPr>
            <w:tcW w:type="dxa" w:w="626"/>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108.5 分</w:t>
            </w:r>
          </w:p>
        </w:tc>
      </w:tr>
      <w:tr>
        <w:tc>
          <w:tcPr>
            <w:tcW w:type="dxa" w:w="2406"/>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合计</w:t>
            </w:r>
          </w:p>
        </w:tc>
        <w:tc>
          <w:tcPr>
            <w:tcW w:type="dxa" w:w="2139"/>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第一阶段流程治理与数据治理试运行</w:t>
            </w:r>
          </w:p>
        </w:tc>
        <w:tc>
          <w:tcPr>
            <w:tcW w:type="dxa" w:w="2496"/>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按总负荷评价有效工作</w:t>
            </w:r>
          </w:p>
        </w:tc>
        <w:tc>
          <w:tcPr>
            <w:tcW w:type="dxa" w:w="1693"/>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76 项可计负荷任务，1 项节点兑现项</w:t>
            </w:r>
          </w:p>
        </w:tc>
        <w:tc>
          <w:tcPr>
            <w:tcW w:type="dxa" w:w="626"/>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391.5 分</w:t>
            </w:r>
          </w:p>
        </w:tc>
      </w:tr>
    </w:tbl>
    <w:p>
      <w:pPr>
        <w:spacing w:before="0" w:after="80" w:line="240" w:lineRule="auto"/>
      </w:pPr>
    </w:p>
    <w:p>
      <w:pPr>
        <w:spacing w:before="0" w:after="120" w:line="264" w:lineRule="auto"/>
      </w:pPr>
      <w:r>
        <w:rPr>
          <w:rFonts w:ascii="Calibri" w:hAnsi="Calibri" w:eastAsia="SimSun"/>
          <w:sz w:val="22"/>
        </w:rPr>
        <w:t>说明：以上为基于当前 PMO 任务基线数据形成的首轮测算值，只用于本方案试运行口径说明。正式执行仍以经批准的 PMO 任务基线为准；任务增删、日期变化或 WBS 调整时，应重新测算。</w:t>
      </w:r>
    </w:p>
    <w:p>
      <w:pPr>
        <w:pStyle w:val="Heading3"/>
      </w:pPr>
      <w:r>
        <w:rPr>
          <w:rFonts w:ascii="Microsoft YaHei" w:hAnsi="Microsoft YaHei" w:eastAsia="Microsoft YaHei"/>
          <w:b/>
        </w:rPr>
        <w:t>2.3 试运行考核对象</w:t>
      </w:r>
    </w:p>
    <w:p>
      <w:pPr>
        <w:spacing w:before="0" w:after="120" w:line="264" w:lineRule="auto"/>
      </w:pPr>
      <w:r>
        <w:rPr>
          <w:rFonts w:ascii="Calibri" w:hAnsi="Calibri" w:eastAsia="SimSun"/>
          <w:sz w:val="22"/>
        </w:rPr>
        <w:t>试运行按工作组为主评价，跨部门工作组主要考核主责部门。第一阶段先按以下承接口径记录：</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318"/>
        <w:gridCol w:w="3032"/>
        <w:gridCol w:w="790"/>
        <w:gridCol w:w="922"/>
        <w:gridCol w:w="3298"/>
      </w:tblGrid>
      <w:tr>
        <w:tc>
          <w:tcPr>
            <w:tcW w:type="dxa" w:w="1318"/>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工作组 / 承接对象</w:t>
            </w:r>
          </w:p>
        </w:tc>
        <w:tc>
          <w:tcPr>
            <w:tcW w:type="dxa" w:w="3032"/>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对应范围</w:t>
            </w:r>
          </w:p>
        </w:tc>
        <w:tc>
          <w:tcPr>
            <w:tcW w:type="dxa" w:w="790"/>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首轮测算任务</w:t>
            </w:r>
          </w:p>
        </w:tc>
        <w:tc>
          <w:tcPr>
            <w:tcW w:type="dxa" w:w="922"/>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首轮测算总负荷</w:t>
            </w:r>
          </w:p>
        </w:tc>
        <w:tc>
          <w:tcPr>
            <w:tcW w:type="dxa" w:w="3298"/>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评价方式</w:t>
            </w:r>
          </w:p>
        </w:tc>
      </w:tr>
      <w:tr>
        <w:tc>
          <w:tcPr>
            <w:tcW w:type="dxa" w:w="1318"/>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信息化项目组</w:t>
            </w:r>
          </w:p>
        </w:tc>
        <w:tc>
          <w:tcPr>
            <w:tcW w:type="dxa" w:w="3032"/>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WBS 1.2 现状调研</w:t>
            </w:r>
          </w:p>
        </w:tc>
        <w:tc>
          <w:tcPr>
            <w:tcW w:type="dxa" w:w="790"/>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40 项</w:t>
            </w:r>
          </w:p>
        </w:tc>
        <w:tc>
          <w:tcPr>
            <w:tcW w:type="dxa" w:w="922"/>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225 分</w:t>
            </w:r>
          </w:p>
        </w:tc>
        <w:tc>
          <w:tcPr>
            <w:tcW w:type="dxa" w:w="3298"/>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按调研、流程治理、数据治理前置任务整体评价</w:t>
            </w:r>
          </w:p>
        </w:tc>
      </w:tr>
      <w:tr>
        <w:tc>
          <w:tcPr>
            <w:tcW w:type="dxa" w:w="1318"/>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MDM 工作组</w:t>
            </w:r>
          </w:p>
        </w:tc>
        <w:tc>
          <w:tcPr>
            <w:tcW w:type="dxa" w:w="3032"/>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WBS 3.1-3.4、WBS 4.1-4.7</w:t>
            </w:r>
          </w:p>
        </w:tc>
        <w:tc>
          <w:tcPr>
            <w:tcW w:type="dxa" w:w="790"/>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36 项</w:t>
            </w:r>
          </w:p>
        </w:tc>
        <w:tc>
          <w:tcPr>
            <w:tcW w:type="dxa" w:w="922"/>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166.5 分</w:t>
            </w:r>
          </w:p>
        </w:tc>
        <w:tc>
          <w:tcPr>
            <w:tcW w:type="dxa" w:w="3298"/>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按数据标准、数据地图、主数据边界与治理沉淀整体评价</w:t>
            </w:r>
          </w:p>
        </w:tc>
      </w:tr>
    </w:tbl>
    <w:p>
      <w:pPr>
        <w:spacing w:before="0" w:after="80" w:line="240" w:lineRule="auto"/>
      </w:pPr>
    </w:p>
    <w:p>
      <w:pPr>
        <w:spacing w:before="0" w:after="120" w:line="264" w:lineRule="auto"/>
      </w:pPr>
      <w:r>
        <w:rPr>
          <w:rFonts w:ascii="Calibri" w:hAnsi="Calibri" w:eastAsia="SimSun"/>
          <w:sz w:val="22"/>
        </w:rPr>
        <w:t>若具体任务涉及多个部门配合，PMO 只记录主责工作组、主责部门、协作部门和阻塞原因，不按人员姓名直接拆分得分。主责部门尚未由组织架构文件或任命文件明确的，先列为</w:t>
      </w:r>
      <w:r>
        <w:rPr>
          <w:rFonts w:ascii="Calibri" w:hAnsi="Calibri" w:eastAsia="SimSun"/>
          <w:sz w:val="22"/>
        </w:rPr>
        <w:t>“待主责确认”</w:t>
      </w:r>
      <w:r>
        <w:rPr>
          <w:rFonts w:ascii="Calibri" w:hAnsi="Calibri" w:eastAsia="SimSun"/>
          <w:sz w:val="22"/>
        </w:rPr>
        <w:t>，不得凭职务或口头印象推断。</w:t>
      </w:r>
    </w:p>
    <w:p>
      <w:pPr>
        <w:spacing w:before="0" w:after="120" w:line="264" w:lineRule="auto"/>
      </w:pPr>
      <w:r>
        <w:rPr>
          <w:rFonts w:ascii="Calibri" w:hAnsi="Calibri" w:eastAsia="SimSun"/>
          <w:sz w:val="22"/>
        </w:rPr>
        <w:t>待主责确认的任务可以进入总负荷测算清单，但暂不进入专项激励兑现或负向处理。经执行副组长确认主责后，再纳入对应周期评价。</w:t>
      </w:r>
    </w:p>
    <w:p>
      <w:pPr>
        <w:pStyle w:val="Heading3"/>
      </w:pPr>
      <w:r>
        <w:rPr>
          <w:rFonts w:ascii="Microsoft YaHei" w:hAnsi="Microsoft YaHei" w:eastAsia="Microsoft YaHei"/>
          <w:b/>
        </w:rPr>
        <w:t>2.4 重点激励和重点考核标的</w:t>
      </w:r>
    </w:p>
    <w:p>
      <w:pPr>
        <w:spacing w:before="0" w:after="120" w:line="264" w:lineRule="auto"/>
      </w:pPr>
      <w:r>
        <w:rPr>
          <w:rFonts w:ascii="Calibri" w:hAnsi="Calibri" w:eastAsia="SimSun"/>
          <w:sz w:val="22"/>
        </w:rPr>
        <w:t>以下任务不按普通事项处理，应进入 PMO 周会、月度复盘和阶段评审重点清单：</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880"/>
        <w:gridCol w:w="3083"/>
        <w:gridCol w:w="2752"/>
        <w:gridCol w:w="2645"/>
      </w:tblGrid>
      <w:tr>
        <w:tc>
          <w:tcPr>
            <w:tcW w:type="dxa" w:w="880"/>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标的</w:t>
            </w:r>
          </w:p>
        </w:tc>
        <w:tc>
          <w:tcPr>
            <w:tcW w:type="dxa" w:w="3083"/>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识别规则</w:t>
            </w:r>
          </w:p>
        </w:tc>
        <w:tc>
          <w:tcPr>
            <w:tcW w:type="dxa" w:w="2752"/>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正向应用</w:t>
            </w:r>
          </w:p>
        </w:tc>
        <w:tc>
          <w:tcPr>
            <w:tcW w:type="dxa" w:w="2645"/>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负向应用</w:t>
            </w:r>
          </w:p>
        </w:tc>
      </w:tr>
      <w:tr>
        <w:tc>
          <w:tcPr>
            <w:tcW w:type="dxa" w:w="880"/>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高风险任务</w:t>
            </w:r>
          </w:p>
        </w:tc>
        <w:tc>
          <w:tcPr>
            <w:tcW w:type="dxa" w:w="3083"/>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风险等级为高</w:t>
            </w:r>
          </w:p>
        </w:tc>
        <w:tc>
          <w:tcPr>
            <w:tcW w:type="dxa" w:w="2752"/>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同等完成质量下优先纳入正向激励资格</w:t>
            </w:r>
          </w:p>
        </w:tc>
        <w:tc>
          <w:tcPr>
            <w:tcW w:type="dxa" w:w="2645"/>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未获批逾期、证据不足或反复返工时优先进入整改清单</w:t>
            </w:r>
          </w:p>
        </w:tc>
      </w:tr>
      <w:tr>
        <w:tc>
          <w:tcPr>
            <w:tcW w:type="dxa" w:w="880"/>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关键路径控制任务</w:t>
            </w:r>
          </w:p>
        </w:tc>
        <w:tc>
          <w:tcPr>
            <w:tcW w:type="dxa" w:w="3083"/>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标记为关键路径控制任务</w:t>
            </w:r>
          </w:p>
        </w:tc>
        <w:tc>
          <w:tcPr>
            <w:tcW w:type="dxa" w:w="2752"/>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按期通过后优先支撑阶段兑现</w:t>
            </w:r>
          </w:p>
        </w:tc>
        <w:tc>
          <w:tcPr>
            <w:tcW w:type="dxa" w:w="2645"/>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影响后续任务启动时，纳入 PMO 阻塞升级</w:t>
            </w:r>
          </w:p>
        </w:tc>
      </w:tr>
      <w:tr>
        <w:tc>
          <w:tcPr>
            <w:tcW w:type="dxa" w:w="880"/>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里程碑任务</w:t>
            </w:r>
          </w:p>
        </w:tc>
        <w:tc>
          <w:tcPr>
            <w:tcW w:type="dxa" w:w="3083"/>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任务类型为里程碑，或任务基线中标注为里程碑</w:t>
            </w:r>
          </w:p>
        </w:tc>
        <w:tc>
          <w:tcPr>
            <w:tcW w:type="dxa" w:w="2752"/>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不按普通工作量堆积分，作为节点兑现项</w:t>
            </w:r>
          </w:p>
        </w:tc>
        <w:tc>
          <w:tcPr>
            <w:tcW w:type="dxa" w:w="2645"/>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节点未达成时暂缓相关阶段正向激励资格</w:t>
            </w:r>
          </w:p>
        </w:tc>
      </w:tr>
      <w:tr>
        <w:tc>
          <w:tcPr>
            <w:tcW w:type="dxa" w:w="880"/>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阶段门任务</w:t>
            </w:r>
          </w:p>
        </w:tc>
        <w:tc>
          <w:tcPr>
            <w:tcW w:type="dxa" w:w="3083"/>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阶段门编号、阶段门名称、放行/阻断规则或合同/付款控制口径不为空</w:t>
            </w:r>
          </w:p>
        </w:tc>
        <w:tc>
          <w:tcPr>
            <w:tcW w:type="dxa" w:w="2752"/>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前置交付物齐套、评审结论明确后进入专项激励资格确认</w:t>
            </w:r>
          </w:p>
        </w:tc>
        <w:tc>
          <w:tcPr>
            <w:tcW w:type="dxa" w:w="2645"/>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前置交付物缺失、阻塞项未闭环时不得进入节点兑现</w:t>
            </w:r>
          </w:p>
        </w:tc>
      </w:tr>
    </w:tbl>
    <w:p>
      <w:pPr>
        <w:spacing w:before="0" w:after="80" w:line="240" w:lineRule="auto"/>
      </w:pPr>
    </w:p>
    <w:p>
      <w:pPr>
        <w:spacing w:before="0" w:after="120" w:line="264" w:lineRule="auto"/>
      </w:pPr>
      <w:r>
        <w:rPr>
          <w:rFonts w:ascii="Calibri" w:hAnsi="Calibri" w:eastAsia="SimSun"/>
          <w:sz w:val="22"/>
        </w:rPr>
        <w:t>首轮试运行已识别的节点兑现项为 WBS 1.2.7.6</w:t>
      </w:r>
      <w:r>
        <w:rPr>
          <w:rFonts w:ascii="Calibri" w:hAnsi="Calibri" w:eastAsia="SimSun"/>
          <w:sz w:val="22"/>
        </w:rPr>
        <w:t>“进入总体蓝图编制条件确认”</w:t>
      </w:r>
      <w:r>
        <w:rPr>
          <w:rFonts w:ascii="Calibri" w:hAnsi="Calibri" w:eastAsia="SimSun"/>
          <w:sz w:val="22"/>
        </w:rPr>
        <w:t>，对应 GATE-1.2 和交付物</w:t>
      </w:r>
      <w:r>
        <w:rPr>
          <w:rFonts w:ascii="Calibri" w:hAnsi="Calibri" w:eastAsia="SimSun"/>
          <w:sz w:val="22"/>
        </w:rPr>
        <w:t>“蓝图编制准入确认单”</w:t>
      </w:r>
      <w:r>
        <w:rPr>
          <w:rFonts w:ascii="Calibri" w:hAnsi="Calibri" w:eastAsia="SimSun"/>
          <w:sz w:val="22"/>
        </w:rPr>
        <w:t>。</w:t>
      </w:r>
    </w:p>
    <w:p>
      <w:pPr>
        <w:pStyle w:val="Heading2"/>
      </w:pPr>
      <w:r>
        <w:rPr>
          <w:rFonts w:ascii="Microsoft YaHei" w:hAnsi="Microsoft YaHei" w:eastAsia="Microsoft YaHei"/>
          <w:b/>
        </w:rPr>
        <w:t>三、任务权重与总负荷计算</w:t>
      </w:r>
    </w:p>
    <w:p>
      <w:pPr>
        <w:pStyle w:val="Heading3"/>
      </w:pPr>
      <w:r>
        <w:rPr>
          <w:rFonts w:ascii="Microsoft YaHei" w:hAnsi="Microsoft YaHei" w:eastAsia="Microsoft YaHei"/>
          <w:b/>
        </w:rPr>
        <w:t>3.1 计入范围</w:t>
      </w:r>
    </w:p>
    <w:p>
      <w:pPr>
        <w:pStyle w:val="ListNumber"/>
        <w:spacing w:before="0" w:after="80" w:line="264" w:lineRule="auto"/>
      </w:pPr>
      <w:r>
        <w:rPr>
          <w:rFonts w:ascii="Calibri" w:hAnsi="Calibri" w:eastAsia="SimSun"/>
          <w:sz w:val="22"/>
        </w:rPr>
        <w:t>计入总负荷：非摘要、非 0 工作日、可执行且有明确交付要求的任务。</w:t>
      </w:r>
    </w:p>
    <w:p>
      <w:pPr>
        <w:pStyle w:val="ListNumber"/>
        <w:spacing w:before="0" w:after="80" w:line="264" w:lineRule="auto"/>
      </w:pPr>
      <w:r>
        <w:rPr>
          <w:rFonts w:ascii="Calibri" w:hAnsi="Calibri" w:eastAsia="SimSun"/>
          <w:sz w:val="22"/>
        </w:rPr>
        <w:t>不计普通工作量：摘要任务、虚拟父节点、仅用于分组展示的任务。</w:t>
      </w:r>
    </w:p>
    <w:p>
      <w:pPr>
        <w:pStyle w:val="ListNumber"/>
        <w:spacing w:before="0" w:after="80" w:line="264" w:lineRule="auto"/>
      </w:pPr>
      <w:r>
        <w:rPr>
          <w:rFonts w:ascii="Calibri" w:hAnsi="Calibri" w:eastAsia="SimSun"/>
          <w:sz w:val="22"/>
        </w:rPr>
        <w:t>里程碑和阶段门：不按普通工作量堆积分，单独作为节点兑现和节点考核标的。</w:t>
      </w:r>
    </w:p>
    <w:p>
      <w:pPr>
        <w:pStyle w:val="ListNumber"/>
        <w:spacing w:before="0" w:after="80" w:line="264" w:lineRule="auto"/>
      </w:pPr>
      <w:r>
        <w:rPr>
          <w:rFonts w:ascii="Calibri" w:hAnsi="Calibri" w:eastAsia="SimSun"/>
          <w:sz w:val="22"/>
        </w:rPr>
        <w:t>经执行副组长审批同意调整的客观原因任务：按调整后周期计入，不作为未完成处理。</w:t>
      </w:r>
    </w:p>
    <w:p>
      <w:pPr>
        <w:pStyle w:val="Heading3"/>
      </w:pPr>
      <w:r>
        <w:rPr>
          <w:rFonts w:ascii="Microsoft YaHei" w:hAnsi="Microsoft YaHei" w:eastAsia="Microsoft YaHei"/>
          <w:b/>
        </w:rPr>
        <w:t>3.2 单任务权重分</w:t>
      </w:r>
    </w:p>
    <w:p>
      <w:pPr>
        <w:spacing w:before="0" w:after="120" w:line="264" w:lineRule="auto"/>
      </w:pPr>
      <w:r>
        <w:rPr>
          <w:rFonts w:ascii="Calibri" w:hAnsi="Calibri" w:eastAsia="SimSun"/>
          <w:sz w:val="22"/>
        </w:rPr>
        <w:t>普通可执行任务基础分为 1 分，在此基础上按影响、风险和控制要求加权：</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600"/>
        <w:gridCol w:w="960"/>
        <w:gridCol w:w="4800"/>
      </w:tblGrid>
      <w:tr>
        <w:tc>
          <w:tcPr>
            <w:tcW w:type="dxa" w:w="3600"/>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加权项</w:t>
            </w:r>
          </w:p>
        </w:tc>
        <w:tc>
          <w:tcPr>
            <w:tcW w:type="dxa" w:w="960"/>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加分</w:t>
            </w:r>
          </w:p>
        </w:tc>
        <w:tc>
          <w:tcPr>
            <w:tcW w:type="dxa" w:w="4800"/>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说明</w:t>
            </w:r>
          </w:p>
        </w:tc>
      </w:tr>
      <w:tr>
        <w:tc>
          <w:tcPr>
            <w:tcW w:type="dxa" w:w="3600"/>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高风险任务</w:t>
            </w:r>
          </w:p>
        </w:tc>
        <w:tc>
          <w:tcPr>
            <w:tcW w:type="dxa" w:w="960"/>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+2</w:t>
            </w:r>
          </w:p>
        </w:tc>
        <w:tc>
          <w:tcPr>
            <w:tcW w:type="dxa" w:w="4800"/>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风险等级为高</w:t>
            </w:r>
          </w:p>
        </w:tc>
      </w:tr>
      <w:tr>
        <w:tc>
          <w:tcPr>
            <w:tcW w:type="dxa" w:w="3600"/>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关键路径控制</w:t>
            </w:r>
          </w:p>
        </w:tc>
        <w:tc>
          <w:tcPr>
            <w:tcW w:type="dxa" w:w="960"/>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+2</w:t>
            </w:r>
          </w:p>
        </w:tc>
        <w:tc>
          <w:tcPr>
            <w:tcW w:type="dxa" w:w="480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影响后续关键任务、阶段门或整体节奏</w:t>
            </w:r>
          </w:p>
        </w:tc>
      </w:tr>
      <w:tr>
        <w:tc>
          <w:tcPr>
            <w:tcW w:type="dxa" w:w="3600"/>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H5 重点展示</w:t>
            </w:r>
          </w:p>
        </w:tc>
        <w:tc>
          <w:tcPr>
            <w:tcW w:type="dxa" w:w="960"/>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+1</w:t>
            </w:r>
          </w:p>
        </w:tc>
        <w:tc>
          <w:tcPr>
            <w:tcW w:type="dxa" w:w="480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已纳入 PMO 重点展示或管理层关注清单</w:t>
            </w:r>
          </w:p>
        </w:tc>
      </w:tr>
      <w:tr>
        <w:tc>
          <w:tcPr>
            <w:tcW w:type="dxa" w:w="360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阶段门/放行阻断/合同付款控制</w:t>
            </w:r>
          </w:p>
        </w:tc>
        <w:tc>
          <w:tcPr>
            <w:tcW w:type="dxa" w:w="960"/>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+2</w:t>
            </w:r>
          </w:p>
        </w:tc>
        <w:tc>
          <w:tcPr>
            <w:tcW w:type="dxa" w:w="480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与节点放行、阻断、合同或付款控制直接相关</w:t>
            </w:r>
          </w:p>
        </w:tc>
      </w:tr>
      <w:tr>
        <w:tc>
          <w:tcPr>
            <w:tcW w:type="dxa" w:w="360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有明确交付物或审核人</w:t>
            </w:r>
          </w:p>
        </w:tc>
        <w:tc>
          <w:tcPr>
            <w:tcW w:type="dxa" w:w="960"/>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+1</w:t>
            </w:r>
          </w:p>
        </w:tc>
        <w:tc>
          <w:tcPr>
            <w:tcW w:type="dxa" w:w="480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任务基线存在交付物、审核人或审批组</w:t>
            </w:r>
          </w:p>
        </w:tc>
      </w:tr>
      <w:tr>
        <w:tc>
          <w:tcPr>
            <w:tcW w:type="dxa" w:w="360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工期 6-10 工作日</w:t>
            </w:r>
          </w:p>
        </w:tc>
        <w:tc>
          <w:tcPr>
            <w:tcW w:type="dxa" w:w="960"/>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+0.5</w:t>
            </w:r>
          </w:p>
        </w:tc>
        <w:tc>
          <w:tcPr>
            <w:tcW w:type="dxa" w:w="480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适度补偿持续工作负荷</w:t>
            </w:r>
          </w:p>
        </w:tc>
      </w:tr>
      <w:tr>
        <w:tc>
          <w:tcPr>
            <w:tcW w:type="dxa" w:w="360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工期超过 10 工作日</w:t>
            </w:r>
          </w:p>
        </w:tc>
        <w:tc>
          <w:tcPr>
            <w:tcW w:type="dxa" w:w="960"/>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+1</w:t>
            </w:r>
          </w:p>
        </w:tc>
        <w:tc>
          <w:tcPr>
            <w:tcW w:type="dxa" w:w="480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适度补偿长周期协调和材料闭环负荷</w:t>
            </w:r>
          </w:p>
        </w:tc>
      </w:tr>
    </w:tbl>
    <w:p>
      <w:pPr>
        <w:spacing w:before="0" w:after="80" w:line="240" w:lineRule="auto"/>
      </w:pPr>
    </w:p>
    <w:p>
      <w:pPr>
        <w:spacing w:before="0" w:after="120" w:line="264" w:lineRule="auto"/>
      </w:pPr>
      <w:r>
        <w:rPr>
          <w:rFonts w:ascii="Calibri" w:hAnsi="Calibri" w:eastAsia="SimSun"/>
          <w:sz w:val="22"/>
        </w:rPr>
        <w:t>同一属性不得重复加分，单任务权重分封顶 8 分。权重只用于评价任务负荷和有效工作，不代表资金金额。</w:t>
      </w:r>
    </w:p>
    <w:p>
      <w:pPr>
        <w:pStyle w:val="Heading3"/>
      </w:pPr>
      <w:r>
        <w:rPr>
          <w:rFonts w:ascii="Microsoft YaHei" w:hAnsi="Microsoft YaHei" w:eastAsia="Microsoft YaHei"/>
          <w:b/>
        </w:rPr>
        <w:t>3.3 总负荷</w:t>
      </w:r>
    </w:p>
    <w:p>
      <w:pPr>
        <w:spacing w:before="0" w:after="120" w:line="264" w:lineRule="auto"/>
      </w:pPr>
      <w:r>
        <w:rPr>
          <w:rFonts w:ascii="Calibri" w:hAnsi="Calibri" w:eastAsia="SimSun"/>
          <w:sz w:val="22"/>
        </w:rPr>
        <w:t>试运行期应完成总负荷 = 试运行周期内应完成任务的权重积分合计。</w:t>
      </w:r>
    </w:p>
    <w:p>
      <w:pPr>
        <w:spacing w:before="0" w:after="120" w:line="264" w:lineRule="auto"/>
      </w:pPr>
      <w:r>
        <w:rPr>
          <w:rFonts w:ascii="Calibri" w:hAnsi="Calibri" w:eastAsia="SimSun"/>
          <w:sz w:val="22"/>
        </w:rPr>
        <w:t>PMO 不按任务条数简单平均，也不按参与人数平均。一个工作组做了少量高风险、关键路径、阶段门任务，其总负荷可能高于做了多项普通整理任务的工作组。</w:t>
      </w:r>
    </w:p>
    <w:p>
      <w:pPr>
        <w:pStyle w:val="Heading3"/>
      </w:pPr>
      <w:r>
        <w:rPr>
          <w:rFonts w:ascii="Microsoft YaHei" w:hAnsi="Microsoft YaHei" w:eastAsia="Microsoft YaHei"/>
          <w:b/>
        </w:rPr>
        <w:t>3.4 任务级有效积分</w:t>
      </w:r>
    </w:p>
    <w:p>
      <w:pPr>
        <w:spacing w:before="0" w:after="120" w:line="264" w:lineRule="auto"/>
      </w:pPr>
      <w:r>
        <w:rPr>
          <w:rFonts w:ascii="Calibri" w:hAnsi="Calibri" w:eastAsia="SimSun"/>
          <w:sz w:val="22"/>
        </w:rPr>
        <w:t>任务级有效积分用于月度复盘和阶段汇总，计算公式为：任务有效积分 = 任务权重分 × 完成系数 × 质量系数 × 证据系数。</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170"/>
        <w:gridCol w:w="8190"/>
      </w:tblGrid>
      <w:tr>
        <w:tc>
          <w:tcPr>
            <w:tcW w:type="dxa" w:w="1170"/>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系数</w:t>
            </w:r>
          </w:p>
        </w:tc>
        <w:tc>
          <w:tcPr>
            <w:tcW w:type="dxa" w:w="8190"/>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取值口径</w:t>
            </w:r>
          </w:p>
        </w:tc>
      </w:tr>
      <w:tr>
        <w:tc>
          <w:tcPr>
            <w:tcW w:type="dxa" w:w="1170"/>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完成系数</w:t>
            </w:r>
          </w:p>
        </w:tc>
        <w:tc>
          <w:tcPr>
            <w:tcW w:type="dxa" w:w="819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按期完成或经执行副组长审批调整后完成为 1.0；未获批逾期但已完成为 0.6；未完成为 0</w:t>
            </w:r>
          </w:p>
        </w:tc>
      </w:tr>
      <w:tr>
        <w:tc>
          <w:tcPr>
            <w:tcW w:type="dxa" w:w="1170"/>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质量系数</w:t>
            </w:r>
          </w:p>
        </w:tc>
        <w:tc>
          <w:tcPr>
            <w:tcW w:type="dxa" w:w="819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一次通过为 1.0；退回一次后闭环为 0.8；退回两次后闭环为 0.5；最终未通过为 0</w:t>
            </w:r>
          </w:p>
        </w:tc>
      </w:tr>
      <w:tr>
        <w:tc>
          <w:tcPr>
            <w:tcW w:type="dxa" w:w="1170"/>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证据系数</w:t>
            </w:r>
          </w:p>
        </w:tc>
        <w:tc>
          <w:tcPr>
            <w:tcW w:type="dxa" w:w="819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证据齐套为 1.0；补齐后可追溯为 0.8；无有效证据为 0</w:t>
            </w:r>
          </w:p>
        </w:tc>
      </w:tr>
    </w:tbl>
    <w:p>
      <w:pPr>
        <w:spacing w:before="0" w:after="80" w:line="240" w:lineRule="auto"/>
      </w:pPr>
    </w:p>
    <w:p>
      <w:pPr>
        <w:pStyle w:val="Heading2"/>
      </w:pPr>
      <w:r>
        <w:rPr>
          <w:rFonts w:ascii="Microsoft YaHei" w:hAnsi="Microsoft YaHei" w:eastAsia="Microsoft YaHei"/>
          <w:b/>
        </w:rPr>
        <w:t>四、按总负荷计算的有效工作评价</w:t>
      </w:r>
    </w:p>
    <w:p>
      <w:pPr>
        <w:spacing w:before="0" w:after="120" w:line="264" w:lineRule="auto"/>
      </w:pPr>
      <w:r>
        <w:rPr>
          <w:rFonts w:ascii="Calibri" w:hAnsi="Calibri" w:eastAsia="SimSun"/>
          <w:sz w:val="22"/>
        </w:rPr>
        <w:t>有效工作评价按权重积分计算，不按任务数量粗算。</w:t>
      </w:r>
    </w:p>
    <w:p>
      <w:pPr>
        <w:pStyle w:val="Heading3"/>
      </w:pPr>
      <w:r>
        <w:rPr>
          <w:rFonts w:ascii="Microsoft YaHei" w:hAnsi="Microsoft YaHei" w:eastAsia="Microsoft YaHei"/>
          <w:b/>
        </w:rPr>
        <w:t>4.1 核心指标</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194"/>
        <w:gridCol w:w="5576"/>
        <w:gridCol w:w="2590"/>
      </w:tblGrid>
      <w:tr>
        <w:tc>
          <w:tcPr>
            <w:tcW w:type="dxa" w:w="1194"/>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指标</w:t>
            </w:r>
          </w:p>
        </w:tc>
        <w:tc>
          <w:tcPr>
            <w:tcW w:type="dxa" w:w="5576"/>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计算公式</w:t>
            </w:r>
          </w:p>
        </w:tc>
        <w:tc>
          <w:tcPr>
            <w:tcW w:type="dxa" w:w="2590"/>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用途</w:t>
            </w:r>
          </w:p>
        </w:tc>
      </w:tr>
      <w:tr>
        <w:tc>
          <w:tcPr>
            <w:tcW w:type="dxa" w:w="1194"/>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按期完成率</w:t>
            </w:r>
          </w:p>
        </w:tc>
        <w:tc>
          <w:tcPr>
            <w:tcW w:type="dxa" w:w="5576"/>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按期或经执行副组长审批调整后完成的权重积分 / 应完成总负荷</w:t>
            </w:r>
          </w:p>
        </w:tc>
        <w:tc>
          <w:tcPr>
            <w:tcW w:type="dxa" w:w="2590"/>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判断节奏是否受控</w:t>
            </w:r>
          </w:p>
        </w:tc>
      </w:tr>
      <w:tr>
        <w:tc>
          <w:tcPr>
            <w:tcW w:type="dxa" w:w="1194"/>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一次通过率</w:t>
            </w:r>
          </w:p>
        </w:tc>
        <w:tc>
          <w:tcPr>
            <w:tcW w:type="dxa" w:w="5576"/>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一次评审通过的权重积分 / 已提交评审的权重积分</w:t>
            </w:r>
          </w:p>
        </w:tc>
        <w:tc>
          <w:tcPr>
            <w:tcW w:type="dxa" w:w="259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判断提交质量和前置准备质量</w:t>
            </w:r>
          </w:p>
        </w:tc>
      </w:tr>
      <w:tr>
        <w:tc>
          <w:tcPr>
            <w:tcW w:type="dxa" w:w="1194"/>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证据齐套率</w:t>
            </w:r>
          </w:p>
        </w:tc>
        <w:tc>
          <w:tcPr>
            <w:tcW w:type="dxa" w:w="5576"/>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证据齐套任务的权重积分 / 已完成任务权重积分</w:t>
            </w:r>
          </w:p>
        </w:tc>
        <w:tc>
          <w:tcPr>
            <w:tcW w:type="dxa" w:w="259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判断交付是否可追溯</w:t>
            </w:r>
          </w:p>
        </w:tc>
      </w:tr>
      <w:tr>
        <w:tc>
          <w:tcPr>
            <w:tcW w:type="dxa" w:w="1194"/>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返工扣减率</w:t>
            </w:r>
          </w:p>
        </w:tc>
        <w:tc>
          <w:tcPr>
            <w:tcW w:type="dxa" w:w="5576"/>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返工任务扣减积分 / 已提交评审权重积分</w:t>
            </w:r>
          </w:p>
        </w:tc>
        <w:tc>
          <w:tcPr>
            <w:tcW w:type="dxa" w:w="259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判断返工对有效产出的消耗</w:t>
            </w:r>
          </w:p>
        </w:tc>
      </w:tr>
      <w:tr>
        <w:tc>
          <w:tcPr>
            <w:tcW w:type="dxa" w:w="1194"/>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有效工作得分</w:t>
            </w:r>
          </w:p>
        </w:tc>
        <w:tc>
          <w:tcPr>
            <w:tcW w:type="dxa" w:w="5576"/>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按期完成率 × 40% + 一次通过率 × 30% + 证据齐套率 × 20% - 返工扣减率 × 10%</w:t>
            </w:r>
          </w:p>
        </w:tc>
        <w:tc>
          <w:tcPr>
            <w:tcW w:type="dxa" w:w="259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月度和阶段试运行综合评价</w:t>
            </w:r>
          </w:p>
        </w:tc>
      </w:tr>
    </w:tbl>
    <w:p>
      <w:pPr>
        <w:spacing w:before="0" w:after="80" w:line="240" w:lineRule="auto"/>
      </w:pPr>
    </w:p>
    <w:p>
      <w:pPr>
        <w:spacing w:before="0" w:after="120" w:line="264" w:lineRule="auto"/>
      </w:pPr>
      <w:r>
        <w:rPr>
          <w:rFonts w:ascii="Calibri" w:hAnsi="Calibri" w:eastAsia="SimSun"/>
          <w:sz w:val="22"/>
        </w:rPr>
        <w:t>若分母为 0，该指标不参与当期计算，并在复盘表中说明原因。</w:t>
      </w:r>
    </w:p>
    <w:p>
      <w:pPr>
        <w:pStyle w:val="Heading3"/>
      </w:pPr>
      <w:r>
        <w:rPr>
          <w:rFonts w:ascii="Microsoft YaHei" w:hAnsi="Microsoft YaHei" w:eastAsia="Microsoft YaHei"/>
          <w:b/>
        </w:rPr>
        <w:t>4.2 试运行综合参考分</w:t>
      </w:r>
    </w:p>
    <w:p>
      <w:pPr>
        <w:spacing w:before="0" w:after="120" w:line="264" w:lineRule="auto"/>
      </w:pPr>
      <w:r>
        <w:rPr>
          <w:rFonts w:ascii="Calibri" w:hAnsi="Calibri" w:eastAsia="SimSun"/>
          <w:sz w:val="22"/>
        </w:rPr>
        <w:t>为吸收两份返回稿中关于</w:t>
      </w:r>
      <w:r>
        <w:rPr>
          <w:rFonts w:ascii="Calibri" w:hAnsi="Calibri" w:eastAsia="SimSun"/>
          <w:sz w:val="22"/>
        </w:rPr>
        <w:t>“产出评价”</w:t>
      </w:r>
      <w:r>
        <w:rPr>
          <w:rFonts w:ascii="Calibri" w:hAnsi="Calibri" w:eastAsia="SimSun"/>
          <w:sz w:val="22"/>
        </w:rPr>
        <w:t>和</w:t>
      </w:r>
      <w:r>
        <w:rPr>
          <w:rFonts w:ascii="Calibri" w:hAnsi="Calibri" w:eastAsia="SimSun"/>
          <w:sz w:val="22"/>
        </w:rPr>
        <w:t>“过程评价”</w:t>
      </w:r>
      <w:r>
        <w:rPr>
          <w:rFonts w:ascii="Calibri" w:hAnsi="Calibri" w:eastAsia="SimSun"/>
          <w:sz w:val="22"/>
        </w:rPr>
        <w:t>的共同建议，V3 增设试运行综合参考分，用于月度横向比较和公式校准。</w:t>
      </w:r>
    </w:p>
    <w:p>
      <w:pPr>
        <w:spacing w:before="0" w:after="120" w:line="264" w:lineRule="auto"/>
      </w:pPr>
      <w:r>
        <w:rPr>
          <w:rFonts w:ascii="Calibri" w:hAnsi="Calibri" w:eastAsia="SimSun"/>
          <w:sz w:val="22"/>
        </w:rPr>
        <w:t>任务实得积分率 = 任务有效积分实得总和 / 应完成总负荷。</w:t>
      </w:r>
    </w:p>
    <w:p>
      <w:pPr>
        <w:spacing w:before="0" w:after="120" w:line="264" w:lineRule="auto"/>
      </w:pPr>
      <w:r>
        <w:rPr>
          <w:rFonts w:ascii="Calibri" w:hAnsi="Calibri" w:eastAsia="SimSun"/>
          <w:sz w:val="22"/>
        </w:rPr>
        <w:t>试运行综合参考分 = 任务实得积分率 × 40% + 有效工作得分 × 60%。</w:t>
      </w:r>
    </w:p>
    <w:p>
      <w:pPr>
        <w:spacing w:before="0" w:after="120" w:line="264" w:lineRule="auto"/>
      </w:pPr>
      <w:r>
        <w:rPr>
          <w:rFonts w:ascii="Calibri" w:hAnsi="Calibri" w:eastAsia="SimSun"/>
          <w:sz w:val="22"/>
        </w:rPr>
        <w:t>试运行综合参考分不替代高风险、里程碑和阶段门的资格约束。即使综合参考分较高，只要关键阶段门未放行、重大阻塞未闭环或存在虚假提交等情形，仍不得直接进入正向激励兑现。</w:t>
      </w:r>
    </w:p>
    <w:p>
      <w:pPr>
        <w:pStyle w:val="Heading3"/>
      </w:pPr>
      <w:r>
        <w:rPr>
          <w:rFonts w:ascii="Microsoft YaHei" w:hAnsi="Microsoft YaHei" w:eastAsia="Microsoft YaHei"/>
          <w:b/>
        </w:rPr>
        <w:t>4.3 一次通过口径</w:t>
      </w:r>
    </w:p>
    <w:p>
      <w:pPr>
        <w:spacing w:before="0" w:after="120" w:line="264" w:lineRule="auto"/>
      </w:pPr>
      <w:r>
        <w:rPr>
          <w:rFonts w:ascii="Calibri" w:hAnsi="Calibri" w:eastAsia="SimSun"/>
          <w:sz w:val="22"/>
        </w:rPr>
        <w:t>一次通过必须同时满足以下条件：</w:t>
      </w:r>
    </w:p>
    <w:p>
      <w:pPr>
        <w:pStyle w:val="ListNumber"/>
        <w:spacing w:before="0" w:after="80" w:line="264" w:lineRule="auto"/>
      </w:pPr>
      <w:r>
        <w:rPr>
          <w:rFonts w:ascii="Calibri" w:hAnsi="Calibri" w:eastAsia="SimSun"/>
          <w:sz w:val="22"/>
        </w:rPr>
        <w:t>按任务要求提交交付物、清单、纪要、评审材料或确认单。</w:t>
      </w:r>
    </w:p>
    <w:p>
      <w:pPr>
        <w:pStyle w:val="ListNumber"/>
        <w:spacing w:before="0" w:after="80" w:line="264" w:lineRule="auto"/>
      </w:pPr>
      <w:r>
        <w:rPr>
          <w:rFonts w:ascii="Calibri" w:hAnsi="Calibri" w:eastAsia="SimSun"/>
          <w:sz w:val="22"/>
        </w:rPr>
        <w:t>首次正式评审结论为通过，或仅需文字性修订且不影响结论。</w:t>
      </w:r>
    </w:p>
    <w:p>
      <w:pPr>
        <w:pStyle w:val="ListNumber"/>
        <w:spacing w:before="0" w:after="80" w:line="264" w:lineRule="auto"/>
      </w:pPr>
      <w:r>
        <w:rPr>
          <w:rFonts w:ascii="Calibri" w:hAnsi="Calibri" w:eastAsia="SimSun"/>
          <w:sz w:val="22"/>
        </w:rPr>
        <w:t>证据能回到任务、责任部门、审核人、日期和版本。</w:t>
      </w:r>
    </w:p>
    <w:p>
      <w:pPr>
        <w:pStyle w:val="ListNumber"/>
        <w:spacing w:before="0" w:after="80" w:line="264" w:lineRule="auto"/>
      </w:pPr>
      <w:r>
        <w:rPr>
          <w:rFonts w:ascii="Calibri" w:hAnsi="Calibri" w:eastAsia="SimSun"/>
          <w:sz w:val="22"/>
        </w:rPr>
        <w:t>未出现“提交内容无法判断”“证据链缺失”“关键字段为空”“部门未确认”等实质性退回原因。</w:t>
      </w:r>
    </w:p>
    <w:p>
      <w:pPr>
        <w:pStyle w:val="Heading3"/>
      </w:pPr>
      <w:r>
        <w:rPr>
          <w:rFonts w:ascii="Microsoft YaHei" w:hAnsi="Microsoft YaHei" w:eastAsia="Microsoft YaHei"/>
          <w:b/>
        </w:rPr>
        <w:t>4.4 返工扣减口径</w:t>
      </w:r>
    </w:p>
    <w:p>
      <w:pPr>
        <w:spacing w:before="0" w:after="120" w:line="264" w:lineRule="auto"/>
      </w:pPr>
      <w:r>
        <w:rPr>
          <w:rFonts w:ascii="Calibri" w:hAnsi="Calibri" w:eastAsia="SimSun"/>
          <w:sz w:val="22"/>
        </w:rPr>
        <w:t>返工扣减只用于评价有效工作，不直接转化为个人金额处理。</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5850"/>
        <w:gridCol w:w="3510"/>
      </w:tblGrid>
      <w:tr>
        <w:tc>
          <w:tcPr>
            <w:tcW w:type="dxa" w:w="5850"/>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情形</w:t>
            </w:r>
          </w:p>
        </w:tc>
        <w:tc>
          <w:tcPr>
            <w:tcW w:type="dxa" w:w="3510"/>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返工扣减积分</w:t>
            </w:r>
          </w:p>
        </w:tc>
      </w:tr>
      <w:tr>
        <w:tc>
          <w:tcPr>
            <w:tcW w:type="dxa" w:w="585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首次退回，按要求补正后通过</w:t>
            </w:r>
          </w:p>
        </w:tc>
        <w:tc>
          <w:tcPr>
            <w:tcW w:type="dxa" w:w="351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任务权重分 × 20%</w:t>
            </w:r>
          </w:p>
        </w:tc>
      </w:tr>
      <w:tr>
        <w:tc>
          <w:tcPr>
            <w:tcW w:type="dxa" w:w="585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第二次退回，按要求补正后通过</w:t>
            </w:r>
          </w:p>
        </w:tc>
        <w:tc>
          <w:tcPr>
            <w:tcW w:type="dxa" w:w="351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任务权重分 × 50%</w:t>
            </w:r>
          </w:p>
        </w:tc>
      </w:tr>
      <w:tr>
        <w:tc>
          <w:tcPr>
            <w:tcW w:type="dxa" w:w="585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仍未通过、证据不成立或无法支撑下一步工作</w:t>
            </w:r>
          </w:p>
        </w:tc>
        <w:tc>
          <w:tcPr>
            <w:tcW w:type="dxa" w:w="351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任务权重分 × 100%</w:t>
            </w:r>
          </w:p>
        </w:tc>
      </w:tr>
    </w:tbl>
    <w:p>
      <w:pPr>
        <w:spacing w:before="0" w:after="80" w:line="240" w:lineRule="auto"/>
      </w:pPr>
    </w:p>
    <w:p>
      <w:pPr>
        <w:spacing w:before="0" w:after="120" w:line="264" w:lineRule="auto"/>
      </w:pPr>
      <w:r>
        <w:rPr>
          <w:rFonts w:ascii="Calibri" w:hAnsi="Calibri" w:eastAsia="SimSun"/>
          <w:sz w:val="22"/>
        </w:rPr>
        <w:t>因 PMO 模板、审核口径或上游任务变化导致的返工，经 PMO 确认为客观原因后，不计入返工扣减。</w:t>
      </w:r>
    </w:p>
    <w:p>
      <w:pPr>
        <w:pStyle w:val="Heading3"/>
      </w:pPr>
      <w:r>
        <w:rPr>
          <w:rFonts w:ascii="Microsoft YaHei" w:hAnsi="Microsoft YaHei" w:eastAsia="Microsoft YaHei"/>
          <w:b/>
        </w:rPr>
        <w:t>4.5 试运行评价分档</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75"/>
        <w:gridCol w:w="4442"/>
        <w:gridCol w:w="4443"/>
      </w:tblGrid>
      <w:tr>
        <w:tc>
          <w:tcPr>
            <w:tcW w:type="dxa" w:w="475"/>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分档</w:t>
            </w:r>
          </w:p>
        </w:tc>
        <w:tc>
          <w:tcPr>
            <w:tcW w:type="dxa" w:w="4442"/>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条件</w:t>
            </w:r>
          </w:p>
        </w:tc>
        <w:tc>
          <w:tcPr>
            <w:tcW w:type="dxa" w:w="4443"/>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应用</w:t>
            </w:r>
          </w:p>
        </w:tc>
      </w:tr>
      <w:tr>
        <w:tc>
          <w:tcPr>
            <w:tcW w:type="dxa" w:w="475"/>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A 档</w:t>
            </w:r>
          </w:p>
        </w:tc>
        <w:tc>
          <w:tcPr>
            <w:tcW w:type="dxa" w:w="4442"/>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有效工作得分不低于 90%，试运行综合参考分不低于 90%，且关键节点无未闭环阻塞</w:t>
            </w:r>
          </w:p>
        </w:tc>
        <w:tc>
          <w:tcPr>
            <w:tcW w:type="dxa" w:w="4443"/>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优先确认正向激励资格，作为月度重点任务完成的支撑材料</w:t>
            </w:r>
          </w:p>
        </w:tc>
      </w:tr>
      <w:tr>
        <w:tc>
          <w:tcPr>
            <w:tcW w:type="dxa" w:w="475"/>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B 档</w:t>
            </w:r>
          </w:p>
        </w:tc>
        <w:tc>
          <w:tcPr>
            <w:tcW w:type="dxa" w:w="4442"/>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有效工作得分不低于 75%，试运行综合参考分不低于 75%，且阶段门未被阻断</w:t>
            </w:r>
          </w:p>
        </w:tc>
        <w:tc>
          <w:tcPr>
            <w:tcW w:type="dxa" w:w="4443"/>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视为试运行达标，进入常规复盘</w:t>
            </w:r>
          </w:p>
        </w:tc>
      </w:tr>
      <w:tr>
        <w:tc>
          <w:tcPr>
            <w:tcW w:type="dxa" w:w="475"/>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C 档</w:t>
            </w:r>
          </w:p>
        </w:tc>
        <w:tc>
          <w:tcPr>
            <w:tcW w:type="dxa" w:w="4442"/>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有效工作得分低于 75%，或高风险/阶段门任务存在未闭环阻塞</w:t>
            </w:r>
          </w:p>
        </w:tc>
        <w:tc>
          <w:tcPr>
            <w:tcW w:type="dxa" w:w="4443"/>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暂缓相关专项激励资格，形成整改清单</w:t>
            </w:r>
          </w:p>
        </w:tc>
      </w:tr>
      <w:tr>
        <w:tc>
          <w:tcPr>
            <w:tcW w:type="dxa" w:w="475"/>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D 档</w:t>
            </w:r>
          </w:p>
        </w:tc>
        <w:tc>
          <w:tcPr>
            <w:tcW w:type="dxa" w:w="4442"/>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关键节点未达成，且无执行副组长审批调整或有效证据</w:t>
            </w:r>
          </w:p>
        </w:tc>
        <w:tc>
          <w:tcPr>
            <w:tcW w:type="dxa" w:w="4443"/>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取消当期相关任务正向激励资格，并纳入既有绩效流程的事实依据</w:t>
            </w:r>
          </w:p>
        </w:tc>
      </w:tr>
    </w:tbl>
    <w:p>
      <w:pPr>
        <w:spacing w:before="0" w:after="80" w:line="240" w:lineRule="auto"/>
      </w:pPr>
    </w:p>
    <w:p>
      <w:pPr>
        <w:pStyle w:val="Heading3"/>
      </w:pPr>
      <w:r>
        <w:rPr>
          <w:rFonts w:ascii="Microsoft YaHei" w:hAnsi="Microsoft YaHei" w:eastAsia="Microsoft YaHei"/>
          <w:b/>
        </w:rPr>
        <w:t>4.6 典型情形与处理结果</w:t>
      </w:r>
    </w:p>
    <w:p>
      <w:pPr>
        <w:spacing w:before="0" w:after="120" w:line="264" w:lineRule="auto"/>
      </w:pPr>
      <w:r>
        <w:rPr>
          <w:rFonts w:ascii="Calibri" w:hAnsi="Calibri" w:eastAsia="SimSun"/>
          <w:sz w:val="22"/>
        </w:rPr>
        <w:t>以下示例用于统一试运行期间的判断口径。实际执行时仍以任务基线、评审结论、证据记录和审批记录为准。</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083"/>
        <w:gridCol w:w="2758"/>
        <w:gridCol w:w="2758"/>
        <w:gridCol w:w="2761"/>
      </w:tblGrid>
      <w:tr>
        <w:tc>
          <w:tcPr>
            <w:tcW w:type="dxa" w:w="1083"/>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情形</w:t>
            </w:r>
          </w:p>
        </w:tc>
        <w:tc>
          <w:tcPr>
            <w:tcW w:type="dxa" w:w="2758"/>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示例表现</w:t>
            </w:r>
          </w:p>
        </w:tc>
        <w:tc>
          <w:tcPr>
            <w:tcW w:type="dxa" w:w="2758"/>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评价结果</w:t>
            </w:r>
          </w:p>
        </w:tc>
        <w:tc>
          <w:tcPr>
            <w:tcW w:type="dxa" w:w="2761"/>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激励或考核结果</w:t>
            </w:r>
          </w:p>
        </w:tc>
      </w:tr>
      <w:tr>
        <w:tc>
          <w:tcPr>
            <w:tcW w:type="dxa" w:w="1083"/>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完美交付</w:t>
            </w:r>
          </w:p>
        </w:tc>
        <w:tc>
          <w:tcPr>
            <w:tcW w:type="dxa" w:w="2758"/>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高风险任务按期提交，首次评审通过，证据齐套，未产生返工</w:t>
            </w:r>
          </w:p>
        </w:tc>
        <w:tc>
          <w:tcPr>
            <w:tcW w:type="dxa" w:w="2758"/>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完成系数 1.0，质量系数 1.0，证据系数 1.0，任务有效积分等于任务权重分</w:t>
            </w:r>
          </w:p>
        </w:tc>
        <w:tc>
          <w:tcPr>
            <w:tcW w:type="dxa" w:w="2761"/>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计入按期完成率、一次通过率和证据齐套率；优先纳入正向激励资格</w:t>
            </w:r>
          </w:p>
        </w:tc>
      </w:tr>
      <w:tr>
        <w:tc>
          <w:tcPr>
            <w:tcW w:type="dxa" w:w="1083"/>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按期交付但小幅补正</w:t>
            </w:r>
          </w:p>
        </w:tc>
        <w:tc>
          <w:tcPr>
            <w:tcW w:type="dxa" w:w="2758"/>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任务按期提交，首次评审发现格式、文字或附件命名问题，补正后不影响结论</w:t>
            </w:r>
          </w:p>
        </w:tc>
        <w:tc>
          <w:tcPr>
            <w:tcW w:type="dxa" w:w="2758"/>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完成系数 1.0；如不影响评审结论，可按一次通过处理；如形成正式退回，质量系数按 0.8</w:t>
            </w:r>
          </w:p>
        </w:tc>
        <w:tc>
          <w:tcPr>
            <w:tcW w:type="dxa" w:w="2761"/>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可计入当期完成；若仅为轻微补正，不影响专项激励资格</w:t>
            </w:r>
          </w:p>
        </w:tc>
      </w:tr>
      <w:tr>
        <w:tc>
          <w:tcPr>
            <w:tcW w:type="dxa" w:w="1083"/>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经审批调整后完成</w:t>
            </w:r>
          </w:p>
        </w:tc>
        <w:tc>
          <w:tcPr>
            <w:tcW w:type="dxa" w:w="2758"/>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因上游材料或跨部门确认延迟，主责工作组提前提交调整说明，经执行副组长审批后按新节点完成</w:t>
            </w:r>
          </w:p>
        </w:tc>
        <w:tc>
          <w:tcPr>
            <w:tcW w:type="dxa" w:w="2758"/>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按调整后节点评价，完成系数 1.0；不计未获批逾期</w:t>
            </w:r>
          </w:p>
        </w:tc>
        <w:tc>
          <w:tcPr>
            <w:tcW w:type="dxa" w:w="2761"/>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不作为负向激励事项；仍需按新节点验证一次通过和证据齐套情况</w:t>
            </w:r>
          </w:p>
        </w:tc>
      </w:tr>
      <w:tr>
        <w:tc>
          <w:tcPr>
            <w:tcW w:type="dxa" w:w="1083"/>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未获批拖期但未阻塞节点</w:t>
            </w:r>
          </w:p>
        </w:tc>
        <w:tc>
          <w:tcPr>
            <w:tcW w:type="dxa" w:w="2758"/>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任务超过计划日期提交，未提前取得执行副组长审批，但未影响阶段门或后续关键任务</w:t>
            </w:r>
          </w:p>
        </w:tc>
        <w:tc>
          <w:tcPr>
            <w:tcW w:type="dxa" w:w="2758"/>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未获批逾期，完成系数最高按 0.6；按实际评审质量和证据情况继续折算</w:t>
            </w:r>
          </w:p>
        </w:tc>
        <w:tc>
          <w:tcPr>
            <w:tcW w:type="dxa" w:w="2761"/>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不进入该任务正向激励优先项；纳入月度复盘说明，可作为既有绩效流程的事实依据</w:t>
            </w:r>
          </w:p>
        </w:tc>
      </w:tr>
      <w:tr>
        <w:tc>
          <w:tcPr>
            <w:tcW w:type="dxa" w:w="1083"/>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高风险任务返工</w:t>
            </w:r>
          </w:p>
        </w:tc>
        <w:tc>
          <w:tcPr>
            <w:tcW w:type="dxa" w:w="2758"/>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高风险任务按期提交，但首次评审发现关键字段缺失、证据不足或结论不能支撑下一步工作</w:t>
            </w:r>
          </w:p>
        </w:tc>
        <w:tc>
          <w:tcPr>
            <w:tcW w:type="dxa" w:w="2758"/>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按返工次数扣减有效积分；一次退回后闭环按 20% 扣减，两次退回后闭环按 50% 扣减</w:t>
            </w:r>
          </w:p>
        </w:tc>
        <w:tc>
          <w:tcPr>
            <w:tcW w:type="dxa" w:w="2761"/>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暂缓该任务正向激励资格；进入整改清单，闭环后再评价工作组分档</w:t>
            </w:r>
          </w:p>
        </w:tc>
      </w:tr>
      <w:tr>
        <w:tc>
          <w:tcPr>
            <w:tcW w:type="dxa" w:w="1083"/>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证据缺失</w:t>
            </w:r>
          </w:p>
        </w:tc>
        <w:tc>
          <w:tcPr>
            <w:tcW w:type="dxa" w:w="2758"/>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声称任务完成，但没有评审记录、确认人、版本文件、纪要或其他可追溯证据</w:t>
            </w:r>
          </w:p>
        </w:tc>
        <w:tc>
          <w:tcPr>
            <w:tcW w:type="dxa" w:w="2758"/>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证据系数为 0；任务有效积分为 0</w:t>
            </w:r>
          </w:p>
        </w:tc>
        <w:tc>
          <w:tcPr>
            <w:tcW w:type="dxa" w:w="2761"/>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不计入有效完成；补证后可重新评价，但不作为一次通过</w:t>
            </w:r>
          </w:p>
        </w:tc>
      </w:tr>
      <w:tr>
        <w:tc>
          <w:tcPr>
            <w:tcW w:type="dxa" w:w="1083"/>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里程碑未达成</w:t>
            </w:r>
          </w:p>
        </w:tc>
        <w:tc>
          <w:tcPr>
            <w:tcW w:type="dxa" w:w="2758"/>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里程碑节点到期，前置交付物未齐套或评审结论未形成</w:t>
            </w:r>
          </w:p>
        </w:tc>
        <w:tc>
          <w:tcPr>
            <w:tcW w:type="dxa" w:w="2758"/>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不按普通任务补积分；节点兑现不成立</w:t>
            </w:r>
          </w:p>
        </w:tc>
        <w:tc>
          <w:tcPr>
            <w:tcW w:type="dxa" w:w="2761"/>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暂缓相关阶段正向激励资格；PMO 形成节点偏差说明</w:t>
            </w:r>
          </w:p>
        </w:tc>
      </w:tr>
      <w:tr>
        <w:tc>
          <w:tcPr>
            <w:tcW w:type="dxa" w:w="1083"/>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拖期并阻塞阶段门</w:t>
            </w:r>
          </w:p>
        </w:tc>
        <w:tc>
          <w:tcPr>
            <w:tcW w:type="dxa" w:w="2758"/>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关键路径或阶段门前置任务未获批拖期，导致 GATE-1.2 等阶段门无法放行</w:t>
            </w:r>
          </w:p>
        </w:tc>
        <w:tc>
          <w:tcPr>
            <w:tcW w:type="dxa" w:w="2758"/>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相关任务有效积分为 0；阶段门判定为阻塞；工作组当期分档原则上不高于 C 档，严重时按 D 档处理</w:t>
            </w:r>
          </w:p>
        </w:tc>
        <w:tc>
          <w:tcPr>
            <w:tcW w:type="dxa" w:w="2761"/>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暂缓相关工作组阶段专项激励资格；提交 PMO 周会和项目决策层复核，作为月度复盘和整改挂牌依据</w:t>
            </w:r>
          </w:p>
        </w:tc>
      </w:tr>
      <w:tr>
        <w:tc>
          <w:tcPr>
            <w:tcW w:type="dxa" w:w="1083"/>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虚假完成或隐瞒阻塞</w:t>
            </w:r>
          </w:p>
        </w:tc>
        <w:tc>
          <w:tcPr>
            <w:tcW w:type="dxa" w:w="2758"/>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提交材料与实际进展不一致，或明知关键阻塞存在但未在周会和调整申请中说明</w:t>
            </w:r>
          </w:p>
        </w:tc>
        <w:tc>
          <w:tcPr>
            <w:tcW w:type="dxa" w:w="2758"/>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任务有效积分为 0；不接受事后按客观原因追认</w:t>
            </w:r>
          </w:p>
        </w:tc>
        <w:tc>
          <w:tcPr>
            <w:tcW w:type="dxa" w:w="2761"/>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取消该任务当期正向激励资格；提交 PMO 周会和项目决策层复核，并纳入负向激励记录</w:t>
            </w:r>
          </w:p>
        </w:tc>
      </w:tr>
    </w:tbl>
    <w:p>
      <w:pPr>
        <w:spacing w:before="0" w:after="80" w:line="240" w:lineRule="auto"/>
      </w:pPr>
    </w:p>
    <w:p>
      <w:pPr>
        <w:pStyle w:val="Heading2"/>
      </w:pPr>
      <w:r>
        <w:rPr>
          <w:rFonts w:ascii="Microsoft YaHei" w:hAnsi="Microsoft YaHei" w:eastAsia="Microsoft YaHei"/>
          <w:b/>
        </w:rPr>
        <w:t>五、正向激励与资格确认</w:t>
      </w:r>
    </w:p>
    <w:p>
      <w:pPr>
        <w:pStyle w:val="Heading3"/>
      </w:pPr>
      <w:r>
        <w:rPr>
          <w:rFonts w:ascii="Microsoft YaHei" w:hAnsi="Microsoft YaHei" w:eastAsia="Microsoft YaHei"/>
          <w:b/>
        </w:rPr>
        <w:t>5.1 月度绩效挂钩</w:t>
      </w:r>
    </w:p>
    <w:p>
      <w:pPr>
        <w:spacing w:before="0" w:after="120" w:line="264" w:lineRule="auto"/>
      </w:pPr>
      <w:r>
        <w:rPr>
          <w:rFonts w:ascii="Calibri" w:hAnsi="Calibri" w:eastAsia="SimSun"/>
          <w:sz w:val="22"/>
        </w:rPr>
        <w:t>试运行期每月由 PMO 汇总工作组有效工作得分、试运行综合参考分和关键节点状态，作为公司月度绩效中重点任务和行动项完成情况的支撑材料。</w:t>
      </w:r>
    </w:p>
    <w:p>
      <w:pPr>
        <w:spacing w:before="0" w:after="120" w:line="264" w:lineRule="auto"/>
      </w:pPr>
      <w:r>
        <w:rPr>
          <w:rFonts w:ascii="Calibri" w:hAnsi="Calibri" w:eastAsia="SimSun"/>
          <w:sz w:val="22"/>
        </w:rPr>
        <w:t>月度应用只提供事实和建议，不替代现行月度绩效审批流程。经营发展部、项目管理部或相关审核部门仍按现行制度确认最终应用结果。</w:t>
      </w:r>
    </w:p>
    <w:p>
      <w:pPr>
        <w:pStyle w:val="Heading3"/>
      </w:pPr>
      <w:r>
        <w:rPr>
          <w:rFonts w:ascii="Microsoft YaHei" w:hAnsi="Microsoft YaHei" w:eastAsia="Microsoft YaHei"/>
          <w:b/>
        </w:rPr>
        <w:t>5.2 项目专项激励资格</w:t>
      </w:r>
    </w:p>
    <w:p>
      <w:pPr>
        <w:spacing w:before="0" w:after="120" w:line="264" w:lineRule="auto"/>
      </w:pPr>
      <w:r>
        <w:rPr>
          <w:rFonts w:ascii="Calibri" w:hAnsi="Calibri" w:eastAsia="SimSun"/>
          <w:sz w:val="22"/>
        </w:rPr>
        <w:t>项目专项激励先确认资格，不直接计算金额。满足以下条件的工作组或主责部门，可进入专项激励资格确认：</w:t>
      </w:r>
    </w:p>
    <w:p>
      <w:pPr>
        <w:pStyle w:val="ListNumber"/>
        <w:spacing w:before="0" w:after="80" w:line="264" w:lineRule="auto"/>
      </w:pPr>
      <w:r>
        <w:rPr>
          <w:rFonts w:ascii="Calibri" w:hAnsi="Calibri" w:eastAsia="SimSun"/>
          <w:sz w:val="22"/>
        </w:rPr>
        <w:t>当期应完成总负荷已完成，或未完成部分已有执行副组长审批调整。</w:t>
      </w:r>
    </w:p>
    <w:p>
      <w:pPr>
        <w:pStyle w:val="ListNumber"/>
        <w:spacing w:before="0" w:after="80" w:line="264" w:lineRule="auto"/>
      </w:pPr>
      <w:r>
        <w:rPr>
          <w:rFonts w:ascii="Calibri" w:hAnsi="Calibri" w:eastAsia="SimSun"/>
          <w:sz w:val="22"/>
        </w:rPr>
        <w:t>高风险任务按期闭环，未形成未闭环重大阻塞。</w:t>
      </w:r>
    </w:p>
    <w:p>
      <w:pPr>
        <w:pStyle w:val="ListNumber"/>
        <w:spacing w:before="0" w:after="80" w:line="264" w:lineRule="auto"/>
      </w:pPr>
      <w:r>
        <w:rPr>
          <w:rFonts w:ascii="Calibri" w:hAnsi="Calibri" w:eastAsia="SimSun"/>
          <w:sz w:val="22"/>
        </w:rPr>
        <w:t>里程碑或阶段门前置交付物齐套。</w:t>
      </w:r>
    </w:p>
    <w:p>
      <w:pPr>
        <w:pStyle w:val="ListNumber"/>
        <w:spacing w:before="0" w:after="80" w:line="264" w:lineRule="auto"/>
      </w:pPr>
      <w:r>
        <w:rPr>
          <w:rFonts w:ascii="Calibri" w:hAnsi="Calibri" w:eastAsia="SimSun"/>
          <w:sz w:val="22"/>
        </w:rPr>
        <w:t>一次通过率、证据齐套率达到试运行分档要求。</w:t>
      </w:r>
    </w:p>
    <w:p>
      <w:pPr>
        <w:pStyle w:val="ListNumber"/>
        <w:spacing w:before="0" w:after="80" w:line="264" w:lineRule="auto"/>
      </w:pPr>
      <w:r>
        <w:rPr>
          <w:rFonts w:ascii="Calibri" w:hAnsi="Calibri" w:eastAsia="SimSun"/>
          <w:sz w:val="22"/>
        </w:rPr>
        <w:t>无重大质量、进度、客户抱怨或合规问题。</w:t>
      </w:r>
    </w:p>
    <w:p>
      <w:pPr>
        <w:spacing w:before="0" w:after="120" w:line="264" w:lineRule="auto"/>
      </w:pPr>
      <w:r>
        <w:rPr>
          <w:rFonts w:ascii="Calibri" w:hAnsi="Calibri" w:eastAsia="SimSun"/>
          <w:sz w:val="22"/>
        </w:rPr>
        <w:t>专项激励金额、分配方式和审批仍按公司项目激励管理流程执行。</w:t>
      </w:r>
    </w:p>
    <w:p>
      <w:pPr>
        <w:pStyle w:val="Heading3"/>
      </w:pPr>
      <w:r>
        <w:rPr>
          <w:rFonts w:ascii="Microsoft YaHei" w:hAnsi="Microsoft YaHei" w:eastAsia="Microsoft YaHei"/>
          <w:b/>
        </w:rPr>
        <w:t>5.3 资格状态</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418"/>
        <w:gridCol w:w="3970"/>
        <w:gridCol w:w="3972"/>
      </w:tblGrid>
      <w:tr>
        <w:tc>
          <w:tcPr>
            <w:tcW w:type="dxa" w:w="1418"/>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资格状态</w:t>
            </w:r>
          </w:p>
        </w:tc>
        <w:tc>
          <w:tcPr>
            <w:tcW w:type="dxa" w:w="3970"/>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判断口径</w:t>
            </w:r>
          </w:p>
        </w:tc>
        <w:tc>
          <w:tcPr>
            <w:tcW w:type="dxa" w:w="3972"/>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处理结果</w:t>
            </w:r>
          </w:p>
        </w:tc>
      </w:tr>
      <w:tr>
        <w:tc>
          <w:tcPr>
            <w:tcW w:type="dxa" w:w="1418"/>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确认资格</w:t>
            </w:r>
          </w:p>
        </w:tc>
        <w:tc>
          <w:tcPr>
            <w:tcW w:type="dxa" w:w="397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满足专项激励资格条件，且高风险、里程碑、阶段门均无未闭环阻塞</w:t>
            </w:r>
          </w:p>
        </w:tc>
        <w:tc>
          <w:tcPr>
            <w:tcW w:type="dxa" w:w="3972"/>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可进入专项激励申请和审批流程</w:t>
            </w:r>
          </w:p>
        </w:tc>
      </w:tr>
      <w:tr>
        <w:tc>
          <w:tcPr>
            <w:tcW w:type="dxa" w:w="1418"/>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暂缓资格</w:t>
            </w:r>
          </w:p>
        </w:tc>
        <w:tc>
          <w:tcPr>
            <w:tcW w:type="dxa" w:w="397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高风险任务、阶段门前置交付物、证据链或整改事项尚未闭环</w:t>
            </w:r>
          </w:p>
        </w:tc>
        <w:tc>
          <w:tcPr>
            <w:tcW w:type="dxa" w:w="3972"/>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暂缓进入正向激励，整改完成并经 PMO 复核、执行副组长确认后重新判断</w:t>
            </w:r>
          </w:p>
        </w:tc>
      </w:tr>
      <w:tr>
        <w:tc>
          <w:tcPr>
            <w:tcW w:type="dxa" w:w="1418"/>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取消当期相关任务资格</w:t>
            </w:r>
          </w:p>
        </w:tc>
        <w:tc>
          <w:tcPr>
            <w:tcW w:type="dxa" w:w="397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虚假提交、隐瞒重大阻塞、关键节点未达成且无审批调整</w:t>
            </w:r>
          </w:p>
        </w:tc>
        <w:tc>
          <w:tcPr>
            <w:tcW w:type="dxa" w:w="3972"/>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取消相关任务当期正向激励资格，并进入负向激励记录</w:t>
            </w:r>
          </w:p>
        </w:tc>
      </w:tr>
      <w:tr>
        <w:tc>
          <w:tcPr>
            <w:tcW w:type="dxa" w:w="1418"/>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待主责确认</w:t>
            </w:r>
          </w:p>
        </w:tc>
        <w:tc>
          <w:tcPr>
            <w:tcW w:type="dxa" w:w="397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主责部门或工作组尚未由组织架构文件、任命文件或执行副组长确认</w:t>
            </w:r>
          </w:p>
        </w:tc>
        <w:tc>
          <w:tcPr>
            <w:tcW w:type="dxa" w:w="3972"/>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不进入本期激励兑现或负向处理，确认主责后再纳入评价</w:t>
            </w:r>
          </w:p>
        </w:tc>
      </w:tr>
    </w:tbl>
    <w:p>
      <w:pPr>
        <w:spacing w:before="0" w:after="80" w:line="240" w:lineRule="auto"/>
      </w:pPr>
    </w:p>
    <w:p>
      <w:pPr>
        <w:pStyle w:val="Heading3"/>
      </w:pPr>
      <w:r>
        <w:rPr>
          <w:rFonts w:ascii="Microsoft YaHei" w:hAnsi="Microsoft YaHei" w:eastAsia="Microsoft YaHei"/>
          <w:b/>
        </w:rPr>
        <w:t>5.4 年度部门绩效挂钩</w:t>
      </w:r>
    </w:p>
    <w:p>
      <w:pPr>
        <w:spacing w:before="0" w:after="120" w:line="264" w:lineRule="auto"/>
      </w:pPr>
      <w:r>
        <w:rPr>
          <w:rFonts w:ascii="Calibri" w:hAnsi="Calibri" w:eastAsia="SimSun"/>
          <w:sz w:val="22"/>
        </w:rPr>
        <w:t>试运行期的月度汇总表、阶段门兑现确认表和整改闭环记录，可作为年度部门绩效中重点任务及行动项考核的事实依据。</w:t>
      </w:r>
    </w:p>
    <w:p>
      <w:pPr>
        <w:spacing w:before="0" w:after="120" w:line="264" w:lineRule="auto"/>
      </w:pPr>
      <w:r>
        <w:rPr>
          <w:rFonts w:ascii="Calibri" w:hAnsi="Calibri" w:eastAsia="SimSun"/>
          <w:sz w:val="22"/>
        </w:rPr>
        <w:t>年度应用坚持三项原则：</w:t>
      </w:r>
    </w:p>
    <w:p>
      <w:pPr>
        <w:pStyle w:val="ListNumber"/>
        <w:spacing w:before="0" w:after="80" w:line="264" w:lineRule="auto"/>
      </w:pPr>
      <w:r>
        <w:rPr>
          <w:rFonts w:ascii="Calibri" w:hAnsi="Calibri" w:eastAsia="SimSun"/>
          <w:sz w:val="22"/>
        </w:rPr>
        <w:t>看总负荷完成质量，不只看任务数量。</w:t>
      </w:r>
    </w:p>
    <w:p>
      <w:pPr>
        <w:pStyle w:val="ListNumber"/>
        <w:spacing w:before="0" w:after="80" w:line="264" w:lineRule="auto"/>
      </w:pPr>
      <w:r>
        <w:rPr>
          <w:rFonts w:ascii="Calibri" w:hAnsi="Calibri" w:eastAsia="SimSun"/>
          <w:sz w:val="22"/>
        </w:rPr>
        <w:t>看一次通过和证据闭环，不只看是否提交。</w:t>
      </w:r>
    </w:p>
    <w:p>
      <w:pPr>
        <w:pStyle w:val="ListNumber"/>
        <w:spacing w:before="0" w:after="80" w:line="264" w:lineRule="auto"/>
      </w:pPr>
      <w:r>
        <w:rPr>
          <w:rFonts w:ascii="Calibri" w:hAnsi="Calibri" w:eastAsia="SimSun"/>
          <w:sz w:val="22"/>
        </w:rPr>
        <w:t>看高风险和阶段门结果，不只看普通事项完成率。</w:t>
      </w:r>
    </w:p>
    <w:p>
      <w:pPr>
        <w:pStyle w:val="Heading2"/>
      </w:pPr>
      <w:r>
        <w:rPr>
          <w:rFonts w:ascii="Microsoft YaHei" w:hAnsi="Microsoft YaHei" w:eastAsia="Microsoft YaHei"/>
          <w:b/>
        </w:rPr>
        <w:t>六、负向激励与资格暂缓</w:t>
      </w:r>
    </w:p>
    <w:p>
      <w:pPr>
        <w:spacing w:before="0" w:after="120" w:line="264" w:lineRule="auto"/>
      </w:pPr>
      <w:r>
        <w:rPr>
          <w:rFonts w:ascii="Calibri" w:hAnsi="Calibri" w:eastAsia="SimSun"/>
          <w:sz w:val="22"/>
        </w:rPr>
        <w:t>负向激励限定在项目积分、专项激励资格和既有绩效流程内应用，不新增独立个人经济处理条款。</w:t>
      </w:r>
    </w:p>
    <w:p>
      <w:pPr>
        <w:pStyle w:val="Heading3"/>
      </w:pPr>
      <w:r>
        <w:rPr>
          <w:rFonts w:ascii="Microsoft YaHei" w:hAnsi="Microsoft YaHei" w:eastAsia="Microsoft YaHei"/>
          <w:b/>
        </w:rPr>
        <w:t>6.1 触发情形</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900"/>
        <w:gridCol w:w="5460"/>
      </w:tblGrid>
      <w:tr>
        <w:tc>
          <w:tcPr>
            <w:tcW w:type="dxa" w:w="3900"/>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情形</w:t>
            </w:r>
          </w:p>
        </w:tc>
        <w:tc>
          <w:tcPr>
            <w:tcW w:type="dxa" w:w="5460"/>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处理口径</w:t>
            </w:r>
          </w:p>
        </w:tc>
      </w:tr>
      <w:tr>
        <w:tc>
          <w:tcPr>
            <w:tcW w:type="dxa" w:w="3900"/>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未获批逾期</w:t>
            </w:r>
          </w:p>
        </w:tc>
        <w:tc>
          <w:tcPr>
            <w:tcW w:type="dxa" w:w="546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对应任务完成系数按 0.6 或 0 计算，纳入按期完成率</w:t>
            </w:r>
          </w:p>
        </w:tc>
      </w:tr>
      <w:tr>
        <w:tc>
          <w:tcPr>
            <w:tcW w:type="dxa" w:w="390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无交付物或交付物无法支撑下一步工作</w:t>
            </w:r>
          </w:p>
        </w:tc>
        <w:tc>
          <w:tcPr>
            <w:tcW w:type="dxa" w:w="546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对应任务质量系数按 0 计算</w:t>
            </w:r>
          </w:p>
        </w:tc>
      </w:tr>
      <w:tr>
        <w:tc>
          <w:tcPr>
            <w:tcW w:type="dxa" w:w="3900"/>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无有效证据</w:t>
            </w:r>
          </w:p>
        </w:tc>
        <w:tc>
          <w:tcPr>
            <w:tcW w:type="dxa" w:w="546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对应任务证据系数按 0 计算</w:t>
            </w:r>
          </w:p>
        </w:tc>
      </w:tr>
      <w:tr>
        <w:tc>
          <w:tcPr>
            <w:tcW w:type="dxa" w:w="3900"/>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高风险任务未闭环</w:t>
            </w:r>
          </w:p>
        </w:tc>
        <w:tc>
          <w:tcPr>
            <w:tcW w:type="dxa" w:w="546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暂缓相关工作组当期专项激励资格</w:t>
            </w:r>
          </w:p>
        </w:tc>
      </w:tr>
      <w:tr>
        <w:tc>
          <w:tcPr>
            <w:tcW w:type="dxa" w:w="390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里程碑或阶段门未达成</w:t>
            </w:r>
          </w:p>
        </w:tc>
        <w:tc>
          <w:tcPr>
            <w:tcW w:type="dxa" w:w="546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暂缓节点兑现和后续阶段正向激励资格</w:t>
            </w:r>
          </w:p>
        </w:tc>
      </w:tr>
      <w:tr>
        <w:tc>
          <w:tcPr>
            <w:tcW w:type="dxa" w:w="390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虚假提交、重复提交无效材料或隐瞒阻塞事实</w:t>
            </w:r>
          </w:p>
        </w:tc>
        <w:tc>
          <w:tcPr>
            <w:tcW w:type="dxa" w:w="546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取消该任务当期正向激励资格，提交 PMO 周会和项目决策层复核</w:t>
            </w:r>
          </w:p>
        </w:tc>
      </w:tr>
    </w:tbl>
    <w:p>
      <w:pPr>
        <w:spacing w:before="0" w:after="80" w:line="240" w:lineRule="auto"/>
      </w:pPr>
    </w:p>
    <w:p>
      <w:pPr>
        <w:pStyle w:val="Heading3"/>
      </w:pPr>
      <w:r>
        <w:rPr>
          <w:rFonts w:ascii="Microsoft YaHei" w:hAnsi="Microsoft YaHei" w:eastAsia="Microsoft YaHei"/>
          <w:b/>
        </w:rPr>
        <w:t>6.2 客观原因调整</w:t>
      </w:r>
    </w:p>
    <w:p>
      <w:pPr>
        <w:spacing w:before="0" w:after="120" w:line="264" w:lineRule="auto"/>
      </w:pPr>
      <w:r>
        <w:rPr>
          <w:rFonts w:ascii="Calibri" w:hAnsi="Calibri" w:eastAsia="SimSun"/>
          <w:sz w:val="22"/>
        </w:rPr>
        <w:t>任务确需调整时，主责工作组应在任务节点前 3 个工作日提交调整说明，说明调整原因、影响范围、需协调事项和新的完成时间。</w:t>
      </w:r>
    </w:p>
    <w:p>
      <w:pPr>
        <w:spacing w:before="0" w:after="120" w:line="264" w:lineRule="auto"/>
      </w:pPr>
      <w:r>
        <w:rPr>
          <w:rFonts w:ascii="Calibri" w:hAnsi="Calibri" w:eastAsia="SimSun"/>
          <w:sz w:val="22"/>
        </w:rPr>
        <w:t>客观原因调整必须经执行副组长审批确认；未经执行副组长审批的调整，不作为获批调整处理。客观因素消除后仍未完成的，按调整后的节点重新评价。</w:t>
      </w:r>
    </w:p>
    <w:p>
      <w:pPr>
        <w:pStyle w:val="Heading3"/>
      </w:pPr>
      <w:r>
        <w:rPr>
          <w:rFonts w:ascii="Microsoft YaHei" w:hAnsi="Microsoft YaHei" w:eastAsia="Microsoft YaHei"/>
          <w:b/>
        </w:rPr>
        <w:t>6.3 责任池边界</w:t>
      </w:r>
    </w:p>
    <w:p>
      <w:pPr>
        <w:spacing w:before="0" w:after="120" w:line="264" w:lineRule="auto"/>
      </w:pPr>
      <w:r>
        <w:rPr>
          <w:rFonts w:ascii="Calibri" w:hAnsi="Calibri" w:eastAsia="SimSun"/>
          <w:sz w:val="22"/>
        </w:rPr>
        <w:t>第一阶段流程治理和数据治理会暴露历史流程、历史数据、跨部门边界、表单台账和历史不符合项。对责任池内历史问题，本方案只评价当前项目任务的承接质量、证据闭环和整改推进，不对历史遗留问题本身做追溯处理。</w:t>
      </w:r>
    </w:p>
    <w:p>
      <w:pPr>
        <w:pStyle w:val="Heading3"/>
      </w:pPr>
      <w:r>
        <w:rPr>
          <w:rFonts w:ascii="Microsoft YaHei" w:hAnsi="Microsoft YaHei" w:eastAsia="Microsoft YaHei"/>
          <w:b/>
        </w:rPr>
        <w:t>6.4 异议复核</w:t>
      </w:r>
    </w:p>
    <w:p>
      <w:pPr>
        <w:spacing w:before="0" w:after="120" w:line="264" w:lineRule="auto"/>
      </w:pPr>
      <w:r>
        <w:rPr>
          <w:rFonts w:ascii="Calibri" w:hAnsi="Calibri" w:eastAsia="SimSun"/>
          <w:sz w:val="22"/>
        </w:rPr>
        <w:t>工作组对月度评价结果、资格状态或负向激励记录存在异议的，可在评价结果发布后 3 个工作日内向 PMO 提交书面说明，并附任务证据、审批记录或客观原因材料。</w:t>
      </w:r>
    </w:p>
    <w:p>
      <w:pPr>
        <w:spacing w:before="0" w:after="120" w:line="264" w:lineRule="auto"/>
      </w:pPr>
      <w:r>
        <w:rPr>
          <w:rFonts w:ascii="Calibri" w:hAnsi="Calibri" w:eastAsia="SimSun"/>
          <w:sz w:val="22"/>
        </w:rPr>
        <w:t>PMO 应在收到材料后组织复核。涉及重大争议、阶段门阻塞或跨部门责任边界的，由执行副组长组织相关部门审议，审议结果作为当期评价应用依据。</w:t>
      </w:r>
    </w:p>
    <w:p>
      <w:pPr>
        <w:pStyle w:val="Heading2"/>
      </w:pPr>
      <w:r>
        <w:rPr>
          <w:rFonts w:ascii="Microsoft YaHei" w:hAnsi="Microsoft YaHei" w:eastAsia="Microsoft YaHei"/>
          <w:b/>
        </w:rPr>
        <w:t>七、执行流程</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25"/>
        <w:gridCol w:w="5105"/>
        <w:gridCol w:w="3830"/>
      </w:tblGrid>
      <w:tr>
        <w:tc>
          <w:tcPr>
            <w:tcW w:type="dxa" w:w="425"/>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步骤</w:t>
            </w:r>
          </w:p>
        </w:tc>
        <w:tc>
          <w:tcPr>
            <w:tcW w:type="dxa" w:w="5105"/>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动作</w:t>
            </w:r>
          </w:p>
        </w:tc>
        <w:tc>
          <w:tcPr>
            <w:tcW w:type="dxa" w:w="3830"/>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输出</w:t>
            </w:r>
          </w:p>
        </w:tc>
      </w:tr>
      <w:tr>
        <w:tc>
          <w:tcPr>
            <w:tcW w:type="dxa" w:w="425"/>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1</w:t>
            </w:r>
          </w:p>
        </w:tc>
        <w:tc>
          <w:tcPr>
            <w:tcW w:type="dxa" w:w="5105"/>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PMO 按试运行范围抽取当期应完成任务</w:t>
            </w:r>
          </w:p>
        </w:tc>
        <w:tc>
          <w:tcPr>
            <w:tcW w:type="dxa" w:w="383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第一阶段试运行任务清单</w:t>
            </w:r>
          </w:p>
        </w:tc>
      </w:tr>
      <w:tr>
        <w:tc>
          <w:tcPr>
            <w:tcW w:type="dxa" w:w="425"/>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2</w:t>
            </w:r>
          </w:p>
        </w:tc>
        <w:tc>
          <w:tcPr>
            <w:tcW w:type="dxa" w:w="5105"/>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按权重规则计算任务权重分和工作组总负荷</w:t>
            </w:r>
          </w:p>
        </w:tc>
        <w:tc>
          <w:tcPr>
            <w:tcW w:type="dxa" w:w="383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总负荷与有效工作评价表</w:t>
            </w:r>
          </w:p>
        </w:tc>
      </w:tr>
      <w:tr>
        <w:tc>
          <w:tcPr>
            <w:tcW w:type="dxa" w:w="425"/>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3</w:t>
            </w:r>
          </w:p>
        </w:tc>
        <w:tc>
          <w:tcPr>
            <w:tcW w:type="dxa" w:w="5105"/>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主责工作组提交交付物、证据和调整申请</w:t>
            </w:r>
          </w:p>
        </w:tc>
        <w:tc>
          <w:tcPr>
            <w:tcW w:type="dxa" w:w="383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交付物、证据包、调整申请</w:t>
            </w:r>
          </w:p>
        </w:tc>
      </w:tr>
      <w:tr>
        <w:tc>
          <w:tcPr>
            <w:tcW w:type="dxa" w:w="425"/>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4</w:t>
            </w:r>
          </w:p>
        </w:tc>
        <w:tc>
          <w:tcPr>
            <w:tcW w:type="dxa" w:w="5105"/>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涉及任务调整的，由执行副组长审批确认</w:t>
            </w:r>
          </w:p>
        </w:tc>
        <w:tc>
          <w:tcPr>
            <w:tcW w:type="dxa" w:w="383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客观原因调整审批记录表</w:t>
            </w:r>
          </w:p>
        </w:tc>
      </w:tr>
      <w:tr>
        <w:tc>
          <w:tcPr>
            <w:tcW w:type="dxa" w:w="425"/>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5</w:t>
            </w:r>
          </w:p>
        </w:tc>
        <w:tc>
          <w:tcPr>
            <w:tcW w:type="dxa" w:w="5105"/>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审核人或审批组给出首次评审结论</w:t>
            </w:r>
          </w:p>
        </w:tc>
        <w:tc>
          <w:tcPr>
            <w:tcW w:type="dxa" w:w="3830"/>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一次通过率记录表</w:t>
            </w:r>
          </w:p>
        </w:tc>
      </w:tr>
      <w:tr>
        <w:tc>
          <w:tcPr>
            <w:tcW w:type="dxa" w:w="425"/>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6</w:t>
            </w:r>
          </w:p>
        </w:tc>
        <w:tc>
          <w:tcPr>
            <w:tcW w:type="dxa" w:w="5105"/>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PMO 汇总按期、质量、证据和返工情况</w:t>
            </w:r>
          </w:p>
        </w:tc>
        <w:tc>
          <w:tcPr>
            <w:tcW w:type="dxa" w:w="383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月度有效工作评价结果</w:t>
            </w:r>
          </w:p>
        </w:tc>
      </w:tr>
      <w:tr>
        <w:tc>
          <w:tcPr>
            <w:tcW w:type="dxa" w:w="425"/>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7</w:t>
            </w:r>
          </w:p>
        </w:tc>
        <w:tc>
          <w:tcPr>
            <w:tcW w:type="dxa" w:w="5105"/>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对高风险、里程碑、阶段门进行节点确认</w:t>
            </w:r>
          </w:p>
        </w:tc>
        <w:tc>
          <w:tcPr>
            <w:tcW w:type="dxa" w:w="383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里程碑/阶段门兑现确认表</w:t>
            </w:r>
          </w:p>
        </w:tc>
      </w:tr>
      <w:tr>
        <w:tc>
          <w:tcPr>
            <w:tcW w:type="dxa" w:w="425"/>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8</w:t>
            </w:r>
          </w:p>
        </w:tc>
        <w:tc>
          <w:tcPr>
            <w:tcW w:type="dxa" w:w="5105"/>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PMO 形成专项激励资格确认建议</w:t>
            </w:r>
          </w:p>
        </w:tc>
        <w:tc>
          <w:tcPr>
            <w:tcW w:type="dxa" w:w="383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专项激励资格确认表</w:t>
            </w:r>
          </w:p>
        </w:tc>
      </w:tr>
      <w:tr>
        <w:tc>
          <w:tcPr>
            <w:tcW w:type="dxa" w:w="425"/>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9</w:t>
            </w:r>
          </w:p>
        </w:tc>
        <w:tc>
          <w:tcPr>
            <w:tcW w:type="dxa" w:w="5105"/>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经营发展部、行政人事部、财务部按制度流程复核应用</w:t>
            </w:r>
          </w:p>
        </w:tc>
        <w:tc>
          <w:tcPr>
            <w:tcW w:type="dxa" w:w="3830"/>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月度绩效、专项激励资格、年度绩效依据</w:t>
            </w:r>
          </w:p>
        </w:tc>
      </w:tr>
    </w:tbl>
    <w:p>
      <w:pPr>
        <w:spacing w:before="0" w:after="80" w:line="240" w:lineRule="auto"/>
      </w:pPr>
    </w:p>
    <w:p>
      <w:pPr>
        <w:spacing w:before="0" w:after="120" w:line="264" w:lineRule="auto"/>
      </w:pPr>
      <w:r>
        <w:rPr>
          <w:rFonts w:ascii="Calibri" w:hAnsi="Calibri" w:eastAsia="SimSun"/>
          <w:sz w:val="22"/>
        </w:rPr>
        <w:t>PMO 每月只做事实记录、权重测算和建议输出。最终绩效应用、专项激励申请和审批仍按公司制度执行。</w:t>
      </w:r>
    </w:p>
    <w:p>
      <w:pPr>
        <w:pStyle w:val="Heading2"/>
      </w:pPr>
      <w:r>
        <w:rPr>
          <w:rFonts w:ascii="Microsoft YaHei" w:hAnsi="Microsoft YaHei" w:eastAsia="Microsoft YaHei"/>
          <w:b/>
        </w:rPr>
        <w:t>八、附表模板</w:t>
      </w:r>
    </w:p>
    <w:p>
      <w:pPr>
        <w:pStyle w:val="Heading3"/>
      </w:pPr>
      <w:r>
        <w:rPr>
          <w:rFonts w:ascii="Microsoft YaHei" w:hAnsi="Microsoft YaHei" w:eastAsia="Microsoft YaHei"/>
          <w:b/>
        </w:rPr>
        <w:t>附表 1：第一阶段试运行任务清单</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20"/>
        <w:gridCol w:w="534"/>
        <w:gridCol w:w="668"/>
        <w:gridCol w:w="534"/>
        <w:gridCol w:w="1069"/>
        <w:gridCol w:w="668"/>
        <w:gridCol w:w="802"/>
        <w:gridCol w:w="802"/>
        <w:gridCol w:w="668"/>
        <w:gridCol w:w="420"/>
        <w:gridCol w:w="1337"/>
        <w:gridCol w:w="1438"/>
      </w:tblGrid>
      <w:tr>
        <w:tc>
          <w:tcPr>
            <w:tcW w:type="dxa" w:w="420"/>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4"/>
              </w:rPr>
              <w:t>WBS</w:t>
            </w:r>
          </w:p>
        </w:tc>
        <w:tc>
          <w:tcPr>
            <w:tcW w:type="dxa" w:w="534"/>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4"/>
              </w:rPr>
              <w:t>任务名称</w:t>
            </w:r>
          </w:p>
        </w:tc>
        <w:tc>
          <w:tcPr>
            <w:tcW w:type="dxa" w:w="668"/>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4"/>
              </w:rPr>
              <w:t>工作组</w:t>
            </w:r>
          </w:p>
        </w:tc>
        <w:tc>
          <w:tcPr>
            <w:tcW w:type="dxa" w:w="534"/>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4"/>
              </w:rPr>
              <w:t>主责部门</w:t>
            </w:r>
          </w:p>
        </w:tc>
        <w:tc>
          <w:tcPr>
            <w:tcW w:type="dxa" w:w="1069"/>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4"/>
              </w:rPr>
              <w:t>任务类型</w:t>
            </w:r>
          </w:p>
        </w:tc>
        <w:tc>
          <w:tcPr>
            <w:tcW w:type="dxa" w:w="668"/>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4"/>
              </w:rPr>
              <w:t>风险等级</w:t>
            </w:r>
          </w:p>
        </w:tc>
        <w:tc>
          <w:tcPr>
            <w:tcW w:type="dxa" w:w="802"/>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4"/>
              </w:rPr>
              <w:t>是否关键路径</w:t>
            </w:r>
          </w:p>
        </w:tc>
        <w:tc>
          <w:tcPr>
            <w:tcW w:type="dxa" w:w="802"/>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4"/>
              </w:rPr>
              <w:t>是否H5重点</w:t>
            </w:r>
          </w:p>
        </w:tc>
        <w:tc>
          <w:tcPr>
            <w:tcW w:type="dxa" w:w="668"/>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4"/>
              </w:rPr>
              <w:t>交付物</w:t>
            </w:r>
          </w:p>
        </w:tc>
        <w:tc>
          <w:tcPr>
            <w:tcW w:type="dxa" w:w="420"/>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4"/>
              </w:rPr>
              <w:t>权重分</w:t>
            </w:r>
          </w:p>
        </w:tc>
        <w:tc>
          <w:tcPr>
            <w:tcW w:type="dxa" w:w="1337"/>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4"/>
              </w:rPr>
              <w:t>应完成日期</w:t>
            </w:r>
          </w:p>
        </w:tc>
        <w:tc>
          <w:tcPr>
            <w:tcW w:type="dxa" w:w="1438"/>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4"/>
              </w:rPr>
              <w:t>状态</w:t>
            </w:r>
          </w:p>
        </w:tc>
      </w:tr>
      <w:tr>
        <w:tc>
          <w:tcPr>
            <w:tcW w:type="dxa" w:w="420"/>
            <w:vAlign w:val="center"/>
            <w:tcMar>
              <w:top w:w="80" w:type="dxa"/>
              <w:start w:w="120" w:type="dxa"/>
              <w:bottom w:w="80" w:type="dxa"/>
              <w:end w:w="120" w:type="dxa"/>
            </w:tcMar>
          </w:tcPr>
          <w:p>
            <w:pPr>
              <w:spacing w:before="0" w:after="0" w:line="252" w:lineRule="auto"/>
              <w:jc w:val="center"/>
            </w:pPr>
            <w:r>
              <w:rPr>
                <w:rFonts w:ascii="Calibri" w:hAnsi="Calibri" w:eastAsia="SimSun"/>
                <w:b w:val="0"/>
                <w:sz w:val="14"/>
              </w:rPr>
              <w:t>示例</w:t>
            </w:r>
          </w:p>
        </w:tc>
        <w:tc>
          <w:tcPr>
            <w:tcW w:type="dxa" w:w="534"/>
            <w:vAlign w:val="center"/>
            <w:tcMar>
              <w:top w:w="80" w:type="dxa"/>
              <w:start w:w="120" w:type="dxa"/>
              <w:bottom w:w="80" w:type="dxa"/>
              <w:end w:w="120" w:type="dxa"/>
            </w:tcMar>
          </w:tcPr>
          <w:p>
            <w:pPr>
              <w:spacing w:before="0" w:after="0" w:line="252" w:lineRule="auto"/>
              <w:jc w:val="center"/>
            </w:pPr>
            <w:r>
              <w:rPr>
                <w:rFonts w:ascii="Calibri" w:hAnsi="Calibri" w:eastAsia="SimSun"/>
                <w:b w:val="0"/>
                <w:sz w:val="14"/>
              </w:rPr>
              <w:t>示例任务</w:t>
            </w:r>
          </w:p>
        </w:tc>
        <w:tc>
          <w:tcPr>
            <w:tcW w:type="dxa" w:w="668"/>
            <w:vAlign w:val="center"/>
            <w:tcMar>
              <w:top w:w="80" w:type="dxa"/>
              <w:start w:w="120" w:type="dxa"/>
              <w:bottom w:w="80" w:type="dxa"/>
              <w:end w:w="120" w:type="dxa"/>
            </w:tcMar>
          </w:tcPr>
          <w:p>
            <w:pPr>
              <w:spacing w:before="0" w:after="0" w:line="252" w:lineRule="auto"/>
              <w:jc w:val="center"/>
            </w:pPr>
            <w:r>
              <w:rPr>
                <w:rFonts w:ascii="Calibri" w:hAnsi="Calibri" w:eastAsia="SimSun"/>
                <w:b w:val="0"/>
                <w:sz w:val="14"/>
              </w:rPr>
              <w:t>示例工作组</w:t>
            </w:r>
          </w:p>
        </w:tc>
        <w:tc>
          <w:tcPr>
            <w:tcW w:type="dxa" w:w="534"/>
            <w:vAlign w:val="center"/>
            <w:tcMar>
              <w:top w:w="80" w:type="dxa"/>
              <w:start w:w="120" w:type="dxa"/>
              <w:bottom w:w="80" w:type="dxa"/>
              <w:end w:w="120" w:type="dxa"/>
            </w:tcMar>
          </w:tcPr>
          <w:p>
            <w:pPr>
              <w:spacing w:before="0" w:after="0" w:line="252" w:lineRule="auto"/>
              <w:jc w:val="center"/>
            </w:pPr>
            <w:r>
              <w:rPr>
                <w:rFonts w:ascii="Calibri" w:hAnsi="Calibri" w:eastAsia="SimSun"/>
                <w:b w:val="0"/>
                <w:sz w:val="14"/>
              </w:rPr>
              <w:t>待确认</w:t>
            </w:r>
          </w:p>
        </w:tc>
        <w:tc>
          <w:tcPr>
            <w:tcW w:type="dxa" w:w="1069"/>
            <w:vAlign w:val="center"/>
            <w:tcMar>
              <w:top w:w="80" w:type="dxa"/>
              <w:start w:w="120" w:type="dxa"/>
              <w:bottom w:w="80" w:type="dxa"/>
              <w:end w:w="120" w:type="dxa"/>
            </w:tcMar>
          </w:tcPr>
          <w:p>
            <w:pPr>
              <w:spacing w:before="0" w:after="0" w:line="252" w:lineRule="auto"/>
              <w:jc w:val="center"/>
            </w:pPr>
            <w:r>
              <w:rPr>
                <w:rFonts w:ascii="Calibri" w:hAnsi="Calibri" w:eastAsia="SimSun"/>
                <w:b w:val="0"/>
                <w:sz w:val="14"/>
              </w:rPr>
              <w:t>调研/评审/设计</w:t>
            </w:r>
          </w:p>
        </w:tc>
        <w:tc>
          <w:tcPr>
            <w:tcW w:type="dxa" w:w="668"/>
            <w:vAlign w:val="center"/>
            <w:tcMar>
              <w:top w:w="80" w:type="dxa"/>
              <w:start w:w="120" w:type="dxa"/>
              <w:bottom w:w="80" w:type="dxa"/>
              <w:end w:w="120" w:type="dxa"/>
            </w:tcMar>
          </w:tcPr>
          <w:p>
            <w:pPr>
              <w:spacing w:before="0" w:after="0" w:line="252" w:lineRule="auto"/>
              <w:jc w:val="center"/>
            </w:pPr>
            <w:r>
              <w:rPr>
                <w:rFonts w:ascii="Calibri" w:hAnsi="Calibri" w:eastAsia="SimSun"/>
                <w:b w:val="0"/>
                <w:sz w:val="14"/>
              </w:rPr>
              <w:t>高/中/低</w:t>
            </w:r>
          </w:p>
        </w:tc>
        <w:tc>
          <w:tcPr>
            <w:tcW w:type="dxa" w:w="802"/>
            <w:vAlign w:val="center"/>
            <w:tcMar>
              <w:top w:w="80" w:type="dxa"/>
              <w:start w:w="120" w:type="dxa"/>
              <w:bottom w:w="80" w:type="dxa"/>
              <w:end w:w="120" w:type="dxa"/>
            </w:tcMar>
          </w:tcPr>
          <w:p>
            <w:pPr>
              <w:spacing w:before="0" w:after="0" w:line="252" w:lineRule="auto"/>
              <w:jc w:val="center"/>
            </w:pPr>
            <w:r>
              <w:rPr>
                <w:rFonts w:ascii="Calibri" w:hAnsi="Calibri" w:eastAsia="SimSun"/>
                <w:b w:val="0"/>
                <w:sz w:val="14"/>
              </w:rPr>
              <w:t>是/否</w:t>
            </w:r>
          </w:p>
        </w:tc>
        <w:tc>
          <w:tcPr>
            <w:tcW w:type="dxa" w:w="802"/>
            <w:vAlign w:val="center"/>
            <w:tcMar>
              <w:top w:w="80" w:type="dxa"/>
              <w:start w:w="120" w:type="dxa"/>
              <w:bottom w:w="80" w:type="dxa"/>
              <w:end w:w="120" w:type="dxa"/>
            </w:tcMar>
          </w:tcPr>
          <w:p>
            <w:pPr>
              <w:spacing w:before="0" w:after="0" w:line="252" w:lineRule="auto"/>
              <w:jc w:val="center"/>
            </w:pPr>
            <w:r>
              <w:rPr>
                <w:rFonts w:ascii="Calibri" w:hAnsi="Calibri" w:eastAsia="SimSun"/>
                <w:b w:val="0"/>
                <w:sz w:val="14"/>
              </w:rPr>
              <w:t>是/否</w:t>
            </w:r>
          </w:p>
        </w:tc>
        <w:tc>
          <w:tcPr>
            <w:tcW w:type="dxa" w:w="668"/>
            <w:vAlign w:val="center"/>
            <w:tcMar>
              <w:top w:w="80" w:type="dxa"/>
              <w:start w:w="120" w:type="dxa"/>
              <w:bottom w:w="80" w:type="dxa"/>
              <w:end w:w="120" w:type="dxa"/>
            </w:tcMar>
          </w:tcPr>
          <w:p>
            <w:pPr>
              <w:spacing w:before="0" w:after="0" w:line="252" w:lineRule="auto"/>
              <w:jc w:val="center"/>
            </w:pPr>
            <w:r>
              <w:rPr>
                <w:rFonts w:ascii="Calibri" w:hAnsi="Calibri" w:eastAsia="SimSun"/>
                <w:b w:val="0"/>
                <w:sz w:val="14"/>
              </w:rPr>
              <w:t>示例交付物</w:t>
            </w:r>
          </w:p>
        </w:tc>
        <w:tc>
          <w:tcPr>
            <w:tcW w:type="dxa" w:w="420"/>
            <w:vAlign w:val="center"/>
            <w:tcMar>
              <w:top w:w="80" w:type="dxa"/>
              <w:start w:w="120" w:type="dxa"/>
              <w:bottom w:w="80" w:type="dxa"/>
              <w:end w:w="120" w:type="dxa"/>
            </w:tcMar>
          </w:tcPr>
          <w:p>
            <w:pPr>
              <w:spacing w:before="0" w:after="0" w:line="252" w:lineRule="auto"/>
              <w:jc w:val="center"/>
            </w:pPr>
            <w:r>
              <w:rPr>
                <w:rFonts w:ascii="Calibri" w:hAnsi="Calibri" w:eastAsia="SimSun"/>
                <w:b w:val="0"/>
                <w:sz w:val="14"/>
              </w:rPr>
              <w:t>0</w:t>
            </w:r>
          </w:p>
        </w:tc>
        <w:tc>
          <w:tcPr>
            <w:tcW w:type="dxa" w:w="1337"/>
            <w:vAlign w:val="center"/>
            <w:tcMar>
              <w:top w:w="80" w:type="dxa"/>
              <w:start w:w="120" w:type="dxa"/>
              <w:bottom w:w="80" w:type="dxa"/>
              <w:end w:w="120" w:type="dxa"/>
            </w:tcMar>
          </w:tcPr>
          <w:p>
            <w:pPr>
              <w:spacing w:before="0" w:after="0" w:line="252" w:lineRule="auto"/>
              <w:jc w:val="center"/>
            </w:pPr>
            <w:r>
              <w:rPr>
                <w:rFonts w:ascii="Calibri" w:hAnsi="Calibri" w:eastAsia="SimSun"/>
                <w:b w:val="0"/>
                <w:sz w:val="14"/>
              </w:rPr>
              <w:t>YYYY-MM-DD</w:t>
            </w:r>
          </w:p>
        </w:tc>
        <w:tc>
          <w:tcPr>
            <w:tcW w:type="dxa" w:w="1438"/>
            <w:vAlign w:val="center"/>
            <w:tcMar>
              <w:top w:w="80" w:type="dxa"/>
              <w:start w:w="120" w:type="dxa"/>
              <w:bottom w:w="80" w:type="dxa"/>
              <w:end w:w="120" w:type="dxa"/>
            </w:tcMar>
          </w:tcPr>
          <w:p>
            <w:pPr>
              <w:spacing w:before="0" w:after="0" w:line="252" w:lineRule="auto"/>
              <w:jc w:val="left"/>
            </w:pPr>
            <w:r>
              <w:rPr>
                <w:rFonts w:ascii="Calibri" w:hAnsi="Calibri" w:eastAsia="SimSun"/>
                <w:b w:val="0"/>
                <w:sz w:val="14"/>
              </w:rPr>
              <w:t>未开始/进行中/已完成</w:t>
            </w:r>
          </w:p>
        </w:tc>
      </w:tr>
    </w:tbl>
    <w:p>
      <w:pPr>
        <w:spacing w:before="0" w:after="80" w:line="240" w:lineRule="auto"/>
      </w:pPr>
    </w:p>
    <w:p>
      <w:pPr>
        <w:pStyle w:val="Heading3"/>
      </w:pPr>
      <w:r>
        <w:rPr>
          <w:rFonts w:ascii="Microsoft YaHei" w:hAnsi="Microsoft YaHei" w:eastAsia="Microsoft YaHei"/>
          <w:b/>
        </w:rPr>
        <w:t>附表 2：总负荷与有效工作评价表</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585"/>
        <w:gridCol w:w="819"/>
        <w:gridCol w:w="702"/>
        <w:gridCol w:w="1170"/>
        <w:gridCol w:w="819"/>
        <w:gridCol w:w="702"/>
        <w:gridCol w:w="702"/>
        <w:gridCol w:w="702"/>
        <w:gridCol w:w="702"/>
        <w:gridCol w:w="702"/>
        <w:gridCol w:w="936"/>
        <w:gridCol w:w="819"/>
      </w:tblGrid>
      <w:tr>
        <w:tc>
          <w:tcPr>
            <w:tcW w:type="dxa" w:w="585"/>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4"/>
              </w:rPr>
              <w:t>工作组</w:t>
            </w:r>
          </w:p>
        </w:tc>
        <w:tc>
          <w:tcPr>
            <w:tcW w:type="dxa" w:w="819"/>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4"/>
              </w:rPr>
              <w:t>周期</w:t>
            </w:r>
          </w:p>
        </w:tc>
        <w:tc>
          <w:tcPr>
            <w:tcW w:type="dxa" w:w="702"/>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4"/>
              </w:rPr>
              <w:t>应完成总负荷</w:t>
            </w:r>
          </w:p>
        </w:tc>
        <w:tc>
          <w:tcPr>
            <w:tcW w:type="dxa" w:w="1170"/>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4"/>
              </w:rPr>
              <w:t>任务有效积分实得总和</w:t>
            </w:r>
          </w:p>
        </w:tc>
        <w:tc>
          <w:tcPr>
            <w:tcW w:type="dxa" w:w="819"/>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4"/>
              </w:rPr>
              <w:t>任务实得积分率</w:t>
            </w:r>
          </w:p>
        </w:tc>
        <w:tc>
          <w:tcPr>
            <w:tcW w:type="dxa" w:w="702"/>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4"/>
              </w:rPr>
              <w:t>按期完成积分</w:t>
            </w:r>
          </w:p>
        </w:tc>
        <w:tc>
          <w:tcPr>
            <w:tcW w:type="dxa" w:w="702"/>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4"/>
              </w:rPr>
              <w:t>一次通过积分</w:t>
            </w:r>
          </w:p>
        </w:tc>
        <w:tc>
          <w:tcPr>
            <w:tcW w:type="dxa" w:w="702"/>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4"/>
              </w:rPr>
              <w:t>证据齐套积分</w:t>
            </w:r>
          </w:p>
        </w:tc>
        <w:tc>
          <w:tcPr>
            <w:tcW w:type="dxa" w:w="702"/>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4"/>
              </w:rPr>
              <w:t>返工扣减积分</w:t>
            </w:r>
          </w:p>
        </w:tc>
        <w:tc>
          <w:tcPr>
            <w:tcW w:type="dxa" w:w="702"/>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4"/>
              </w:rPr>
              <w:t>有效工作得分</w:t>
            </w:r>
          </w:p>
        </w:tc>
        <w:tc>
          <w:tcPr>
            <w:tcW w:type="dxa" w:w="936"/>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4"/>
              </w:rPr>
              <w:t>试运行综合参考分</w:t>
            </w:r>
          </w:p>
        </w:tc>
        <w:tc>
          <w:tcPr>
            <w:tcW w:type="dxa" w:w="819"/>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4"/>
              </w:rPr>
              <w:t>分档</w:t>
            </w:r>
          </w:p>
        </w:tc>
      </w:tr>
      <w:tr>
        <w:tc>
          <w:tcPr>
            <w:tcW w:type="dxa" w:w="585"/>
            <w:vAlign w:val="center"/>
            <w:tcMar>
              <w:top w:w="80" w:type="dxa"/>
              <w:start w:w="120" w:type="dxa"/>
              <w:bottom w:w="80" w:type="dxa"/>
              <w:end w:w="120" w:type="dxa"/>
            </w:tcMar>
          </w:tcPr>
          <w:p>
            <w:pPr>
              <w:spacing w:before="0" w:after="0" w:line="252" w:lineRule="auto"/>
              <w:jc w:val="center"/>
            </w:pPr>
            <w:r>
              <w:rPr>
                <w:rFonts w:ascii="Calibri" w:hAnsi="Calibri" w:eastAsia="SimSun"/>
                <w:b w:val="0"/>
                <w:sz w:val="14"/>
              </w:rPr>
              <w:t>示例工作组</w:t>
            </w:r>
          </w:p>
        </w:tc>
        <w:tc>
          <w:tcPr>
            <w:tcW w:type="dxa" w:w="819"/>
            <w:vAlign w:val="center"/>
            <w:tcMar>
              <w:top w:w="80" w:type="dxa"/>
              <w:start w:w="120" w:type="dxa"/>
              <w:bottom w:w="80" w:type="dxa"/>
              <w:end w:w="120" w:type="dxa"/>
            </w:tcMar>
          </w:tcPr>
          <w:p>
            <w:pPr>
              <w:spacing w:before="0" w:after="0" w:line="252" w:lineRule="auto"/>
              <w:jc w:val="center"/>
            </w:pPr>
            <w:r>
              <w:rPr>
                <w:rFonts w:ascii="Calibri" w:hAnsi="Calibri" w:eastAsia="SimSun"/>
                <w:b w:val="0"/>
                <w:sz w:val="14"/>
              </w:rPr>
              <w:t>YYYY-MM</w:t>
            </w:r>
          </w:p>
        </w:tc>
        <w:tc>
          <w:tcPr>
            <w:tcW w:type="dxa" w:w="702"/>
            <w:vAlign w:val="center"/>
            <w:tcMar>
              <w:top w:w="80" w:type="dxa"/>
              <w:start w:w="120" w:type="dxa"/>
              <w:bottom w:w="80" w:type="dxa"/>
              <w:end w:w="120" w:type="dxa"/>
            </w:tcMar>
          </w:tcPr>
          <w:p>
            <w:pPr>
              <w:spacing w:before="0" w:after="0" w:line="252" w:lineRule="auto"/>
              <w:jc w:val="center"/>
            </w:pPr>
            <w:r>
              <w:rPr>
                <w:rFonts w:ascii="Calibri" w:hAnsi="Calibri" w:eastAsia="SimSun"/>
                <w:b w:val="0"/>
                <w:sz w:val="14"/>
              </w:rPr>
              <w:t>0</w:t>
            </w:r>
          </w:p>
        </w:tc>
        <w:tc>
          <w:tcPr>
            <w:tcW w:type="dxa" w:w="1170"/>
            <w:vAlign w:val="center"/>
            <w:tcMar>
              <w:top w:w="80" w:type="dxa"/>
              <w:start w:w="120" w:type="dxa"/>
              <w:bottom w:w="80" w:type="dxa"/>
              <w:end w:w="120" w:type="dxa"/>
            </w:tcMar>
          </w:tcPr>
          <w:p>
            <w:pPr>
              <w:spacing w:before="0" w:after="0" w:line="252" w:lineRule="auto"/>
              <w:jc w:val="center"/>
            </w:pPr>
            <w:r>
              <w:rPr>
                <w:rFonts w:ascii="Calibri" w:hAnsi="Calibri" w:eastAsia="SimSun"/>
                <w:b w:val="0"/>
                <w:sz w:val="14"/>
              </w:rPr>
              <w:t>0</w:t>
            </w:r>
          </w:p>
        </w:tc>
        <w:tc>
          <w:tcPr>
            <w:tcW w:type="dxa" w:w="819"/>
            <w:vAlign w:val="center"/>
            <w:tcMar>
              <w:top w:w="80" w:type="dxa"/>
              <w:start w:w="120" w:type="dxa"/>
              <w:bottom w:w="80" w:type="dxa"/>
              <w:end w:w="120" w:type="dxa"/>
            </w:tcMar>
          </w:tcPr>
          <w:p>
            <w:pPr>
              <w:spacing w:before="0" w:after="0" w:line="252" w:lineRule="auto"/>
              <w:jc w:val="center"/>
            </w:pPr>
            <w:r>
              <w:rPr>
                <w:rFonts w:ascii="Calibri" w:hAnsi="Calibri" w:eastAsia="SimSun"/>
                <w:b w:val="0"/>
                <w:sz w:val="14"/>
              </w:rPr>
              <w:t>0%</w:t>
            </w:r>
          </w:p>
        </w:tc>
        <w:tc>
          <w:tcPr>
            <w:tcW w:type="dxa" w:w="702"/>
            <w:vAlign w:val="center"/>
            <w:tcMar>
              <w:top w:w="80" w:type="dxa"/>
              <w:start w:w="120" w:type="dxa"/>
              <w:bottom w:w="80" w:type="dxa"/>
              <w:end w:w="120" w:type="dxa"/>
            </w:tcMar>
          </w:tcPr>
          <w:p>
            <w:pPr>
              <w:spacing w:before="0" w:after="0" w:line="252" w:lineRule="auto"/>
              <w:jc w:val="center"/>
            </w:pPr>
            <w:r>
              <w:rPr>
                <w:rFonts w:ascii="Calibri" w:hAnsi="Calibri" w:eastAsia="SimSun"/>
                <w:b w:val="0"/>
                <w:sz w:val="14"/>
              </w:rPr>
              <w:t>0</w:t>
            </w:r>
          </w:p>
        </w:tc>
        <w:tc>
          <w:tcPr>
            <w:tcW w:type="dxa" w:w="702"/>
            <w:vAlign w:val="center"/>
            <w:tcMar>
              <w:top w:w="80" w:type="dxa"/>
              <w:start w:w="120" w:type="dxa"/>
              <w:bottom w:w="80" w:type="dxa"/>
              <w:end w:w="120" w:type="dxa"/>
            </w:tcMar>
          </w:tcPr>
          <w:p>
            <w:pPr>
              <w:spacing w:before="0" w:after="0" w:line="252" w:lineRule="auto"/>
              <w:jc w:val="center"/>
            </w:pPr>
            <w:r>
              <w:rPr>
                <w:rFonts w:ascii="Calibri" w:hAnsi="Calibri" w:eastAsia="SimSun"/>
                <w:b w:val="0"/>
                <w:sz w:val="14"/>
              </w:rPr>
              <w:t>0</w:t>
            </w:r>
          </w:p>
        </w:tc>
        <w:tc>
          <w:tcPr>
            <w:tcW w:type="dxa" w:w="702"/>
            <w:vAlign w:val="center"/>
            <w:tcMar>
              <w:top w:w="80" w:type="dxa"/>
              <w:start w:w="120" w:type="dxa"/>
              <w:bottom w:w="80" w:type="dxa"/>
              <w:end w:w="120" w:type="dxa"/>
            </w:tcMar>
          </w:tcPr>
          <w:p>
            <w:pPr>
              <w:spacing w:before="0" w:after="0" w:line="252" w:lineRule="auto"/>
              <w:jc w:val="center"/>
            </w:pPr>
            <w:r>
              <w:rPr>
                <w:rFonts w:ascii="Calibri" w:hAnsi="Calibri" w:eastAsia="SimSun"/>
                <w:b w:val="0"/>
                <w:sz w:val="14"/>
              </w:rPr>
              <w:t>0</w:t>
            </w:r>
          </w:p>
        </w:tc>
        <w:tc>
          <w:tcPr>
            <w:tcW w:type="dxa" w:w="702"/>
            <w:vAlign w:val="center"/>
            <w:tcMar>
              <w:top w:w="80" w:type="dxa"/>
              <w:start w:w="120" w:type="dxa"/>
              <w:bottom w:w="80" w:type="dxa"/>
              <w:end w:w="120" w:type="dxa"/>
            </w:tcMar>
          </w:tcPr>
          <w:p>
            <w:pPr>
              <w:spacing w:before="0" w:after="0" w:line="252" w:lineRule="auto"/>
              <w:jc w:val="center"/>
            </w:pPr>
            <w:r>
              <w:rPr>
                <w:rFonts w:ascii="Calibri" w:hAnsi="Calibri" w:eastAsia="SimSun"/>
                <w:b w:val="0"/>
                <w:sz w:val="14"/>
              </w:rPr>
              <w:t>0</w:t>
            </w:r>
          </w:p>
        </w:tc>
        <w:tc>
          <w:tcPr>
            <w:tcW w:type="dxa" w:w="702"/>
            <w:vAlign w:val="center"/>
            <w:tcMar>
              <w:top w:w="80" w:type="dxa"/>
              <w:start w:w="120" w:type="dxa"/>
              <w:bottom w:w="80" w:type="dxa"/>
              <w:end w:w="120" w:type="dxa"/>
            </w:tcMar>
          </w:tcPr>
          <w:p>
            <w:pPr>
              <w:spacing w:before="0" w:after="0" w:line="252" w:lineRule="auto"/>
              <w:jc w:val="center"/>
            </w:pPr>
            <w:r>
              <w:rPr>
                <w:rFonts w:ascii="Calibri" w:hAnsi="Calibri" w:eastAsia="SimSun"/>
                <w:b w:val="0"/>
                <w:sz w:val="14"/>
              </w:rPr>
              <w:t>0%</w:t>
            </w:r>
          </w:p>
        </w:tc>
        <w:tc>
          <w:tcPr>
            <w:tcW w:type="dxa" w:w="936"/>
            <w:vAlign w:val="center"/>
            <w:tcMar>
              <w:top w:w="80" w:type="dxa"/>
              <w:start w:w="120" w:type="dxa"/>
              <w:bottom w:w="80" w:type="dxa"/>
              <w:end w:w="120" w:type="dxa"/>
            </w:tcMar>
          </w:tcPr>
          <w:p>
            <w:pPr>
              <w:spacing w:before="0" w:after="0" w:line="252" w:lineRule="auto"/>
              <w:jc w:val="center"/>
            </w:pPr>
            <w:r>
              <w:rPr>
                <w:rFonts w:ascii="Calibri" w:hAnsi="Calibri" w:eastAsia="SimSun"/>
                <w:b w:val="0"/>
                <w:sz w:val="14"/>
              </w:rPr>
              <w:t>0%</w:t>
            </w:r>
          </w:p>
        </w:tc>
        <w:tc>
          <w:tcPr>
            <w:tcW w:type="dxa" w:w="819"/>
            <w:vAlign w:val="center"/>
            <w:tcMar>
              <w:top w:w="80" w:type="dxa"/>
              <w:start w:w="120" w:type="dxa"/>
              <w:bottom w:w="80" w:type="dxa"/>
              <w:end w:w="120" w:type="dxa"/>
            </w:tcMar>
          </w:tcPr>
          <w:p>
            <w:pPr>
              <w:spacing w:before="0" w:after="0" w:line="252" w:lineRule="auto"/>
              <w:jc w:val="center"/>
            </w:pPr>
            <w:r>
              <w:rPr>
                <w:rFonts w:ascii="Calibri" w:hAnsi="Calibri" w:eastAsia="SimSun"/>
                <w:b w:val="0"/>
                <w:sz w:val="14"/>
              </w:rPr>
              <w:t>A/B/C/D</w:t>
            </w:r>
          </w:p>
        </w:tc>
      </w:tr>
    </w:tbl>
    <w:p>
      <w:pPr>
        <w:spacing w:before="0" w:after="80" w:line="240" w:lineRule="auto"/>
      </w:pPr>
    </w:p>
    <w:p>
      <w:pPr>
        <w:pStyle w:val="Heading3"/>
      </w:pPr>
      <w:r>
        <w:rPr>
          <w:rFonts w:ascii="Microsoft YaHei" w:hAnsi="Microsoft YaHei" w:eastAsia="Microsoft YaHei"/>
          <w:b/>
        </w:rPr>
        <w:t>附表 3：一次通过率记录表</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501"/>
        <w:gridCol w:w="668"/>
        <w:gridCol w:w="1671"/>
        <w:gridCol w:w="1671"/>
        <w:gridCol w:w="1504"/>
        <w:gridCol w:w="668"/>
        <w:gridCol w:w="1002"/>
        <w:gridCol w:w="1675"/>
      </w:tblGrid>
      <w:tr>
        <w:tc>
          <w:tcPr>
            <w:tcW w:type="dxa" w:w="501"/>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6"/>
              </w:rPr>
              <w:t>WBS</w:t>
            </w:r>
          </w:p>
        </w:tc>
        <w:tc>
          <w:tcPr>
            <w:tcW w:type="dxa" w:w="668"/>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6"/>
              </w:rPr>
              <w:t>任务名称</w:t>
            </w:r>
          </w:p>
        </w:tc>
        <w:tc>
          <w:tcPr>
            <w:tcW w:type="dxa" w:w="1671"/>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6"/>
              </w:rPr>
              <w:t>提交日期</w:t>
            </w:r>
          </w:p>
        </w:tc>
        <w:tc>
          <w:tcPr>
            <w:tcW w:type="dxa" w:w="1671"/>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6"/>
              </w:rPr>
              <w:t>首次评审日期</w:t>
            </w:r>
          </w:p>
        </w:tc>
        <w:tc>
          <w:tcPr>
            <w:tcW w:type="dxa" w:w="1504"/>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6"/>
              </w:rPr>
              <w:t>首次评审结论</w:t>
            </w:r>
          </w:p>
        </w:tc>
        <w:tc>
          <w:tcPr>
            <w:tcW w:type="dxa" w:w="668"/>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6"/>
              </w:rPr>
              <w:t>退回原因</w:t>
            </w:r>
          </w:p>
        </w:tc>
        <w:tc>
          <w:tcPr>
            <w:tcW w:type="dxa" w:w="1002"/>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6"/>
              </w:rPr>
              <w:t>是否一次通过</w:t>
            </w:r>
          </w:p>
        </w:tc>
        <w:tc>
          <w:tcPr>
            <w:tcW w:type="dxa" w:w="1675"/>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6"/>
              </w:rPr>
              <w:t>证据位置</w:t>
            </w:r>
          </w:p>
        </w:tc>
      </w:tr>
      <w:tr>
        <w:tc>
          <w:tcPr>
            <w:tcW w:type="dxa" w:w="501"/>
            <w:vAlign w:val="center"/>
            <w:tcMar>
              <w:top w:w="80" w:type="dxa"/>
              <w:start w:w="120" w:type="dxa"/>
              <w:bottom w:w="80" w:type="dxa"/>
              <w:end w:w="120" w:type="dxa"/>
            </w:tcMar>
          </w:tcPr>
          <w:p>
            <w:pPr>
              <w:spacing w:before="0" w:after="0" w:line="252" w:lineRule="auto"/>
              <w:jc w:val="center"/>
            </w:pPr>
            <w:r>
              <w:rPr>
                <w:rFonts w:ascii="Calibri" w:hAnsi="Calibri" w:eastAsia="SimSun"/>
                <w:b w:val="0"/>
                <w:sz w:val="16"/>
              </w:rPr>
              <w:t>示例</w:t>
            </w:r>
          </w:p>
        </w:tc>
        <w:tc>
          <w:tcPr>
            <w:tcW w:type="dxa" w:w="668"/>
            <w:vAlign w:val="center"/>
            <w:tcMar>
              <w:top w:w="80" w:type="dxa"/>
              <w:start w:w="120" w:type="dxa"/>
              <w:bottom w:w="80" w:type="dxa"/>
              <w:end w:w="120" w:type="dxa"/>
            </w:tcMar>
          </w:tcPr>
          <w:p>
            <w:pPr>
              <w:spacing w:before="0" w:after="0" w:line="252" w:lineRule="auto"/>
              <w:jc w:val="center"/>
            </w:pPr>
            <w:r>
              <w:rPr>
                <w:rFonts w:ascii="Calibri" w:hAnsi="Calibri" w:eastAsia="SimSun"/>
                <w:b w:val="0"/>
                <w:sz w:val="16"/>
              </w:rPr>
              <w:t>示例任务</w:t>
            </w:r>
          </w:p>
        </w:tc>
        <w:tc>
          <w:tcPr>
            <w:tcW w:type="dxa" w:w="1671"/>
            <w:vAlign w:val="center"/>
            <w:tcMar>
              <w:top w:w="80" w:type="dxa"/>
              <w:start w:w="120" w:type="dxa"/>
              <w:bottom w:w="80" w:type="dxa"/>
              <w:end w:w="120" w:type="dxa"/>
            </w:tcMar>
          </w:tcPr>
          <w:p>
            <w:pPr>
              <w:spacing w:before="0" w:after="0" w:line="252" w:lineRule="auto"/>
              <w:jc w:val="center"/>
            </w:pPr>
            <w:r>
              <w:rPr>
                <w:rFonts w:ascii="Calibri" w:hAnsi="Calibri" w:eastAsia="SimSun"/>
                <w:b w:val="0"/>
                <w:sz w:val="16"/>
              </w:rPr>
              <w:t>YYYY-MM-DD</w:t>
            </w:r>
          </w:p>
        </w:tc>
        <w:tc>
          <w:tcPr>
            <w:tcW w:type="dxa" w:w="1671"/>
            <w:vAlign w:val="center"/>
            <w:tcMar>
              <w:top w:w="80" w:type="dxa"/>
              <w:start w:w="120" w:type="dxa"/>
              <w:bottom w:w="80" w:type="dxa"/>
              <w:end w:w="120" w:type="dxa"/>
            </w:tcMar>
          </w:tcPr>
          <w:p>
            <w:pPr>
              <w:spacing w:before="0" w:after="0" w:line="252" w:lineRule="auto"/>
              <w:jc w:val="center"/>
            </w:pPr>
            <w:r>
              <w:rPr>
                <w:rFonts w:ascii="Calibri" w:hAnsi="Calibri" w:eastAsia="SimSun"/>
                <w:b w:val="0"/>
                <w:sz w:val="16"/>
              </w:rPr>
              <w:t>YYYY-MM-DD</w:t>
            </w:r>
          </w:p>
        </w:tc>
        <w:tc>
          <w:tcPr>
            <w:tcW w:type="dxa" w:w="1504"/>
            <w:vAlign w:val="center"/>
            <w:tcMar>
              <w:top w:w="80" w:type="dxa"/>
              <w:start w:w="120" w:type="dxa"/>
              <w:bottom w:w="80" w:type="dxa"/>
              <w:end w:w="120" w:type="dxa"/>
            </w:tcMar>
          </w:tcPr>
          <w:p>
            <w:pPr>
              <w:spacing w:before="0" w:after="0" w:line="252" w:lineRule="auto"/>
              <w:jc w:val="left"/>
            </w:pPr>
            <w:r>
              <w:rPr>
                <w:rFonts w:ascii="Calibri" w:hAnsi="Calibri" w:eastAsia="SimSun"/>
                <w:b w:val="0"/>
                <w:sz w:val="16"/>
              </w:rPr>
              <w:t>通过/退回/待补证</w:t>
            </w:r>
          </w:p>
        </w:tc>
        <w:tc>
          <w:tcPr>
            <w:tcW w:type="dxa" w:w="668"/>
            <w:vAlign w:val="center"/>
            <w:tcMar>
              <w:top w:w="80" w:type="dxa"/>
              <w:start w:w="120" w:type="dxa"/>
              <w:bottom w:w="80" w:type="dxa"/>
              <w:end w:w="120" w:type="dxa"/>
            </w:tcMar>
          </w:tcPr>
          <w:p>
            <w:pPr>
              <w:spacing w:before="0" w:after="0" w:line="252" w:lineRule="auto"/>
              <w:jc w:val="center"/>
            </w:pPr>
            <w:r>
              <w:rPr>
                <w:rFonts w:ascii="Calibri" w:hAnsi="Calibri" w:eastAsia="SimSun"/>
                <w:b w:val="0"/>
                <w:sz w:val="16"/>
              </w:rPr>
              <w:t>-</w:t>
            </w:r>
          </w:p>
        </w:tc>
        <w:tc>
          <w:tcPr>
            <w:tcW w:type="dxa" w:w="1002"/>
            <w:vAlign w:val="center"/>
            <w:tcMar>
              <w:top w:w="80" w:type="dxa"/>
              <w:start w:w="120" w:type="dxa"/>
              <w:bottom w:w="80" w:type="dxa"/>
              <w:end w:w="120" w:type="dxa"/>
            </w:tcMar>
          </w:tcPr>
          <w:p>
            <w:pPr>
              <w:spacing w:before="0" w:after="0" w:line="252" w:lineRule="auto"/>
              <w:jc w:val="center"/>
            </w:pPr>
            <w:r>
              <w:rPr>
                <w:rFonts w:ascii="Calibri" w:hAnsi="Calibri" w:eastAsia="SimSun"/>
                <w:b w:val="0"/>
                <w:sz w:val="16"/>
              </w:rPr>
              <w:t>是/否</w:t>
            </w:r>
          </w:p>
        </w:tc>
        <w:tc>
          <w:tcPr>
            <w:tcW w:type="dxa" w:w="1675"/>
            <w:vAlign w:val="center"/>
            <w:tcMar>
              <w:top w:w="80" w:type="dxa"/>
              <w:start w:w="120" w:type="dxa"/>
              <w:bottom w:w="80" w:type="dxa"/>
              <w:end w:w="120" w:type="dxa"/>
            </w:tcMar>
          </w:tcPr>
          <w:p>
            <w:pPr>
              <w:spacing w:before="0" w:after="0" w:line="252" w:lineRule="auto"/>
              <w:jc w:val="left"/>
            </w:pPr>
            <w:r>
              <w:rPr>
                <w:rFonts w:ascii="Calibri" w:hAnsi="Calibri" w:eastAsia="SimSun"/>
                <w:b w:val="0"/>
                <w:sz w:val="16"/>
              </w:rPr>
              <w:t>文件、纪要或系统记录</w:t>
            </w:r>
          </w:p>
        </w:tc>
      </w:tr>
    </w:tbl>
    <w:p>
      <w:pPr>
        <w:spacing w:before="0" w:after="80" w:line="240" w:lineRule="auto"/>
      </w:pPr>
    </w:p>
    <w:p>
      <w:pPr>
        <w:pStyle w:val="Heading3"/>
      </w:pPr>
      <w:r>
        <w:rPr>
          <w:rFonts w:ascii="Microsoft YaHei" w:hAnsi="Microsoft YaHei" w:eastAsia="Microsoft YaHei"/>
          <w:b/>
        </w:rPr>
        <w:t>附表 4：里程碑/阶段门兑现确认表</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313"/>
        <w:gridCol w:w="1149"/>
        <w:gridCol w:w="1477"/>
        <w:gridCol w:w="1313"/>
        <w:gridCol w:w="1149"/>
        <w:gridCol w:w="1642"/>
        <w:gridCol w:w="1317"/>
      </w:tblGrid>
      <w:tr>
        <w:tc>
          <w:tcPr>
            <w:tcW w:type="dxa" w:w="1313"/>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节点</w:t>
            </w:r>
          </w:p>
        </w:tc>
        <w:tc>
          <w:tcPr>
            <w:tcW w:type="dxa" w:w="1149"/>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WBS</w:t>
            </w:r>
          </w:p>
        </w:tc>
        <w:tc>
          <w:tcPr>
            <w:tcW w:type="dxa" w:w="1477"/>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前置交付物是否齐套</w:t>
            </w:r>
          </w:p>
        </w:tc>
        <w:tc>
          <w:tcPr>
            <w:tcW w:type="dxa" w:w="1313"/>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评审结论是否明确</w:t>
            </w:r>
          </w:p>
        </w:tc>
        <w:tc>
          <w:tcPr>
            <w:tcW w:type="dxa" w:w="1149"/>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阻塞项是否闭环</w:t>
            </w:r>
          </w:p>
        </w:tc>
        <w:tc>
          <w:tcPr>
            <w:tcW w:type="dxa" w:w="1642"/>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是否进入正向激励资格</w:t>
            </w:r>
          </w:p>
        </w:tc>
        <w:tc>
          <w:tcPr>
            <w:tcW w:type="dxa" w:w="1317"/>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说明</w:t>
            </w:r>
          </w:p>
        </w:tc>
      </w:tr>
      <w:tr>
        <w:tc>
          <w:tcPr>
            <w:tcW w:type="dxa" w:w="1313"/>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GATE-1.2</w:t>
            </w:r>
          </w:p>
        </w:tc>
        <w:tc>
          <w:tcPr>
            <w:tcW w:type="dxa" w:w="1149"/>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1.2.7.6</w:t>
            </w:r>
          </w:p>
        </w:tc>
        <w:tc>
          <w:tcPr>
            <w:tcW w:type="dxa" w:w="1477"/>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是/否</w:t>
            </w:r>
          </w:p>
        </w:tc>
        <w:tc>
          <w:tcPr>
            <w:tcW w:type="dxa" w:w="1313"/>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是/否</w:t>
            </w:r>
          </w:p>
        </w:tc>
        <w:tc>
          <w:tcPr>
            <w:tcW w:type="dxa" w:w="1149"/>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是/否</w:t>
            </w:r>
          </w:p>
        </w:tc>
        <w:tc>
          <w:tcPr>
            <w:tcW w:type="dxa" w:w="1642"/>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是/否</w:t>
            </w:r>
          </w:p>
        </w:tc>
        <w:tc>
          <w:tcPr>
            <w:tcW w:type="dxa" w:w="1317"/>
            <w:vAlign w:val="center"/>
            <w:tcMar>
              <w:top w:w="80" w:type="dxa"/>
              <w:start w:w="120" w:type="dxa"/>
              <w:bottom w:w="80" w:type="dxa"/>
              <w:end w:w="120" w:type="dxa"/>
            </w:tcMar>
          </w:tcPr>
          <w:p>
            <w:pPr>
              <w:spacing w:before="0" w:after="0" w:line="252" w:lineRule="auto"/>
              <w:jc w:val="center"/>
            </w:pPr>
            <w:r>
              <w:rPr>
                <w:rFonts w:ascii="Calibri" w:hAnsi="Calibri" w:eastAsia="SimSun"/>
                <w:b w:val="0"/>
                <w:sz w:val="18"/>
              </w:rPr>
              <w:t>蓝图编制准入确认</w:t>
            </w:r>
          </w:p>
        </w:tc>
      </w:tr>
    </w:tbl>
    <w:p>
      <w:pPr>
        <w:spacing w:before="0" w:after="80" w:line="240" w:lineRule="auto"/>
      </w:pPr>
    </w:p>
    <w:p>
      <w:pPr>
        <w:pStyle w:val="Heading3"/>
      </w:pPr>
      <w:r>
        <w:rPr>
          <w:rFonts w:ascii="Microsoft YaHei" w:hAnsi="Microsoft YaHei" w:eastAsia="Microsoft YaHei"/>
          <w:b/>
        </w:rPr>
        <w:t>附表 5：负向激励记录表</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550"/>
        <w:gridCol w:w="734"/>
        <w:gridCol w:w="917"/>
        <w:gridCol w:w="2385"/>
        <w:gridCol w:w="734"/>
        <w:gridCol w:w="1651"/>
        <w:gridCol w:w="550"/>
        <w:gridCol w:w="1839"/>
      </w:tblGrid>
      <w:tr>
        <w:tc>
          <w:tcPr>
            <w:tcW w:type="dxa" w:w="550"/>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6"/>
              </w:rPr>
              <w:t>WBS</w:t>
            </w:r>
          </w:p>
        </w:tc>
        <w:tc>
          <w:tcPr>
            <w:tcW w:type="dxa" w:w="734"/>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6"/>
              </w:rPr>
              <w:t>任务名称</w:t>
            </w:r>
          </w:p>
        </w:tc>
        <w:tc>
          <w:tcPr>
            <w:tcW w:type="dxa" w:w="917"/>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6"/>
              </w:rPr>
              <w:t>工作组</w:t>
            </w:r>
          </w:p>
        </w:tc>
        <w:tc>
          <w:tcPr>
            <w:tcW w:type="dxa" w:w="2385"/>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6"/>
              </w:rPr>
              <w:t>触发情形</w:t>
            </w:r>
          </w:p>
        </w:tc>
        <w:tc>
          <w:tcPr>
            <w:tcW w:type="dxa" w:w="734"/>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6"/>
              </w:rPr>
              <w:t>影响积分</w:t>
            </w:r>
          </w:p>
        </w:tc>
        <w:tc>
          <w:tcPr>
            <w:tcW w:type="dxa" w:w="1651"/>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6"/>
              </w:rPr>
              <w:t>处理口径</w:t>
            </w:r>
          </w:p>
        </w:tc>
        <w:tc>
          <w:tcPr>
            <w:tcW w:type="dxa" w:w="550"/>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6"/>
              </w:rPr>
              <w:t>复核人</w:t>
            </w:r>
          </w:p>
        </w:tc>
        <w:tc>
          <w:tcPr>
            <w:tcW w:type="dxa" w:w="1839"/>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6"/>
              </w:rPr>
              <w:t>闭环日期</w:t>
            </w:r>
          </w:p>
        </w:tc>
      </w:tr>
      <w:tr>
        <w:tc>
          <w:tcPr>
            <w:tcW w:type="dxa" w:w="550"/>
            <w:vAlign w:val="center"/>
            <w:tcMar>
              <w:top w:w="80" w:type="dxa"/>
              <w:start w:w="120" w:type="dxa"/>
              <w:bottom w:w="80" w:type="dxa"/>
              <w:end w:w="120" w:type="dxa"/>
            </w:tcMar>
          </w:tcPr>
          <w:p>
            <w:pPr>
              <w:spacing w:before="0" w:after="0" w:line="252" w:lineRule="auto"/>
              <w:jc w:val="center"/>
            </w:pPr>
            <w:r>
              <w:rPr>
                <w:rFonts w:ascii="Calibri" w:hAnsi="Calibri" w:eastAsia="SimSun"/>
                <w:b w:val="0"/>
                <w:sz w:val="16"/>
              </w:rPr>
              <w:t>示例</w:t>
            </w:r>
          </w:p>
        </w:tc>
        <w:tc>
          <w:tcPr>
            <w:tcW w:type="dxa" w:w="734"/>
            <w:vAlign w:val="center"/>
            <w:tcMar>
              <w:top w:w="80" w:type="dxa"/>
              <w:start w:w="120" w:type="dxa"/>
              <w:bottom w:w="80" w:type="dxa"/>
              <w:end w:w="120" w:type="dxa"/>
            </w:tcMar>
          </w:tcPr>
          <w:p>
            <w:pPr>
              <w:spacing w:before="0" w:after="0" w:line="252" w:lineRule="auto"/>
              <w:jc w:val="center"/>
            </w:pPr>
            <w:r>
              <w:rPr>
                <w:rFonts w:ascii="Calibri" w:hAnsi="Calibri" w:eastAsia="SimSun"/>
                <w:b w:val="0"/>
                <w:sz w:val="16"/>
              </w:rPr>
              <w:t>示例任务</w:t>
            </w:r>
          </w:p>
        </w:tc>
        <w:tc>
          <w:tcPr>
            <w:tcW w:type="dxa" w:w="917"/>
            <w:vAlign w:val="center"/>
            <w:tcMar>
              <w:top w:w="80" w:type="dxa"/>
              <w:start w:w="120" w:type="dxa"/>
              <w:bottom w:w="80" w:type="dxa"/>
              <w:end w:w="120" w:type="dxa"/>
            </w:tcMar>
          </w:tcPr>
          <w:p>
            <w:pPr>
              <w:spacing w:before="0" w:after="0" w:line="252" w:lineRule="auto"/>
              <w:jc w:val="center"/>
            </w:pPr>
            <w:r>
              <w:rPr>
                <w:rFonts w:ascii="Calibri" w:hAnsi="Calibri" w:eastAsia="SimSun"/>
                <w:b w:val="0"/>
                <w:sz w:val="16"/>
              </w:rPr>
              <w:t>示例工作组</w:t>
            </w:r>
          </w:p>
        </w:tc>
        <w:tc>
          <w:tcPr>
            <w:tcW w:type="dxa" w:w="2385"/>
            <w:vAlign w:val="center"/>
            <w:tcMar>
              <w:top w:w="80" w:type="dxa"/>
              <w:start w:w="120" w:type="dxa"/>
              <w:bottom w:w="80" w:type="dxa"/>
              <w:end w:w="120" w:type="dxa"/>
            </w:tcMar>
          </w:tcPr>
          <w:p>
            <w:pPr>
              <w:spacing w:before="0" w:after="0" w:line="252" w:lineRule="auto"/>
              <w:jc w:val="left"/>
            </w:pPr>
            <w:r>
              <w:rPr>
                <w:rFonts w:ascii="Calibri" w:hAnsi="Calibri" w:eastAsia="SimSun"/>
                <w:b w:val="0"/>
                <w:sz w:val="16"/>
              </w:rPr>
              <w:t>未获批逾期/证据不足/返工</w:t>
            </w:r>
          </w:p>
        </w:tc>
        <w:tc>
          <w:tcPr>
            <w:tcW w:type="dxa" w:w="734"/>
            <w:vAlign w:val="center"/>
            <w:tcMar>
              <w:top w:w="80" w:type="dxa"/>
              <w:start w:w="120" w:type="dxa"/>
              <w:bottom w:w="80" w:type="dxa"/>
              <w:end w:w="120" w:type="dxa"/>
            </w:tcMar>
          </w:tcPr>
          <w:p>
            <w:pPr>
              <w:spacing w:before="0" w:after="0" w:line="252" w:lineRule="auto"/>
              <w:jc w:val="center"/>
            </w:pPr>
            <w:r>
              <w:rPr>
                <w:rFonts w:ascii="Calibri" w:hAnsi="Calibri" w:eastAsia="SimSun"/>
                <w:b w:val="0"/>
                <w:sz w:val="16"/>
              </w:rPr>
              <w:t>0</w:t>
            </w:r>
          </w:p>
        </w:tc>
        <w:tc>
          <w:tcPr>
            <w:tcW w:type="dxa" w:w="1651"/>
            <w:vAlign w:val="center"/>
            <w:tcMar>
              <w:top w:w="80" w:type="dxa"/>
              <w:start w:w="120" w:type="dxa"/>
              <w:bottom w:w="80" w:type="dxa"/>
              <w:end w:w="120" w:type="dxa"/>
            </w:tcMar>
          </w:tcPr>
          <w:p>
            <w:pPr>
              <w:spacing w:before="0" w:after="0" w:line="252" w:lineRule="auto"/>
              <w:jc w:val="left"/>
            </w:pPr>
            <w:r>
              <w:rPr>
                <w:rFonts w:ascii="Calibri" w:hAnsi="Calibri" w:eastAsia="SimSun"/>
                <w:b w:val="0"/>
                <w:sz w:val="16"/>
              </w:rPr>
              <w:t>暂缓资格/纳入整改</w:t>
            </w:r>
          </w:p>
        </w:tc>
        <w:tc>
          <w:tcPr>
            <w:tcW w:type="dxa" w:w="550"/>
            <w:vAlign w:val="center"/>
            <w:tcMar>
              <w:top w:w="80" w:type="dxa"/>
              <w:start w:w="120" w:type="dxa"/>
              <w:bottom w:w="80" w:type="dxa"/>
              <w:end w:w="120" w:type="dxa"/>
            </w:tcMar>
          </w:tcPr>
          <w:p>
            <w:pPr>
              <w:spacing w:before="0" w:after="0" w:line="252" w:lineRule="auto"/>
              <w:jc w:val="center"/>
            </w:pPr>
            <w:r>
              <w:rPr>
                <w:rFonts w:ascii="Calibri" w:hAnsi="Calibri" w:eastAsia="SimSun"/>
                <w:b w:val="0"/>
                <w:sz w:val="16"/>
              </w:rPr>
              <w:t>示例</w:t>
            </w:r>
          </w:p>
        </w:tc>
        <w:tc>
          <w:tcPr>
            <w:tcW w:type="dxa" w:w="1839"/>
            <w:vAlign w:val="center"/>
            <w:tcMar>
              <w:top w:w="80" w:type="dxa"/>
              <w:start w:w="120" w:type="dxa"/>
              <w:bottom w:w="80" w:type="dxa"/>
              <w:end w:w="120" w:type="dxa"/>
            </w:tcMar>
          </w:tcPr>
          <w:p>
            <w:pPr>
              <w:spacing w:before="0" w:after="0" w:line="252" w:lineRule="auto"/>
              <w:jc w:val="center"/>
            </w:pPr>
            <w:r>
              <w:rPr>
                <w:rFonts w:ascii="Calibri" w:hAnsi="Calibri" w:eastAsia="SimSun"/>
                <w:b w:val="0"/>
                <w:sz w:val="16"/>
              </w:rPr>
              <w:t>YYYY-MM-DD</w:t>
            </w:r>
          </w:p>
        </w:tc>
      </w:tr>
    </w:tbl>
    <w:p>
      <w:pPr>
        <w:spacing w:before="0" w:after="80" w:line="240" w:lineRule="auto"/>
      </w:pPr>
    </w:p>
    <w:p>
      <w:pPr>
        <w:pStyle w:val="Heading3"/>
      </w:pPr>
      <w:r>
        <w:rPr>
          <w:rFonts w:ascii="Microsoft YaHei" w:hAnsi="Microsoft YaHei" w:eastAsia="Microsoft YaHei"/>
          <w:b/>
        </w:rPr>
        <w:t>附表 6：客观原因调整审批记录表</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
        <w:gridCol w:w="624"/>
        <w:gridCol w:w="1560"/>
        <w:gridCol w:w="1560"/>
        <w:gridCol w:w="936"/>
        <w:gridCol w:w="1248"/>
        <w:gridCol w:w="1404"/>
        <w:gridCol w:w="1560"/>
      </w:tblGrid>
      <w:tr>
        <w:tc>
          <w:tcPr>
            <w:tcW w:type="dxa" w:w="468"/>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6"/>
              </w:rPr>
              <w:t>WBS</w:t>
            </w:r>
          </w:p>
        </w:tc>
        <w:tc>
          <w:tcPr>
            <w:tcW w:type="dxa" w:w="624"/>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6"/>
              </w:rPr>
              <w:t>任务名称</w:t>
            </w:r>
          </w:p>
        </w:tc>
        <w:tc>
          <w:tcPr>
            <w:tcW w:type="dxa" w:w="1560"/>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6"/>
              </w:rPr>
              <w:t>原完成日期</w:t>
            </w:r>
          </w:p>
        </w:tc>
        <w:tc>
          <w:tcPr>
            <w:tcW w:type="dxa" w:w="1560"/>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6"/>
              </w:rPr>
              <w:t>申请日期</w:t>
            </w:r>
          </w:p>
        </w:tc>
        <w:tc>
          <w:tcPr>
            <w:tcW w:type="dxa" w:w="936"/>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6"/>
              </w:rPr>
              <w:t>调整原因</w:t>
            </w:r>
          </w:p>
        </w:tc>
        <w:tc>
          <w:tcPr>
            <w:tcW w:type="dxa" w:w="1248"/>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6"/>
              </w:rPr>
              <w:t>影响范围</w:t>
            </w:r>
          </w:p>
        </w:tc>
        <w:tc>
          <w:tcPr>
            <w:tcW w:type="dxa" w:w="1404"/>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6"/>
              </w:rPr>
              <w:t>执行副组长审批结论</w:t>
            </w:r>
          </w:p>
        </w:tc>
        <w:tc>
          <w:tcPr>
            <w:tcW w:type="dxa" w:w="1560"/>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6"/>
              </w:rPr>
              <w:t>新完成日期</w:t>
            </w:r>
          </w:p>
        </w:tc>
      </w:tr>
      <w:tr>
        <w:tc>
          <w:tcPr>
            <w:tcW w:type="dxa" w:w="468"/>
            <w:vAlign w:val="center"/>
            <w:tcMar>
              <w:top w:w="80" w:type="dxa"/>
              <w:start w:w="120" w:type="dxa"/>
              <w:bottom w:w="80" w:type="dxa"/>
              <w:end w:w="120" w:type="dxa"/>
            </w:tcMar>
          </w:tcPr>
          <w:p>
            <w:pPr>
              <w:spacing w:before="0" w:after="0" w:line="252" w:lineRule="auto"/>
              <w:jc w:val="center"/>
            </w:pPr>
            <w:r>
              <w:rPr>
                <w:rFonts w:ascii="Calibri" w:hAnsi="Calibri" w:eastAsia="SimSun"/>
                <w:b w:val="0"/>
                <w:sz w:val="16"/>
              </w:rPr>
              <w:t>示例</w:t>
            </w:r>
          </w:p>
        </w:tc>
        <w:tc>
          <w:tcPr>
            <w:tcW w:type="dxa" w:w="624"/>
            <w:vAlign w:val="center"/>
            <w:tcMar>
              <w:top w:w="80" w:type="dxa"/>
              <w:start w:w="120" w:type="dxa"/>
              <w:bottom w:w="80" w:type="dxa"/>
              <w:end w:w="120" w:type="dxa"/>
            </w:tcMar>
          </w:tcPr>
          <w:p>
            <w:pPr>
              <w:spacing w:before="0" w:after="0" w:line="252" w:lineRule="auto"/>
              <w:jc w:val="center"/>
            </w:pPr>
            <w:r>
              <w:rPr>
                <w:rFonts w:ascii="Calibri" w:hAnsi="Calibri" w:eastAsia="SimSun"/>
                <w:b w:val="0"/>
                <w:sz w:val="16"/>
              </w:rPr>
              <w:t>示例任务</w:t>
            </w:r>
          </w:p>
        </w:tc>
        <w:tc>
          <w:tcPr>
            <w:tcW w:type="dxa" w:w="1560"/>
            <w:vAlign w:val="center"/>
            <w:tcMar>
              <w:top w:w="80" w:type="dxa"/>
              <w:start w:w="120" w:type="dxa"/>
              <w:bottom w:w="80" w:type="dxa"/>
              <w:end w:w="120" w:type="dxa"/>
            </w:tcMar>
          </w:tcPr>
          <w:p>
            <w:pPr>
              <w:spacing w:before="0" w:after="0" w:line="252" w:lineRule="auto"/>
              <w:jc w:val="center"/>
            </w:pPr>
            <w:r>
              <w:rPr>
                <w:rFonts w:ascii="Calibri" w:hAnsi="Calibri" w:eastAsia="SimSun"/>
                <w:b w:val="0"/>
                <w:sz w:val="16"/>
              </w:rPr>
              <w:t>YYYY-MM-DD</w:t>
            </w:r>
          </w:p>
        </w:tc>
        <w:tc>
          <w:tcPr>
            <w:tcW w:type="dxa" w:w="1560"/>
            <w:vAlign w:val="center"/>
            <w:tcMar>
              <w:top w:w="80" w:type="dxa"/>
              <w:start w:w="120" w:type="dxa"/>
              <w:bottom w:w="80" w:type="dxa"/>
              <w:end w:w="120" w:type="dxa"/>
            </w:tcMar>
          </w:tcPr>
          <w:p>
            <w:pPr>
              <w:spacing w:before="0" w:after="0" w:line="252" w:lineRule="auto"/>
              <w:jc w:val="center"/>
            </w:pPr>
            <w:r>
              <w:rPr>
                <w:rFonts w:ascii="Calibri" w:hAnsi="Calibri" w:eastAsia="SimSun"/>
                <w:b w:val="0"/>
                <w:sz w:val="16"/>
              </w:rPr>
              <w:t>YYYY-MM-DD</w:t>
            </w:r>
          </w:p>
        </w:tc>
        <w:tc>
          <w:tcPr>
            <w:tcW w:type="dxa" w:w="936"/>
            <w:vAlign w:val="center"/>
            <w:tcMar>
              <w:top w:w="80" w:type="dxa"/>
              <w:start w:w="120" w:type="dxa"/>
              <w:bottom w:w="80" w:type="dxa"/>
              <w:end w:w="120" w:type="dxa"/>
            </w:tcMar>
          </w:tcPr>
          <w:p>
            <w:pPr>
              <w:spacing w:before="0" w:after="0" w:line="252" w:lineRule="auto"/>
              <w:jc w:val="center"/>
            </w:pPr>
            <w:r>
              <w:rPr>
                <w:rFonts w:ascii="Calibri" w:hAnsi="Calibri" w:eastAsia="SimSun"/>
                <w:b w:val="0"/>
                <w:sz w:val="16"/>
              </w:rPr>
              <w:t>客观原因说明</w:t>
            </w:r>
          </w:p>
        </w:tc>
        <w:tc>
          <w:tcPr>
            <w:tcW w:type="dxa" w:w="1248"/>
            <w:vAlign w:val="center"/>
            <w:tcMar>
              <w:top w:w="80" w:type="dxa"/>
              <w:start w:w="120" w:type="dxa"/>
              <w:bottom w:w="80" w:type="dxa"/>
              <w:end w:w="120" w:type="dxa"/>
            </w:tcMar>
          </w:tcPr>
          <w:p>
            <w:pPr>
              <w:spacing w:before="0" w:after="0" w:line="252" w:lineRule="auto"/>
              <w:jc w:val="center"/>
            </w:pPr>
            <w:r>
              <w:rPr>
                <w:rFonts w:ascii="Calibri" w:hAnsi="Calibri" w:eastAsia="SimSun"/>
                <w:b w:val="0"/>
                <w:sz w:val="16"/>
              </w:rPr>
              <w:t>影响任务/阶段门</w:t>
            </w:r>
          </w:p>
        </w:tc>
        <w:tc>
          <w:tcPr>
            <w:tcW w:type="dxa" w:w="1404"/>
            <w:vAlign w:val="center"/>
            <w:tcMar>
              <w:top w:w="80" w:type="dxa"/>
              <w:start w:w="120" w:type="dxa"/>
              <w:bottom w:w="80" w:type="dxa"/>
              <w:end w:w="120" w:type="dxa"/>
            </w:tcMar>
          </w:tcPr>
          <w:p>
            <w:pPr>
              <w:spacing w:before="0" w:after="0" w:line="252" w:lineRule="auto"/>
              <w:jc w:val="center"/>
            </w:pPr>
            <w:r>
              <w:rPr>
                <w:rFonts w:ascii="Calibri" w:hAnsi="Calibri" w:eastAsia="SimSun"/>
                <w:b w:val="0"/>
                <w:sz w:val="16"/>
              </w:rPr>
              <w:t>通过/不通过</w:t>
            </w:r>
          </w:p>
        </w:tc>
        <w:tc>
          <w:tcPr>
            <w:tcW w:type="dxa" w:w="1560"/>
            <w:vAlign w:val="center"/>
            <w:tcMar>
              <w:top w:w="80" w:type="dxa"/>
              <w:start w:w="120" w:type="dxa"/>
              <w:bottom w:w="80" w:type="dxa"/>
              <w:end w:w="120" w:type="dxa"/>
            </w:tcMar>
          </w:tcPr>
          <w:p>
            <w:pPr>
              <w:spacing w:before="0" w:after="0" w:line="252" w:lineRule="auto"/>
              <w:jc w:val="center"/>
            </w:pPr>
            <w:r>
              <w:rPr>
                <w:rFonts w:ascii="Calibri" w:hAnsi="Calibri" w:eastAsia="SimSun"/>
                <w:b w:val="0"/>
                <w:sz w:val="16"/>
              </w:rPr>
              <w:t>YYYY-MM-DD</w:t>
            </w:r>
          </w:p>
        </w:tc>
      </w:tr>
    </w:tbl>
    <w:p>
      <w:pPr>
        <w:spacing w:before="0" w:after="80" w:line="240" w:lineRule="auto"/>
      </w:pPr>
    </w:p>
    <w:p>
      <w:pPr>
        <w:pStyle w:val="Heading3"/>
      </w:pPr>
      <w:r>
        <w:rPr>
          <w:rFonts w:ascii="Microsoft YaHei" w:hAnsi="Microsoft YaHei" w:eastAsia="Microsoft YaHei"/>
          <w:b/>
        </w:rPr>
        <w:t>附表 7：专项激励资格确认表</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731"/>
        <w:gridCol w:w="1023"/>
        <w:gridCol w:w="877"/>
        <w:gridCol w:w="1170"/>
        <w:gridCol w:w="1316"/>
        <w:gridCol w:w="1023"/>
        <w:gridCol w:w="1755"/>
        <w:gridCol w:w="1465"/>
      </w:tblGrid>
      <w:tr>
        <w:tc>
          <w:tcPr>
            <w:tcW w:type="dxa" w:w="731"/>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6"/>
              </w:rPr>
              <w:t>工作组</w:t>
            </w:r>
          </w:p>
        </w:tc>
        <w:tc>
          <w:tcPr>
            <w:tcW w:type="dxa" w:w="1023"/>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6"/>
              </w:rPr>
              <w:t>周期</w:t>
            </w:r>
          </w:p>
        </w:tc>
        <w:tc>
          <w:tcPr>
            <w:tcW w:type="dxa" w:w="877"/>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6"/>
              </w:rPr>
              <w:t>有效工作得分</w:t>
            </w:r>
          </w:p>
        </w:tc>
        <w:tc>
          <w:tcPr>
            <w:tcW w:type="dxa" w:w="1170"/>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6"/>
              </w:rPr>
              <w:t>试运行综合参考分</w:t>
            </w:r>
          </w:p>
        </w:tc>
        <w:tc>
          <w:tcPr>
            <w:tcW w:type="dxa" w:w="1316"/>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6"/>
              </w:rPr>
              <w:t>高风险任务是否闭环</w:t>
            </w:r>
          </w:p>
        </w:tc>
        <w:tc>
          <w:tcPr>
            <w:tcW w:type="dxa" w:w="1023"/>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6"/>
              </w:rPr>
              <w:t>阶段门是否放行</w:t>
            </w:r>
          </w:p>
        </w:tc>
        <w:tc>
          <w:tcPr>
            <w:tcW w:type="dxa" w:w="1755"/>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6"/>
              </w:rPr>
              <w:t>资格状态</w:t>
            </w:r>
          </w:p>
        </w:tc>
        <w:tc>
          <w:tcPr>
            <w:tcW w:type="dxa" w:w="1465"/>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6"/>
              </w:rPr>
              <w:t>执行副组长确认</w:t>
            </w:r>
          </w:p>
        </w:tc>
      </w:tr>
      <w:tr>
        <w:tc>
          <w:tcPr>
            <w:tcW w:type="dxa" w:w="731"/>
            <w:vAlign w:val="center"/>
            <w:tcMar>
              <w:top w:w="80" w:type="dxa"/>
              <w:start w:w="120" w:type="dxa"/>
              <w:bottom w:w="80" w:type="dxa"/>
              <w:end w:w="120" w:type="dxa"/>
            </w:tcMar>
          </w:tcPr>
          <w:p>
            <w:pPr>
              <w:spacing w:before="0" w:after="0" w:line="252" w:lineRule="auto"/>
              <w:jc w:val="center"/>
            </w:pPr>
            <w:r>
              <w:rPr>
                <w:rFonts w:ascii="Calibri" w:hAnsi="Calibri" w:eastAsia="SimSun"/>
                <w:b w:val="0"/>
                <w:sz w:val="16"/>
              </w:rPr>
              <w:t>示例工作组</w:t>
            </w:r>
          </w:p>
        </w:tc>
        <w:tc>
          <w:tcPr>
            <w:tcW w:type="dxa" w:w="1023"/>
            <w:vAlign w:val="center"/>
            <w:tcMar>
              <w:top w:w="80" w:type="dxa"/>
              <w:start w:w="120" w:type="dxa"/>
              <w:bottom w:w="80" w:type="dxa"/>
              <w:end w:w="120" w:type="dxa"/>
            </w:tcMar>
          </w:tcPr>
          <w:p>
            <w:pPr>
              <w:spacing w:before="0" w:after="0" w:line="252" w:lineRule="auto"/>
              <w:jc w:val="center"/>
            </w:pPr>
            <w:r>
              <w:rPr>
                <w:rFonts w:ascii="Calibri" w:hAnsi="Calibri" w:eastAsia="SimSun"/>
                <w:b w:val="0"/>
                <w:sz w:val="16"/>
              </w:rPr>
              <w:t>YYYY-MM</w:t>
            </w:r>
          </w:p>
        </w:tc>
        <w:tc>
          <w:tcPr>
            <w:tcW w:type="dxa" w:w="877"/>
            <w:vAlign w:val="center"/>
            <w:tcMar>
              <w:top w:w="80" w:type="dxa"/>
              <w:start w:w="120" w:type="dxa"/>
              <w:bottom w:w="80" w:type="dxa"/>
              <w:end w:w="120" w:type="dxa"/>
            </w:tcMar>
          </w:tcPr>
          <w:p>
            <w:pPr>
              <w:spacing w:before="0" w:after="0" w:line="252" w:lineRule="auto"/>
              <w:jc w:val="center"/>
            </w:pPr>
            <w:r>
              <w:rPr>
                <w:rFonts w:ascii="Calibri" w:hAnsi="Calibri" w:eastAsia="SimSun"/>
                <w:b w:val="0"/>
                <w:sz w:val="16"/>
              </w:rPr>
              <w:t>0%</w:t>
            </w:r>
          </w:p>
        </w:tc>
        <w:tc>
          <w:tcPr>
            <w:tcW w:type="dxa" w:w="1170"/>
            <w:vAlign w:val="center"/>
            <w:tcMar>
              <w:top w:w="80" w:type="dxa"/>
              <w:start w:w="120" w:type="dxa"/>
              <w:bottom w:w="80" w:type="dxa"/>
              <w:end w:w="120" w:type="dxa"/>
            </w:tcMar>
          </w:tcPr>
          <w:p>
            <w:pPr>
              <w:spacing w:before="0" w:after="0" w:line="252" w:lineRule="auto"/>
              <w:jc w:val="center"/>
            </w:pPr>
            <w:r>
              <w:rPr>
                <w:rFonts w:ascii="Calibri" w:hAnsi="Calibri" w:eastAsia="SimSun"/>
                <w:b w:val="0"/>
                <w:sz w:val="16"/>
              </w:rPr>
              <w:t>0%</w:t>
            </w:r>
          </w:p>
        </w:tc>
        <w:tc>
          <w:tcPr>
            <w:tcW w:type="dxa" w:w="1316"/>
            <w:vAlign w:val="center"/>
            <w:tcMar>
              <w:top w:w="80" w:type="dxa"/>
              <w:start w:w="120" w:type="dxa"/>
              <w:bottom w:w="80" w:type="dxa"/>
              <w:end w:w="120" w:type="dxa"/>
            </w:tcMar>
          </w:tcPr>
          <w:p>
            <w:pPr>
              <w:spacing w:before="0" w:after="0" w:line="252" w:lineRule="auto"/>
              <w:jc w:val="center"/>
            </w:pPr>
            <w:r>
              <w:rPr>
                <w:rFonts w:ascii="Calibri" w:hAnsi="Calibri" w:eastAsia="SimSun"/>
                <w:b w:val="0"/>
                <w:sz w:val="16"/>
              </w:rPr>
              <w:t>是/否</w:t>
            </w:r>
          </w:p>
        </w:tc>
        <w:tc>
          <w:tcPr>
            <w:tcW w:type="dxa" w:w="1023"/>
            <w:vAlign w:val="center"/>
            <w:tcMar>
              <w:top w:w="80" w:type="dxa"/>
              <w:start w:w="120" w:type="dxa"/>
              <w:bottom w:w="80" w:type="dxa"/>
              <w:end w:w="120" w:type="dxa"/>
            </w:tcMar>
          </w:tcPr>
          <w:p>
            <w:pPr>
              <w:spacing w:before="0" w:after="0" w:line="252" w:lineRule="auto"/>
              <w:jc w:val="center"/>
            </w:pPr>
            <w:r>
              <w:rPr>
                <w:rFonts w:ascii="Calibri" w:hAnsi="Calibri" w:eastAsia="SimSun"/>
                <w:b w:val="0"/>
                <w:sz w:val="16"/>
              </w:rPr>
              <w:t>是/否</w:t>
            </w:r>
          </w:p>
        </w:tc>
        <w:tc>
          <w:tcPr>
            <w:tcW w:type="dxa" w:w="1755"/>
            <w:vAlign w:val="center"/>
            <w:tcMar>
              <w:top w:w="80" w:type="dxa"/>
              <w:start w:w="120" w:type="dxa"/>
              <w:bottom w:w="80" w:type="dxa"/>
              <w:end w:w="120" w:type="dxa"/>
            </w:tcMar>
          </w:tcPr>
          <w:p>
            <w:pPr>
              <w:spacing w:before="0" w:after="0" w:line="252" w:lineRule="auto"/>
              <w:jc w:val="left"/>
            </w:pPr>
            <w:r>
              <w:rPr>
                <w:rFonts w:ascii="Calibri" w:hAnsi="Calibri" w:eastAsia="SimSun"/>
                <w:b w:val="0"/>
                <w:sz w:val="16"/>
              </w:rPr>
              <w:t>确认/暂缓/取消/待确认</w:t>
            </w:r>
          </w:p>
        </w:tc>
        <w:tc>
          <w:tcPr>
            <w:tcW w:type="dxa" w:w="1465"/>
            <w:vAlign w:val="center"/>
            <w:tcMar>
              <w:top w:w="80" w:type="dxa"/>
              <w:start w:w="120" w:type="dxa"/>
              <w:bottom w:w="80" w:type="dxa"/>
              <w:end w:w="120" w:type="dxa"/>
            </w:tcMar>
          </w:tcPr>
          <w:p>
            <w:pPr>
              <w:spacing w:before="0" w:after="0" w:line="252" w:lineRule="auto"/>
              <w:jc w:val="left"/>
            </w:pPr>
            <w:r>
              <w:rPr>
                <w:rFonts w:ascii="Calibri" w:hAnsi="Calibri" w:eastAsia="SimSun"/>
                <w:b w:val="0"/>
                <w:sz w:val="16"/>
              </w:rPr>
              <w:t>通过/不通过/待确认</w:t>
            </w:r>
          </w:p>
        </w:tc>
      </w:tr>
    </w:tbl>
    <w:p>
      <w:pPr>
        <w:spacing w:before="0" w:after="80" w:line="240" w:lineRule="auto"/>
      </w:pPr>
    </w:p>
    <w:p>
      <w:pPr>
        <w:pStyle w:val="Heading2"/>
      </w:pPr>
      <w:r>
        <w:rPr>
          <w:rFonts w:ascii="Microsoft YaHei" w:hAnsi="Microsoft YaHei" w:eastAsia="Microsoft YaHei"/>
          <w:b/>
        </w:rPr>
        <w:t>九、制度映射</w:t>
      </w:r>
    </w:p>
    <w:tbl>
      <w:tblPr>
        <w:tblStyle w:val="TableGrid"/>
        <w:tblW w:type="dxa" w:w="9360"/>
        <w:jc w:val="center"/>
        <w:tblLayout w:type="fixed"/>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415"/>
        <w:gridCol w:w="4945"/>
      </w:tblGrid>
      <w:tr>
        <w:tc>
          <w:tcPr>
            <w:tcW w:type="dxa" w:w="4415"/>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制度</w:t>
            </w:r>
          </w:p>
        </w:tc>
        <w:tc>
          <w:tcPr>
            <w:tcW w:type="dxa" w:w="4945"/>
            <w:vAlign w:val="center"/>
            <w:tcMar>
              <w:top w:w="80" w:type="dxa"/>
              <w:start w:w="120" w:type="dxa"/>
              <w:bottom w:w="80" w:type="dxa"/>
              <w:end w:w="120" w:type="dxa"/>
            </w:tcMar>
            <w:shd w:fill="F2F4F7"/>
          </w:tcPr>
          <w:p>
            <w:pPr>
              <w:spacing w:before="0" w:after="0" w:line="252" w:lineRule="auto"/>
              <w:jc w:val="center"/>
            </w:pPr>
            <w:r>
              <w:rPr>
                <w:rFonts w:ascii="Calibri" w:hAnsi="Calibri" w:eastAsia="SimSun"/>
                <w:b/>
                <w:color w:val="0B2545"/>
                <w:sz w:val="18"/>
              </w:rPr>
              <w:t>本方案承接口径</w:t>
            </w:r>
          </w:p>
        </w:tc>
      </w:tr>
      <w:tr>
        <w:tc>
          <w:tcPr>
            <w:tcW w:type="dxa" w:w="4415"/>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GLTX-JY-05-D 公司月度绩效考核方案</w:t>
            </w:r>
          </w:p>
        </w:tc>
        <w:tc>
          <w:tcPr>
            <w:tcW w:type="dxa" w:w="4945"/>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有效工作评价结果、试运行综合参考分和阶段节点状态作为月度重点任务和行动项完成情况的事实依据</w:t>
            </w:r>
          </w:p>
        </w:tc>
      </w:tr>
      <w:tr>
        <w:tc>
          <w:tcPr>
            <w:tcW w:type="dxa" w:w="4415"/>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GLTX-JY-06-B 年度部门绩效考核管理程序</w:t>
            </w:r>
          </w:p>
        </w:tc>
        <w:tc>
          <w:tcPr>
            <w:tcW w:type="dxa" w:w="4945"/>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月度和阶段汇总结果作为年度重点任务行动项考核、评优评先和资源分配的支撑材料</w:t>
            </w:r>
          </w:p>
        </w:tc>
      </w:tr>
      <w:tr>
        <w:tc>
          <w:tcPr>
            <w:tcW w:type="dxa" w:w="4415"/>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GLTX-JY-24-A 项目激励管理办法</w:t>
            </w:r>
          </w:p>
        </w:tc>
        <w:tc>
          <w:tcPr>
            <w:tcW w:type="dxa" w:w="4945"/>
            <w:vAlign w:val="center"/>
            <w:tcMar>
              <w:top w:w="80" w:type="dxa"/>
              <w:start w:w="120" w:type="dxa"/>
              <w:bottom w:w="80" w:type="dxa"/>
              <w:end w:w="120" w:type="dxa"/>
            </w:tcMar>
          </w:tcPr>
          <w:p>
            <w:pPr>
              <w:spacing w:before="0" w:after="0" w:line="252" w:lineRule="auto"/>
              <w:jc w:val="left"/>
            </w:pPr>
            <w:r>
              <w:rPr>
                <w:rFonts w:ascii="Calibri" w:hAnsi="Calibri" w:eastAsia="SimSun"/>
                <w:b w:val="0"/>
                <w:sz w:val="18"/>
              </w:rPr>
              <w:t>本方案只确认专项激励资格和节点兑现条件，具体金额、申请、复核和发放按项目激励流程执行</w:t>
            </w:r>
          </w:p>
        </w:tc>
      </w:tr>
    </w:tbl>
    <w:p>
      <w:pPr>
        <w:spacing w:before="0" w:after="80" w:line="240" w:lineRule="auto"/>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SimSun"/>
        <w:color w:val="666666"/>
        <w:sz w:val="18"/>
      </w:rPr>
      <w:t>昌兴复材数字化底座项目</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SimSun"/>
        <w:color w:val="666666"/>
        <w:sz w:val="18"/>
      </w:rPr>
      <w:t>DLV-007 任务权重激励方案 V3 评审稿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