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容差分配方案管理标准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本程序规定了容差分配方案的编制和管理要求。</w:t>
      </w:r>
    </w:p>
    <w:p>
      <w:pPr>
        <w:spacing w:before="0" w:after="0"/>
        <w:jc w:val="both"/>
      </w:pPr>
      <w:r>
        <w:rPr>
          <w:color w:val="000000"/>
          <w:sz w:val="28"/>
          <w:szCs w:val="28"/>
          <w:rFonts w:ascii="宋体" w:cs="宋体" w:eastAsia="宋体" w:hAnsi="宋体"/>
        </w:rPr>
        <w:t xml:space="preserve">本程序适用于公司各项目容差分配方案的编制。</w:t>
      </w:r>
    </w:p>
    <w:p>
      <w:pPr>
        <w:spacing w:before="0" w:after="0"/>
        <w:jc w:val="both"/>
      </w:pPr>
      <w:r>
        <w:rPr>
          <w:color w:val="000000"/>
          <w:sz w:val="28"/>
          <w:szCs w:val="28"/>
          <w:rFonts w:ascii="宋体" w:cs="宋体" w:eastAsia="宋体" w:hAnsi="宋体"/>
        </w:rPr>
        <w:t xml:space="preserve">本程序依据GLC140403的要求编制。</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GLC140403  装配协调方案制定管理程序</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GLC231007  技术文件的编写管理程序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无</w:t>
      </w:r>
    </w:p>
    <w:p>
      <w:pPr>
        <w:spacing w:before="0" w:after="0" w:line="280" w:lineRule="exact"/>
      </w:pPr>
      <w:r>
        <w:rPr>
          <w:color w:val="1b324f"/>
          <w:sz w:val="28"/>
          <w:szCs w:val="28"/>
          <w:rFonts w:ascii="华文黑体" w:cs="华文黑体" w:eastAsia="华文黑体" w:hAnsi="华文黑体"/>
        </w:rPr>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1b324f"/>
          <w:sz w:val="28"/>
          <w:szCs w:val="28"/>
          <w:rFonts w:ascii="黑体" w:cs="黑体" w:eastAsia="黑体" w:hAnsi="黑体"/>
        </w:rPr>
        <w:t xml:space="preserve">4.1  容差分配方案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容差分配方案是指在产品工艺策划设计阶段，根据产品的功能、可制造性、可装配性和成本等要求，将产品总装或关键部件的最终精度要求（总容差），科学合理地分解和分配到各个组成零件、部件及工艺装备上的过程。通常以容差分配表的形式体现，容差分配表由飞机外缘型值公差、模线样板的外缘容差、标准工艺装备工艺容差、零件工艺装备工艺容差、装配工艺装备工艺容差、零组件制造工艺容差、孔-轴-孔交点工艺容差、叉耳交点工艺容差等部分容差分配表组成。</w:t>
      </w:r>
    </w:p>
    <w:p>
      <w:pPr>
        <w:spacing w:before="0" w:after="0"/>
        <w:jc w:val="both"/>
      </w:pPr>
      <w:r>
        <w:rPr>
          <w:color w:val="1b324f"/>
          <w:sz w:val="28"/>
          <w:szCs w:val="28"/>
          <w:rFonts w:ascii="黑体" w:cs="黑体" w:eastAsia="黑体" w:hAnsi="黑体"/>
        </w:rPr>
        <w:t xml:space="preserve">5  规定</w:t>
      </w:r>
    </w:p>
    <w:p>
      <w:pPr>
        <w:spacing w:before="0" w:after="0"/>
        <w:jc w:val="both"/>
      </w:pPr>
      <w:r>
        <w:rPr>
          <w:color w:val="1b324f"/>
          <w:sz w:val="28"/>
          <w:szCs w:val="28"/>
          <w:rFonts w:ascii="黑体" w:cs="黑体" w:eastAsia="黑体" w:hAnsi="黑体"/>
        </w:rPr>
        <w:t xml:space="preserve">5.1 编制依据</w:t>
      </w:r>
    </w:p>
    <w:p>
      <w:pPr>
        <w:spacing w:before="0" w:after="0"/>
        <w:jc w:val="both"/>
      </w:pPr>
      <w:r>
        <w:rPr>
          <w:color w:val="000000"/>
          <w:sz w:val="28"/>
          <w:szCs w:val="28"/>
          <w:rFonts w:ascii="宋体" w:cs="宋体" w:eastAsia="宋体" w:hAnsi="宋体"/>
        </w:rPr>
        <w:t xml:space="preserve">a) 产品图样、技术文件等设计资料；</w:t>
      </w:r>
    </w:p>
    <w:p>
      <w:pPr>
        <w:spacing w:before="0" w:after="0"/>
        <w:jc w:val="both"/>
      </w:pPr>
      <w:r>
        <w:rPr>
          <w:color w:val="000000"/>
          <w:sz w:val="28"/>
          <w:szCs w:val="28"/>
          <w:rFonts w:ascii="宋体" w:cs="宋体" w:eastAsia="宋体" w:hAnsi="宋体"/>
        </w:rPr>
        <w:t xml:space="preserve">b) 装配协调方案；</w:t>
      </w:r>
    </w:p>
    <w:p>
      <w:pPr>
        <w:spacing w:before="0" w:after="0"/>
        <w:jc w:val="both"/>
      </w:pPr>
      <w:r>
        <w:rPr>
          <w:color w:val="000000"/>
          <w:sz w:val="28"/>
          <w:szCs w:val="28"/>
          <w:rFonts w:ascii="宋体" w:cs="宋体" w:eastAsia="宋体" w:hAnsi="宋体"/>
        </w:rPr>
        <w:t xml:space="preserve">c) 产品交付要求文件。</w:t>
      </w:r>
    </w:p>
    <w:p>
      <w:pPr>
        <w:spacing w:before="0" w:after="0"/>
        <w:jc w:val="both"/>
      </w:pPr>
      <w:r>
        <w:rPr>
          <w:color w:val="1b324f"/>
          <w:sz w:val="28"/>
          <w:szCs w:val="28"/>
          <w:rFonts w:ascii="黑体" w:cs="黑体" w:eastAsia="黑体" w:hAnsi="黑体"/>
        </w:rPr>
        <w:t xml:space="preserve">5.2  容差分配表的编制原则</w:t>
      </w:r>
    </w:p>
    <w:p>
      <w:pPr>
        <w:spacing w:before="0" w:after="0"/>
        <w:jc w:val="both"/>
      </w:pPr>
      <w:r>
        <w:rPr>
          <w:color w:val="1b324f"/>
          <w:sz w:val="28"/>
          <w:szCs w:val="28"/>
          <w:rFonts w:ascii="黑体" w:cs="黑体" w:eastAsia="黑体" w:hAnsi="黑体"/>
        </w:rPr>
        <w:t xml:space="preserve">5.2.1  </w:t>
      </w:r>
      <w:r>
        <w:rPr>
          <w:color w:val="000000"/>
          <w:sz w:val="28"/>
          <w:szCs w:val="28"/>
          <w:rFonts w:ascii="宋体" w:cs="宋体" w:eastAsia="宋体" w:hAnsi="宋体"/>
        </w:rPr>
        <w:t xml:space="preserve">应在保证飞机部件外缘型值满足设计文件规定的公差要求的前提下，确定从模线样板、工艺装备制造、零件制造直至组合件、部件装配等各工艺环节的制造准确度和协调准确度。</w:t>
      </w:r>
    </w:p>
    <w:p>
      <w:pPr>
        <w:spacing w:before="0" w:after="0"/>
        <w:jc w:val="both"/>
      </w:pPr>
      <w:r>
        <w:rPr>
          <w:color w:val="1b324f"/>
          <w:sz w:val="28"/>
          <w:szCs w:val="28"/>
          <w:rFonts w:ascii="黑体" w:cs="黑体" w:eastAsia="黑体" w:hAnsi="黑体"/>
        </w:rPr>
        <w:t xml:space="preserve">5.2.2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产品零件（机加、钣金等）的制造技术条件和各类工装制造技术条件是编制工艺容差的参考资料。若上述某种技术条件规定的公差不符合分配要求时，则以工艺容差分配表为准。</w:t>
      </w:r>
    </w:p>
    <w:p>
      <w:pPr>
        <w:spacing w:before="0" w:after="0"/>
        <w:jc w:val="both"/>
      </w:pPr>
      <w:r>
        <w:rPr>
          <w:color w:val="1b324f"/>
          <w:sz w:val="28"/>
          <w:szCs w:val="28"/>
          <w:rFonts w:ascii="黑体" w:cs="黑体" w:eastAsia="黑体" w:hAnsi="黑体"/>
        </w:rPr>
        <w:t xml:space="preserve">5.2.3  </w:t>
      </w:r>
      <w:r>
        <w:rPr>
          <w:color w:val="000000"/>
          <w:sz w:val="28"/>
          <w:szCs w:val="28"/>
          <w:rFonts w:ascii="宋体" w:cs="宋体" w:eastAsia="宋体" w:hAnsi="宋体"/>
        </w:rPr>
        <w:t xml:space="preserve">当工厂的工艺技术水平满足不了设计部门规定的公差要求时，可提请设计部门更改或调整其所规定的公差。</w:t>
      </w:r>
    </w:p>
    <w:p>
      <w:pPr>
        <w:spacing w:before="0" w:after="0"/>
        <w:jc w:val="both"/>
      </w:pPr>
      <w:r>
        <w:rPr>
          <w:color w:val="1b324f"/>
          <w:sz w:val="28"/>
          <w:szCs w:val="28"/>
          <w:rFonts w:ascii="黑体" w:cs="黑体" w:eastAsia="黑体" w:hAnsi="黑体"/>
        </w:rPr>
        <w:t xml:space="preserve">5.3  </w:t>
      </w:r>
      <w:r>
        <w:rPr>
          <w:color w:val="1b324f"/>
          <w:sz w:val="28"/>
          <w:szCs w:val="28"/>
          <w:rFonts w:ascii="华文黑体" w:cs="华文黑体" w:eastAsia="华文黑体" w:hAnsi="华文黑体"/>
        </w:rPr>
        <w:t xml:space="preserve">艺容差的确定方法</w:t>
      </w:r>
    </w:p>
    <w:p>
      <w:pPr>
        <w:spacing w:before="0" w:after="0"/>
        <w:jc w:val="both"/>
      </w:pPr>
      <w:r>
        <w:rPr>
          <w:color w:val="000000"/>
          <w:sz w:val="28"/>
          <w:szCs w:val="28"/>
          <w:rFonts w:ascii="宋体" w:cs="宋体" w:eastAsia="宋体" w:hAnsi="宋体"/>
        </w:rPr>
        <w:t xml:space="preserve">a) 依据产品图纸和技术条件所规定的飞机外缘型值公差，参考各机型外缘型值公差及其工艺容差分配值，结合本厂的工艺技术水平，初选该机型的工艺容差；</w:t>
      </w:r>
    </w:p>
    <w:p>
      <w:pPr>
        <w:spacing w:before="0" w:after="0"/>
        <w:jc w:val="both"/>
      </w:pPr>
      <w:r>
        <w:rPr>
          <w:color w:val="000000"/>
          <w:sz w:val="28"/>
          <w:szCs w:val="28"/>
          <w:rFonts w:ascii="宋体" w:cs="宋体" w:eastAsia="宋体" w:hAnsi="宋体"/>
        </w:rPr>
        <w:t xml:space="preserve">b) 分别以机翼、机身典型切面为例，用概率方法核算分配的工艺容差；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c) 调整各环节工艺容差；</w:t>
      </w:r>
    </w:p>
    <w:p>
      <w:pPr>
        <w:spacing w:before="0" w:after="0"/>
        <w:jc w:val="both"/>
      </w:pPr>
      <w:r>
        <w:rPr>
          <w:color w:val="000000"/>
          <w:sz w:val="28"/>
          <w:szCs w:val="28"/>
          <w:rFonts w:ascii="宋体" w:cs="宋体" w:eastAsia="宋体" w:hAnsi="宋体"/>
        </w:rPr>
        <w:t xml:space="preserve">d) 最后确定此机型工艺容差。</w:t>
      </w:r>
    </w:p>
    <w:p>
      <w:pPr>
        <w:spacing w:before="0" w:after="0"/>
        <w:jc w:val="both"/>
      </w:pPr>
      <w:r>
        <w:rPr>
          <w:color w:val="1b324f"/>
          <w:sz w:val="28"/>
          <w:szCs w:val="28"/>
          <w:rFonts w:ascii="黑体" w:cs="黑体" w:eastAsia="黑体" w:hAnsi="黑体"/>
        </w:rPr>
        <w:t xml:space="preserve">5.4  </w:t>
      </w:r>
      <w:r>
        <w:rPr>
          <w:color w:val="1b324f"/>
          <w:sz w:val="28"/>
          <w:szCs w:val="28"/>
          <w:rFonts w:ascii="华文黑体" w:cs="华文黑体" w:eastAsia="华文黑体" w:hAnsi="华文黑体"/>
        </w:rPr>
        <w:t xml:space="preserve">工艺容差的类别： </w:t>
      </w:r>
    </w:p>
    <w:p>
      <w:pPr>
        <w:spacing w:before="0" w:after="0"/>
        <w:jc w:val="both"/>
      </w:pPr>
      <w:r>
        <w:rPr>
          <w:color w:val="000000"/>
          <w:sz w:val="28"/>
          <w:szCs w:val="28"/>
          <w:rFonts w:ascii="华文宋体" w:cs="华文宋体" w:eastAsia="华文宋体" w:hAnsi="华文宋体"/>
        </w:rPr>
        <w:t xml:space="preserve"> 工艺容差的类别主要包含如下，可参考附录A编制：</w:t>
      </w:r>
    </w:p>
    <w:p>
      <w:pPr>
        <w:spacing w:before="0" w:after="0"/>
        <w:jc w:val="both"/>
      </w:pPr>
      <w:r>
        <w:rPr>
          <w:color w:val="000000"/>
          <w:sz w:val="28"/>
          <w:szCs w:val="28"/>
          <w:rFonts w:ascii="宋体" w:cs="宋体" w:eastAsia="宋体" w:hAnsi="宋体"/>
        </w:rPr>
        <w:t xml:space="preserve">a) 模线样板的容差； </w:t>
      </w:r>
    </w:p>
    <w:p>
      <w:pPr>
        <w:spacing w:before="0" w:after="0"/>
        <w:jc w:val="both"/>
      </w:pPr>
      <w:r>
        <w:rPr>
          <w:color w:val="000000"/>
          <w:sz w:val="28"/>
          <w:szCs w:val="28"/>
          <w:rFonts w:ascii="宋体" w:cs="宋体" w:eastAsia="宋体" w:hAnsi="宋体"/>
        </w:rPr>
        <w:t xml:space="preserve">b) 标准工艺装备工艺容差； </w:t>
      </w:r>
    </w:p>
    <w:p>
      <w:pPr>
        <w:spacing w:before="0" w:after="0"/>
        <w:jc w:val="both"/>
      </w:pPr>
      <w:r>
        <w:rPr>
          <w:color w:val="000000"/>
          <w:sz w:val="28"/>
          <w:szCs w:val="28"/>
          <w:rFonts w:ascii="宋体" w:cs="宋体" w:eastAsia="宋体" w:hAnsi="宋体"/>
        </w:rPr>
        <w:t xml:space="preserve">c) 零件工艺装备工艺容差； </w:t>
      </w:r>
    </w:p>
    <w:p>
      <w:pPr>
        <w:spacing w:before="0" w:after="0"/>
        <w:jc w:val="both"/>
      </w:pPr>
      <w:r>
        <w:rPr>
          <w:color w:val="000000"/>
          <w:sz w:val="28"/>
          <w:szCs w:val="28"/>
          <w:rFonts w:ascii="宋体" w:cs="宋体" w:eastAsia="宋体" w:hAnsi="宋体"/>
        </w:rPr>
        <w:t xml:space="preserve">d) 装配工艺装备工艺容差； </w:t>
      </w:r>
    </w:p>
    <w:p>
      <w:pPr>
        <w:spacing w:before="0" w:after="0"/>
        <w:jc w:val="both"/>
      </w:pPr>
      <w:r>
        <w:rPr>
          <w:color w:val="000000"/>
          <w:sz w:val="28"/>
          <w:szCs w:val="28"/>
          <w:rFonts w:ascii="宋体" w:cs="宋体" w:eastAsia="宋体" w:hAnsi="宋体"/>
        </w:rPr>
        <w:t xml:space="preserve">e) 零组件制造工艺容差；</w:t>
      </w:r>
    </w:p>
    <w:p>
      <w:pPr>
        <w:spacing w:before="0" w:after="0"/>
        <w:jc w:val="both"/>
      </w:pPr>
      <w:r>
        <w:rPr>
          <w:color w:val="000000"/>
          <w:sz w:val="28"/>
          <w:szCs w:val="28"/>
          <w:rFonts w:ascii="宋体" w:cs="宋体" w:eastAsia="宋体" w:hAnsi="宋体"/>
        </w:rPr>
        <w:t xml:space="preserve">f) 孔-轴-孔交点工艺容差；</w:t>
      </w:r>
    </w:p>
    <w:p>
      <w:pPr>
        <w:spacing w:before="0" w:after="0"/>
        <w:jc w:val="both"/>
      </w:pPr>
      <w:r>
        <w:rPr>
          <w:color w:val="000000"/>
          <w:sz w:val="28"/>
          <w:szCs w:val="28"/>
          <w:rFonts w:ascii="宋体" w:cs="宋体" w:eastAsia="宋体" w:hAnsi="宋体"/>
        </w:rPr>
        <w:t xml:space="preserve">g) 叉耳交点工艺容。</w:t>
      </w:r>
    </w:p>
    <w:p>
      <w:pPr>
        <w:spacing w:before="0" w:after="0"/>
        <w:jc w:val="both"/>
      </w:pPr>
      <w:r>
        <w:rPr>
          <w:color w:val="1b324f"/>
          <w:sz w:val="28"/>
          <w:szCs w:val="28"/>
          <w:rFonts w:ascii="黑体" w:cs="黑体" w:eastAsia="黑体" w:hAnsi="黑体"/>
        </w:rPr>
        <w:t xml:space="preserve">5.5  管理要求</w:t>
      </w:r>
    </w:p>
    <w:p>
      <w:pPr>
        <w:spacing w:before="0" w:after="0"/>
        <w:jc w:val="both"/>
      </w:pPr>
      <w:r>
        <w:rPr>
          <w:color w:val="000000"/>
          <w:sz w:val="28"/>
          <w:szCs w:val="28"/>
          <w:rFonts w:ascii="宋体" w:cs="宋体" w:eastAsia="宋体" w:hAnsi="宋体"/>
        </w:rPr>
        <w:t xml:space="preserve">a) 编写及编号要求按GLC231007；</w:t>
      </w:r>
    </w:p>
    <w:p>
      <w:pPr>
        <w:spacing w:before="0" w:after="0"/>
        <w:jc w:val="both"/>
      </w:pPr>
      <w:r>
        <w:rPr>
          <w:color w:val="000000"/>
          <w:sz w:val="28"/>
          <w:szCs w:val="28"/>
          <w:rFonts w:ascii="宋体" w:cs="宋体" w:eastAsia="宋体" w:hAnsi="宋体"/>
        </w:rPr>
        <w:t xml:space="preserve">b) 当项目涉及的产品较少时，容差分配方案可与制造总方案合并编制；</w:t>
      </w:r>
    </w:p>
    <w:p>
      <w:pPr>
        <w:spacing w:before="0" w:after="0"/>
        <w:jc w:val="both"/>
      </w:pPr>
      <w:r>
        <w:rPr>
          <w:color w:val="000000"/>
          <w:sz w:val="28"/>
          <w:szCs w:val="28"/>
          <w:rFonts w:ascii="宋体" w:cs="宋体" w:eastAsia="宋体" w:hAnsi="宋体"/>
        </w:rPr>
        <w:t xml:space="preserve">c) 当顾客有要求时，需将容差分配方案提交顾客审批。</w:t>
      </w:r>
    </w:p>
    <w:p>
      <w:pPr>
        <w:spacing w:before="0" w:after="0"/>
        <w:jc w:val="both"/>
      </w:pPr>
      <w:r>
        <w:rPr>
          <w:color w:val="1b324f"/>
          <w:sz w:val="28"/>
          <w:szCs w:val="28"/>
          <w:rFonts w:ascii="黑体" w:cs="黑体" w:eastAsia="黑体" w:hAnsi="黑体"/>
        </w:rPr>
        <w:t xml:space="preserve">5.6  审签要求</w:t>
      </w:r>
    </w:p>
    <w:p>
      <w:pPr>
        <w:spacing w:before="0" w:after="0"/>
        <w:jc w:val="both"/>
      </w:pPr>
      <w:r>
        <w:rPr>
          <w:color w:val="000000"/>
          <w:sz w:val="28"/>
          <w:szCs w:val="28"/>
          <w:rFonts w:ascii="宋体" w:cs="宋体" w:eastAsia="宋体" w:hAnsi="宋体"/>
        </w:rPr>
        <w:t xml:space="preserve">容差分配方案的审签要求如下：</w:t>
      </w:r>
    </w:p>
    <w:p>
      <w:pPr>
        <w:spacing w:before="0" w:after="0"/>
        <w:jc w:val="both"/>
      </w:pPr>
      <w:r>
        <w:rPr>
          <w:color w:val="000000"/>
          <w:sz w:val="28"/>
          <w:szCs w:val="28"/>
          <w:rFonts w:ascii="宋体" w:cs="宋体" w:eastAsia="宋体" w:hAnsi="宋体"/>
        </w:rPr>
        <w:t xml:space="preserve">a) 装配生产单位技术室工艺员编制；</w:t>
      </w:r>
    </w:p>
    <w:p>
      <w:pPr>
        <w:spacing w:before="0" w:after="0"/>
        <w:jc w:val="both"/>
      </w:pPr>
      <w:r>
        <w:rPr>
          <w:color w:val="000000"/>
          <w:sz w:val="28"/>
          <w:szCs w:val="28"/>
          <w:rFonts w:ascii="宋体" w:cs="宋体" w:eastAsia="宋体" w:hAnsi="宋体"/>
        </w:rPr>
        <w:t xml:space="preserve">b) 装配生产单位技术室主任校对；</w:t>
      </w:r>
    </w:p>
    <w:p>
      <w:pPr>
        <w:spacing w:before="0" w:after="0"/>
        <w:jc w:val="both"/>
      </w:pPr>
      <w:r>
        <w:rPr>
          <w:color w:val="000000"/>
          <w:sz w:val="28"/>
          <w:szCs w:val="28"/>
          <w:rFonts w:ascii="宋体" w:cs="宋体" w:eastAsia="宋体" w:hAnsi="宋体"/>
        </w:rPr>
        <w:t xml:space="preserve">c) 装配生产单位技术副厂长审核；</w:t>
      </w:r>
    </w:p>
    <w:p>
      <w:pPr>
        <w:spacing w:before="0" w:after="0"/>
        <w:jc w:val="both"/>
      </w:pPr>
      <w:r>
        <w:rPr>
          <w:color w:val="000000"/>
          <w:sz w:val="28"/>
          <w:szCs w:val="28"/>
          <w:rFonts w:ascii="宋体" w:cs="宋体" w:eastAsia="宋体" w:hAnsi="宋体"/>
        </w:rPr>
        <w:t xml:space="preserve">d) 装配生产单位兼职标准化员标审；</w:t>
      </w:r>
    </w:p>
    <w:p>
      <w:pPr>
        <w:spacing w:before="0" w:after="0"/>
        <w:jc w:val="both"/>
      </w:pPr>
      <w:r>
        <w:rPr>
          <w:color w:val="000000"/>
          <w:sz w:val="28"/>
          <w:szCs w:val="28"/>
          <w:rFonts w:ascii="宋体" w:cs="宋体" w:eastAsia="宋体" w:hAnsi="宋体"/>
        </w:rPr>
        <w:t xml:space="preserve">e) 技术办公室副总工艺师批准。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华文宋体" w:cs="华文宋体" w:eastAsia="华文宋体" w:hAnsi="华文宋体"/>
        </w:rPr>
        <w:t xml:space="preserve"> </w:t>
      </w:r>
    </w:p>
    <w:p>
      <w:pPr>
        <w:spacing w:before="0" w:after="0"/>
        <w:jc w:val="both"/>
      </w:pPr>
      <w:r>
        <w:rPr>
          <w:color w:val="000000"/>
          <w:sz w:val="28"/>
          <w:szCs w:val="28"/>
          <w:rFonts w:ascii="宋体" w:cs="宋体" w:eastAsia="宋体" w:hAnsi="宋体"/>
        </w:rPr>
        <w:t xml:space="preserve">容差分配方案的保存期限为长期。</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w:t>
      </w:r>
    </w:p>
    <w:p>
      <w:pPr>
        <w:spacing w:before="0" w:after="0"/>
        <w:jc w:val="center"/>
      </w:pPr>
      <w:r>
        <w:rPr>
          <w:color w:val="1b324f"/>
          <w:sz w:val="28"/>
          <w:szCs w:val="28"/>
          <w:rFonts w:ascii="宋体" w:cs="宋体" w:eastAsia="宋体" w:hAnsi="宋体"/>
        </w:rPr>
        <w:t xml:space="preserve">容差分配表推荐表</w:t>
      </w:r>
    </w:p>
    <w:p>
      <w:pPr>
        <w:spacing w:before="0" w:after="0"/>
        <w:jc w:val="left"/>
      </w:pPr>
      <w:r>
        <w:rPr>
          <w:color w:val="1b324f"/>
          <w:sz w:val="28"/>
          <w:szCs w:val="28"/>
          <w:rFonts w:ascii="宋体" w:cs="宋体" w:eastAsia="宋体" w:hAnsi="宋体"/>
        </w:rPr>
        <w:t xml:space="preserve">A.1 外缘</w:t>
      </w:r>
      <w:r>
        <w:rPr>
          <w:color w:val="1b324f"/>
          <w:sz w:val="28"/>
          <w:szCs w:val="28"/>
          <w:rFonts w:ascii="宋体" w:cs="宋体" w:eastAsia="宋体" w:hAnsi="宋体"/>
        </w:rPr>
        <w:t xml:space="preserve">工艺容差分配表推荐表</w:t>
      </w:r>
    </w:p>
    <w:p>
      <w:pPr>
        <w:spacing w:before="0" w:after="0" w:line="280" w:lineRule="exact"/>
        <w:jc w:val="left"/>
      </w:pPr>
      <w:r>
        <w:rPr>
          <w:color w:val="1b324f"/>
          <w:sz w:val="28"/>
          <w:szCs w:val="28"/>
          <w:rFonts w:ascii="宋体" w:cs="宋体" w:eastAsia="宋体" w:hAnsi="宋体"/>
        </w:rPr>
      </w:r>
    </w:p>
    <w:p>
      <w:pPr>
        <w:spacing w:before="0" w:after="0"/>
        <w:jc w:val="left"/>
      </w:pPr>
      <w:r>
        <w:drawing>
          <wp:inline distT="0" distB="0" distL="0" distR="0">
            <wp:extent cx="4579332" cy="18760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9332" cy="1876000"/>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1b324f"/>
          <w:sz w:val="28"/>
          <w:szCs w:val="28"/>
          <w:rFonts w:ascii="宋体" w:cs="宋体" w:eastAsia="宋体" w:hAnsi="宋体"/>
        </w:rPr>
        <w:t xml:space="preserve">A.2 孔-轴-孔交点工艺容差分配表推荐表</w:t>
      </w:r>
    </w:p>
    <w:p>
      <w:pPr>
        <w:spacing w:before="0" w:after="0" w:line="280" w:lineRule="exact"/>
        <w:jc w:val="left"/>
      </w:pPr>
      <w:r>
        <w:rPr>
          <w:color w:val="1b324f"/>
          <w:sz w:val="28"/>
          <w:szCs w:val="28"/>
          <w:rFonts w:ascii="宋体" w:cs="宋体" w:eastAsia="宋体" w:hAnsi="宋体"/>
        </w:rPr>
      </w:r>
    </w:p>
    <w:p>
      <w:pPr>
        <w:spacing w:before="0" w:after="0"/>
        <w:jc w:val="left"/>
      </w:pPr>
      <w:r>
        <w:drawing>
          <wp:inline distT="0" distB="0" distL="0" distR="0">
            <wp:extent cx="4394937" cy="142401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4937" cy="1424010"/>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1b324f"/>
          <w:sz w:val="28"/>
          <w:szCs w:val="28"/>
          <w:rFonts w:ascii="宋体" w:cs="宋体" w:eastAsia="宋体" w:hAnsi="宋体"/>
        </w:rPr>
        <w:t xml:space="preserve">A.3 叉耳交点工艺容差分配表推荐表</w:t>
      </w:r>
    </w:p>
    <w:p>
      <w:pPr>
        <w:spacing w:before="0" w:after="0" w:line="280" w:lineRule="exact"/>
        <w:jc w:val="left"/>
      </w:pPr>
      <w:r>
        <w:rPr>
          <w:color w:val="1b324f"/>
          <w:sz w:val="28"/>
          <w:szCs w:val="28"/>
          <w:rFonts w:ascii="宋体" w:cs="宋体" w:eastAsia="宋体" w:hAnsi="宋体"/>
        </w:rPr>
      </w:r>
    </w:p>
    <w:p>
      <w:pPr>
        <w:spacing w:before="0" w:after="0"/>
        <w:jc w:val="left"/>
      </w:pPr>
      <w:r>
        <w:drawing>
          <wp:inline distT="0" distB="0" distL="0" distR="0">
            <wp:extent cx="4606142" cy="196241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06142" cy="1962413"/>
                    </a:xfrm>
                    <a:prstGeom prst="rect">
                      <a:avLst/>
                    </a:prstGeom>
                  </pic:spPr>
                </pic:pic>
              </a:graphicData>
            </a:graphic>
          </wp:inline>
        </w:drawing>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3</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lhjb85ngk_py8e6pinfvr.png"/><Relationship Id="rId23" Type="http://schemas.openxmlformats.org/officeDocument/2006/relationships/image" Target="media/dikbcsji3r1w4kl6ba7_s.png"/><Relationship Id="rId24" Type="http://schemas.openxmlformats.org/officeDocument/2006/relationships/image" Target="media/lnhlnkzss9e_ecn4fnrg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2026-06-10T08:49:02.496Z</dcterms:created>
  <dcterms:modified xsi:type="dcterms:W3CDTF">2026-06-10T08:49:02.496Z</dcterms:modified>
</cp:coreProperties>
</file>

<file path=docProps/custom.xml><?xml version="1.0" encoding="utf-8"?>
<Properties xmlns="http://schemas.openxmlformats.org/officeDocument/2006/custom-properties" xmlns:vt="http://schemas.openxmlformats.org/officeDocument/2006/docPropsVTypes"/>
</file>