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本制度由科技创新部提出。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零件制造方案制定</w:t>
      </w:r>
      <w:r>
        <w:rPr>
          <w:color w:val="1b324f"/>
          <w:sz w:val="28"/>
          <w:szCs w:val="28"/>
          <w:rFonts w:ascii="黑体" w:cs="黑体" w:eastAsia="黑体" w:hAnsi="黑体"/>
        </w:rPr>
        <w:t xml:space="preserve">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本文规定了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针对特定零件的生产制造过程，通过系统规划和科学设计，制定出一套涵盖加工工艺、生产流程、资源配置、质量控制等方面的详细执行方案。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本文件适用于公司各项目零件制造方案的编制和管理。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本文件依据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GLG1404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的要求制定。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GLG1404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工艺策划管理规则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GLC231007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 技术文件的管理要求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 质量记录管理程序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5.1 科技创新部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科技创新部技术办公室负责组织零件生产车间编制零件制造方案，负责审批零件制造方案。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5.2 零件生产单位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零件生产单位技术室负责零件制造方案的编制和更改，校对和审核。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 合规管理要求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 风险管理要求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 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6.3.1  适用范围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零件生产单位初次承接工艺难度大、易造成重大经济损失的产品或顾客有要求时，零件制造方案编制人员选取典型件编制零件制造方案。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6.3.2 编制依据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零件制造方案的编制依据一般包括以下内容：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a)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制造总方案；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b)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工程图样及技术文件；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c)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交付状态要求文件；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 编制的主要内容及要求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零件制造方案一般应包括下列内容，可根据项目或产品特点及客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户要求相应增删：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6.3.3.1</w:t>
      </w: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介绍项目零件信息，包括机型、加工类型、原材料状态、结构特点、尺寸及精度、关键或重要特性、特殊过程和特种检测等设计要求、投产批量等信息。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6.3.3.2 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依据项目研制要求、产量及技术发展需求，按需规划生产线，明确生产线布局总体原则和技术要求。生产线的规划应能够满足合同规定的最高交付速率的要求，各工位的工作量应尽量平衡，工作节拍大致相等或互为倍数，有利于按节拍生产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6.3.3.3</w:t>
      </w: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根据工程、技术文件及顾客要求等资料科学规划产品工艺流程，合理设计工艺路线。充分考虑零件特性，确定原材料用量，选择适合的加工设备、定位基准，合理安排工序，针对加工难点制定相应措施。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6.3.3.4</w:t>
      </w: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应符合精益制造的原则，尽量选择通用工装、工具、量具等。确需专用工装、工具、量具等装备或器具的，依据产品结构、工艺特点，并结合本单位现有技术能力申请。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6.3.3.5</w:t>
      </w: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根据工艺方案和本单位生产实际，客观、科学估算工时，合理评估工艺准备周期（包含生产线准备、工艺文件编制等工作）和加工周期，为评估产能、测算成本提供基础数据。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6.3.3.6 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明确检验依据，如图纸、规范、交付状态及顾客要求等文件或信息，充分识别检测要素，选择合适的检测方法和检验介质。关注关键或重要尺寸、特性的检测。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6.3.3.7 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按需（如顾客要求等）在零件制造方案中加入风险管理的相关内容。充分识别潜在技术、质量、进度、经费风险，并对风险进行评价和分析，确定应对措施。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6.3.4</w:t>
      </w: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零件制造方案发放前，应进行工艺评审，并依据评审意见完善。零件制造方案更改时应根据改动量、重要性，由审核人确定是否需重新进行工艺评审。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6.3.5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零件制造方案的编写、编号、版次管理和更改要求按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GLC231007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6.3.6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当顾客有要求时，需将零件制造方案提交顾客审批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零件制造方案制定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7.1.1 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零件制造方案制定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流程图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drawing>
          <wp:inline distT="0" distB="0" distL="0" distR="0">
            <wp:extent cx="4212549" cy="8315325"/>
            <wp:effectExtent b="0" l="0" r="0" t="0"/>
            <wp:docPr id="1" name="CfgDocProcElem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549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7.1.2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零件制造方案制定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（1）编制零件制造方案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造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根据制造总方案、工程图样、工艺规范等文件编制零件制造方案。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技术文件编制人员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技术室工艺员</w:t>
            </w:r>
          </w:p>
        </w:tc>
      </w:tr>
      <w:tr>
        <w:trPr>
          <w:tblHeader w:val="false"/>
          <w:trHeight w:val="21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交付文件,工艺规范,工程图样,制造总方案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零件制造方案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（2）校对零件制造方案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造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校对零件制造方案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技术文件校对人员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技术室主任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零件制造方案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零件制造方案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（3）审核零件制造方案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核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造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审核零件制造方案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技术文件审核人员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零件制造中心技术副主任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零件制造方案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零件制造方案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（4）批准零件制造方案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准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造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批准零件制造方案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技术文件批准人员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技术办公室副总工艺师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零件制造方案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零件制造方案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6780"/>
      </w:tblGrid>
      <w:tr>
        <w:trPr>
          <w:tblHeader w:val="false"/>
          <w:trHeight w:val="63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华文宋体" w:cs="华文宋体" w:eastAsia="华文宋体" w:hAnsi="华文宋体"/>
              </w:rPr>
              <w:t xml:space="preserve">角色名称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华文宋体" w:cs="华文宋体" w:eastAsia="华文宋体" w:hAnsi="华文宋体"/>
              </w:rPr>
              <w:t xml:space="preserve">职责</w:t>
            </w:r>
          </w:p>
        </w:tc>
      </w:tr>
      <w:tr>
        <w:trPr>
          <w:tblHeader w:val="false"/>
          <w:trHeight w:val="156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零件生产单位技术室工艺员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编制零件制造方案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零件生产单位技术室主任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校对零件制造方案</w:t>
            </w:r>
          </w:p>
        </w:tc>
      </w:tr>
      <w:tr>
        <w:trPr>
          <w:tblHeader w:val="false"/>
          <w:trHeight w:val="156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零件生产单位技术副厂长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审核零件制造方案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技术办公室副总工艺师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批准零件制造方案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相关记录的填写和维护按程序文件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要求执行。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28"/>
      <w:footerReference w:type="default" r:id="rId29"/>
      <w:pgSz w:w="11906" w:h="16838" w:orient="portrait"/>
      <w:pgMar w:top="1440" w:right="1802" w:bottom="1440" w:left="1802" w:header="708" w:footer="708" w:gutter="0"/>
      <w:pgNumType w:start="12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image" Target="media/kg8iqxzbngypcv7ya5nt3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2026-06-10T08:49:59.734Z</dcterms:created>
  <dcterms:modified xsi:type="dcterms:W3CDTF">2026-06-10T08:49:59.734Z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