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华文黑体" w:cs="华文黑体" w:eastAsia="华文黑体" w:hAnsi="华文黑体"/>
        </w:rPr>
        <w:t xml:space="preserve">前   言</w:t>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本制度由科技创新部提出。</w:t>
      </w:r>
    </w:p>
    <w:p>
      <w:pPr>
        <w:spacing w:before="0" w:after="0"/>
        <w:jc w:val="both"/>
      </w:pPr>
      <w:r>
        <w:rPr>
          <w:color w:val="121212"/>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PFMEA的使用</w:t>
      </w:r>
      <w:r>
        <w:rPr>
          <w:sz w:val="28"/>
          <w:szCs w:val="28"/>
          <w:rFonts w:ascii="宋体" w:cs="宋体" w:eastAsia="宋体" w:hAnsi="宋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本管理程序规定了使用PFMEA进行风险分析的要求。</w:t>
      </w:r>
    </w:p>
    <w:p>
      <w:pPr>
        <w:spacing w:before="0" w:after="0"/>
        <w:jc w:val="both"/>
      </w:pPr>
      <w:r>
        <w:rPr>
          <w:color w:val="000000"/>
          <w:sz w:val="28"/>
          <w:szCs w:val="28"/>
          <w:rFonts w:ascii="宋体" w:cs="宋体" w:eastAsia="宋体" w:hAnsi="宋体"/>
        </w:rPr>
        <w:t xml:space="preserve">本管理程序适用于民机生产。</w:t>
      </w:r>
    </w:p>
    <w:p>
      <w:pPr>
        <w:spacing w:before="0" w:after="0"/>
        <w:jc w:val="both"/>
      </w:pPr>
      <w:r>
        <w:rPr>
          <w:color w:val="000000"/>
          <w:sz w:val="28"/>
          <w:szCs w:val="28"/>
          <w:rFonts w:ascii="宋体" w:cs="宋体" w:eastAsia="宋体" w:hAnsi="宋体"/>
        </w:rPr>
        <w:t xml:space="preserve">本管理程序依据GLG1404和AS 13004的要求编制。</w:t>
      </w:r>
    </w:p>
    <w:p>
      <w:pPr>
        <w:spacing w:before="0" w:after="0" w:line="280" w:lineRule="exact"/>
      </w:pPr>
      <w:r>
        <w:rPr>
          <w:color w:val="121212"/>
          <w:sz w:val="28"/>
          <w:szCs w:val="28"/>
          <w:rFonts w:ascii="宋体" w:cs="宋体" w:eastAsia="宋体" w:hAnsi="宋体"/>
        </w:rPr>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r>
      <w:r>
        <w:rPr>
          <w:color w:val="121212"/>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AS 13004  过程失效模式和影响分析（PFMEA）和控制计划</w:t>
      </w:r>
    </w:p>
    <w:p>
      <w:pPr>
        <w:spacing w:before="0" w:after="0"/>
        <w:jc w:val="both"/>
      </w:pPr>
      <w:r>
        <w:rPr>
          <w:sz w:val="28"/>
          <w:szCs w:val="28"/>
          <w:rFonts w:ascii="宋体" w:cs="宋体" w:eastAsia="宋体" w:hAnsi="宋体"/>
        </w:rPr>
        <w:t xml:space="preserve">GLG1404  制造工艺策划管理规则</w:t>
      </w:r>
    </w:p>
    <w:p>
      <w:pPr>
        <w:spacing w:before="0" w:after="0" w:line="280" w:lineRule="exact"/>
      </w:pPr>
      <w:r>
        <w:rPr>
          <w:color w:val="121212"/>
          <w:sz w:val="28"/>
          <w:szCs w:val="28"/>
          <w:rFonts w:ascii="华文黑体" w:cs="华文黑体" w:eastAsia="华文黑体" w:hAnsi="华文黑体"/>
        </w:rPr>
      </w:r>
    </w:p>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FM1404-08  PFMEA风险管理记录表</w:t>
      </w:r>
    </w:p>
    <w:p>
      <w:pPr>
        <w:spacing w:before="0" w:after="0"/>
        <w:jc w:val="both"/>
      </w:pPr>
      <w:r>
        <w:rPr>
          <w:color w:val="121212"/>
          <w:sz w:val="28"/>
          <w:szCs w:val="28"/>
          <w:rFonts w:ascii="黑体" w:cs="黑体" w:eastAsia="黑体" w:hAnsi="黑体"/>
        </w:rPr>
        <w:t xml:space="preserve">3.2引用表格</w:t>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4.1  失效模式和影响分析</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失效模式与影响分析英文全称为Failure Mode and Effects Analysis，简称FMEA，是</w:t>
      </w:r>
      <w:r>
        <w:rPr>
          <w:color w:val="121212"/>
          <w:sz w:val="28"/>
          <w:szCs w:val="28"/>
          <w:rFonts w:ascii="宋体" w:cs="宋体" w:eastAsia="宋体" w:hAnsi="宋体"/>
        </w:rPr>
        <w:t xml:space="preserve">一种用来确定潜在失效模式及其原因的分析方法。具体来说，通过实行FMEA</w:t>
      </w:r>
      <w:r>
        <w:rPr>
          <w:color w:val="000000"/>
          <w:sz w:val="28"/>
          <w:szCs w:val="28"/>
          <w:rFonts w:ascii="宋体" w:cs="宋体" w:eastAsia="宋体" w:hAnsi="宋体"/>
        </w:rPr>
        <w:t xml:space="preserve">，可在产品设计、制造或管理过程真正实现之前发现产品和过程的弱项，及早规避风险。</w:t>
      </w:r>
    </w:p>
    <w:p>
      <w:pPr>
        <w:spacing w:before="0" w:after="0"/>
        <w:jc w:val="both"/>
      </w:pPr>
      <w:r>
        <w:rPr>
          <w:color w:val="121212"/>
          <w:sz w:val="28"/>
          <w:szCs w:val="28"/>
          <w:rFonts w:ascii="黑体" w:cs="黑体" w:eastAsia="黑体" w:hAnsi="黑体"/>
        </w:rPr>
        <w:t xml:space="preserve">4.2  过程失效模式和影响分析</w:t>
      </w:r>
      <w:r>
        <w:rPr>
          <w:color w:val="121212"/>
          <w:sz w:val="28"/>
          <w:szCs w:val="28"/>
          <w:rFonts w:ascii="华文黑体" w:cs="华文黑体" w:eastAsia="华文黑体" w:hAnsi="华文黑体"/>
        </w:rPr>
        <w:t xml:space="preserve"> </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用于分析制造和装配过程，关注过程由于设计和操作造成的和功能相关的潜在失效模式。</w:t>
      </w:r>
    </w:p>
    <w:p>
      <w:pPr>
        <w:spacing w:before="0" w:after="0"/>
        <w:jc w:val="both"/>
      </w:pPr>
      <w:r>
        <w:rPr>
          <w:color w:val="121212"/>
          <w:sz w:val="28"/>
          <w:szCs w:val="28"/>
          <w:rFonts w:ascii="黑体" w:cs="黑体" w:eastAsia="黑体" w:hAnsi="黑体"/>
        </w:rPr>
        <w:t xml:space="preserve">4.3  严重度</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严重度是失效模式影响结果的指数，应采用严重度打分表来评估每个失效影响的严重程度。</w:t>
      </w:r>
    </w:p>
    <w:p>
      <w:pPr>
        <w:spacing w:before="0" w:after="0"/>
        <w:jc w:val="both"/>
      </w:pPr>
      <w:r>
        <w:rPr>
          <w:color w:val="121212"/>
          <w:sz w:val="28"/>
          <w:szCs w:val="28"/>
          <w:rFonts w:ascii="黑体" w:cs="黑体" w:eastAsia="黑体" w:hAnsi="黑体"/>
        </w:rPr>
        <w:t xml:space="preserve">4.4  发生度</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发生频度是和特定的原因相关的一个发生的概率指数，这是一个相对的含义而不是一个绝对的数值，应采用统一的标准确保持续性和可比性。</w:t>
      </w:r>
    </w:p>
    <w:p>
      <w:pPr>
        <w:spacing w:before="0" w:after="0"/>
        <w:jc w:val="both"/>
      </w:pPr>
      <w:r>
        <w:rPr>
          <w:color w:val="121212"/>
          <w:sz w:val="28"/>
          <w:szCs w:val="28"/>
          <w:rFonts w:ascii="黑体" w:cs="黑体" w:eastAsia="黑体" w:hAnsi="黑体"/>
        </w:rPr>
        <w:t xml:space="preserve">4.5  探测度</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探测度是在控制列里面和探测控制相关的指数。如果有多个控制方法，建议每个探测控制都给出相关探测度并排序。</w:t>
      </w:r>
    </w:p>
    <w:p>
      <w:pPr>
        <w:spacing w:before="0" w:after="0"/>
        <w:jc w:val="both"/>
      </w:pPr>
      <w:r>
        <w:rPr>
          <w:color w:val="121212"/>
          <w:sz w:val="28"/>
          <w:szCs w:val="28"/>
          <w:rFonts w:ascii="黑体" w:cs="黑体" w:eastAsia="黑体" w:hAnsi="黑体"/>
        </w:rPr>
        <w:t xml:space="preserve">4.6  潜在失效模式的风险顺序数</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RPN用于和特定失效模式相关的排序，因而采取相应的应对措施来降低RPN。风险顺序数RPN的计算方法如下：</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RPN=严重度S×发生度O×探测度D</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w:t>
      </w:r>
      <w:r>
        <w:rPr>
          <w:color w:val="1b324f"/>
          <w:sz w:val="28"/>
          <w:szCs w:val="28"/>
          <w:rFonts w:ascii="宋体" w:cs="宋体" w:eastAsia="宋体" w:hAnsi="宋体"/>
        </w:rPr>
        <w:t xml:space="preserve">生产单位技术室负责绘制过程流程图，组建PFMEA小组进行过程失</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效模式和影响分析，编制生产过程控制计划。</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6.1  合规管理要求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6.2  风险管理要求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6.3 管理要求</w:t>
      </w:r>
    </w:p>
    <w:p>
      <w:pPr>
        <w:spacing w:before="0" w:after="0"/>
        <w:jc w:val="both"/>
      </w:pPr>
      <w:r>
        <w:rPr>
          <w:color w:val="121212"/>
          <w:sz w:val="28"/>
          <w:szCs w:val="28"/>
          <w:rFonts w:ascii="黑体" w:cs="黑体" w:eastAsia="黑体" w:hAnsi="黑体"/>
        </w:rPr>
        <w:t xml:space="preserve">6.3.1  </w:t>
      </w:r>
      <w:r>
        <w:rPr>
          <w:color w:val="000000"/>
          <w:sz w:val="28"/>
          <w:szCs w:val="28"/>
          <w:rFonts w:ascii="宋体" w:cs="宋体" w:eastAsia="宋体" w:hAnsi="宋体"/>
        </w:rPr>
        <w:t xml:space="preserve">组建PFMEA小组，由PFMEA小组进行过程失效模式和影响分析。PFMEA小组通常由生产单位的技术负责人任小组组长，由技术办公室主管技术人员任副组长。PFMEA小组的核心成员一般包括工艺员、设计员、质量控制人员及制造工人，必要时可拓展采购人员、物流人员、维保人员、供应商和客户加入小组。</w:t>
      </w:r>
    </w:p>
    <w:p>
      <w:pPr>
        <w:spacing w:before="0" w:after="0"/>
        <w:jc w:val="both"/>
      </w:pPr>
      <w:r>
        <w:rPr>
          <w:color w:val="121212"/>
          <w:sz w:val="28"/>
          <w:szCs w:val="28"/>
          <w:rFonts w:ascii="黑体" w:cs="黑体" w:eastAsia="黑体" w:hAnsi="黑体"/>
        </w:rPr>
        <w:t xml:space="preserve">6.3.2 </w:t>
      </w:r>
      <w:r>
        <w:rPr>
          <w:color w:val="000000"/>
          <w:sz w:val="28"/>
          <w:szCs w:val="28"/>
          <w:rFonts w:ascii="华文黑体" w:cs="华文黑体" w:eastAsia="华文黑体" w:hAnsi="华文黑体"/>
        </w:rPr>
        <w:t xml:space="preserve"> </w:t>
      </w:r>
      <w:r>
        <w:rPr>
          <w:color w:val="000000"/>
          <w:sz w:val="28"/>
          <w:szCs w:val="28"/>
          <w:rFonts w:ascii="宋体" w:cs="宋体" w:eastAsia="宋体" w:hAnsi="宋体"/>
        </w:rPr>
        <w:t xml:space="preserve">PFMEA的目的是提高产品和过程的安全性以及质量可靠性，提高顾客满意度，缩短制造周期，降低成本，记录并跟踪采取的措施以降低风险。</w:t>
      </w:r>
    </w:p>
    <w:p>
      <w:pPr>
        <w:spacing w:before="0" w:after="0"/>
        <w:jc w:val="both"/>
      </w:pPr>
      <w:r>
        <w:rPr>
          <w:color w:val="121212"/>
          <w:sz w:val="28"/>
          <w:szCs w:val="28"/>
          <w:rFonts w:ascii="黑体" w:cs="黑体" w:eastAsia="黑体" w:hAnsi="黑体"/>
        </w:rPr>
        <w:t xml:space="preserve">6.3.3  </w:t>
      </w:r>
      <w:r>
        <w:rPr>
          <w:color w:val="000000"/>
          <w:sz w:val="28"/>
          <w:szCs w:val="28"/>
          <w:rFonts w:ascii="宋体" w:cs="宋体" w:eastAsia="宋体" w:hAnsi="宋体"/>
        </w:rPr>
        <w:t xml:space="preserve">PFMEA适用于以下场合：新设计、新技术、新过程的应用；现有设计和过程的更改；制造过程转移到新的地点等。</w:t>
      </w:r>
    </w:p>
    <w:p>
      <w:pPr>
        <w:spacing w:before="0" w:after="0"/>
        <w:jc w:val="both"/>
      </w:pPr>
      <w:r>
        <w:rPr>
          <w:color w:val="121212"/>
          <w:sz w:val="28"/>
          <w:szCs w:val="28"/>
          <w:rFonts w:ascii="黑体" w:cs="黑体" w:eastAsia="黑体" w:hAnsi="黑体"/>
        </w:rPr>
        <w:t xml:space="preserve">6.3.4 </w:t>
      </w:r>
      <w:r>
        <w:rPr>
          <w:color w:val="000000"/>
          <w:sz w:val="28"/>
          <w:szCs w:val="28"/>
          <w:rFonts w:ascii="华文黑体" w:cs="华文黑体" w:eastAsia="华文黑体" w:hAnsi="华文黑体"/>
        </w:rPr>
        <w:t xml:space="preserve"> </w:t>
      </w:r>
      <w:r>
        <w:rPr>
          <w:color w:val="000000"/>
          <w:sz w:val="28"/>
          <w:szCs w:val="28"/>
          <w:rFonts w:ascii="宋体" w:cs="宋体" w:eastAsia="宋体" w:hAnsi="宋体"/>
        </w:rPr>
        <w:t xml:space="preserve">PFMEA可基于零件族或典型装配过程开展。</w:t>
      </w:r>
    </w:p>
    <w:p>
      <w:pPr>
        <w:spacing w:before="0" w:after="0"/>
        <w:jc w:val="both"/>
      </w:pPr>
      <w:r>
        <w:rPr>
          <w:color w:val="121212"/>
          <w:sz w:val="28"/>
          <w:szCs w:val="28"/>
          <w:rFonts w:ascii="黑体" w:cs="黑体" w:eastAsia="黑体" w:hAnsi="黑体"/>
        </w:rPr>
        <w:t xml:space="preserve">6.3.5 PFMEA的输入</w:t>
      </w:r>
    </w:p>
    <w:p>
      <w:pPr>
        <w:spacing w:before="0" w:after="0"/>
        <w:jc w:val="both"/>
      </w:pPr>
      <w:r>
        <w:rPr>
          <w:color w:val="000000"/>
          <w:sz w:val="28"/>
          <w:szCs w:val="28"/>
          <w:rFonts w:ascii="宋体" w:cs="宋体" w:eastAsia="宋体" w:hAnsi="宋体"/>
        </w:rPr>
        <w:t xml:space="preserve">PFMEA的输入一般包括以下内容：</w:t>
      </w:r>
    </w:p>
    <w:p>
      <w:pPr>
        <w:spacing w:before="0" w:after="0"/>
        <w:jc w:val="both"/>
      </w:pPr>
      <w:r>
        <w:rPr>
          <w:color w:val="000000"/>
          <w:sz w:val="28"/>
          <w:szCs w:val="28"/>
          <w:rFonts w:ascii="宋体" w:cs="宋体" w:eastAsia="宋体" w:hAnsi="宋体"/>
        </w:rPr>
        <w:t xml:space="preserve">a) 制造流程图；</w:t>
      </w:r>
    </w:p>
    <w:p>
      <w:pPr>
        <w:spacing w:before="0" w:after="0"/>
        <w:jc w:val="both"/>
      </w:pPr>
      <w:r>
        <w:rPr>
          <w:color w:val="000000"/>
          <w:sz w:val="28"/>
          <w:szCs w:val="28"/>
          <w:rFonts w:ascii="宋体" w:cs="宋体" w:eastAsia="宋体" w:hAnsi="宋体"/>
        </w:rPr>
        <w:t xml:space="preserve">b) 识别每个操作中的所有步骤：从单个零件制造到装配的所有生产操作都应考虑，应包含工厂内所有可能影响制造和装配作业的过程，如：包装、搬运、储存、标识等；</w:t>
      </w:r>
    </w:p>
    <w:p>
      <w:pPr>
        <w:spacing w:before="0" w:after="0"/>
        <w:jc w:val="both"/>
      </w:pPr>
      <w:r>
        <w:rPr>
          <w:color w:val="000000"/>
          <w:sz w:val="28"/>
          <w:szCs w:val="28"/>
          <w:rFonts w:ascii="宋体" w:cs="宋体" w:eastAsia="宋体" w:hAnsi="宋体"/>
        </w:rPr>
        <w:t xml:space="preserve">c) 类似产品和过程的不合格数据，包括经验教训；</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d) 设计风险分析（如DFMEA）；</w:t>
      </w:r>
    </w:p>
    <w:p>
      <w:pPr>
        <w:spacing w:before="0" w:after="0"/>
        <w:jc w:val="both"/>
      </w:pPr>
      <w:r>
        <w:rPr>
          <w:color w:val="000000"/>
          <w:sz w:val="28"/>
          <w:szCs w:val="28"/>
          <w:rFonts w:ascii="宋体" w:cs="宋体" w:eastAsia="宋体" w:hAnsi="宋体"/>
        </w:rPr>
        <w:t xml:space="preserve">e) 类似产品和过程的现有PFMEA；</w:t>
      </w:r>
    </w:p>
    <w:p>
      <w:pPr>
        <w:spacing w:before="0" w:after="0"/>
        <w:jc w:val="both"/>
      </w:pPr>
      <w:r>
        <w:rPr>
          <w:color w:val="000000"/>
          <w:sz w:val="28"/>
          <w:szCs w:val="28"/>
          <w:rFonts w:ascii="宋体" w:cs="宋体" w:eastAsia="宋体" w:hAnsi="宋体"/>
        </w:rPr>
        <w:t xml:space="preserve">f) 产品KC；</w:t>
      </w:r>
    </w:p>
    <w:p>
      <w:pPr>
        <w:spacing w:before="0" w:after="0"/>
        <w:jc w:val="both"/>
      </w:pPr>
      <w:r>
        <w:rPr>
          <w:color w:val="000000"/>
          <w:sz w:val="28"/>
          <w:szCs w:val="28"/>
          <w:rFonts w:ascii="宋体" w:cs="宋体" w:eastAsia="宋体" w:hAnsi="宋体"/>
        </w:rPr>
        <w:t xml:space="preserve">g) 过程KC；</w:t>
      </w:r>
    </w:p>
    <w:p>
      <w:pPr>
        <w:spacing w:before="0" w:after="0"/>
        <w:jc w:val="both"/>
      </w:pPr>
      <w:r>
        <w:rPr>
          <w:color w:val="000000"/>
          <w:sz w:val="28"/>
          <w:szCs w:val="28"/>
          <w:rFonts w:ascii="宋体" w:cs="宋体" w:eastAsia="宋体" w:hAnsi="宋体"/>
        </w:rPr>
        <w:t xml:space="preserve">h) 类似过程的控制计划。</w:t>
      </w:r>
    </w:p>
    <w:p>
      <w:pPr>
        <w:spacing w:before="0" w:after="0"/>
        <w:jc w:val="both"/>
      </w:pPr>
      <w:r>
        <w:rPr>
          <w:color w:val="121212"/>
          <w:sz w:val="28"/>
          <w:szCs w:val="28"/>
          <w:rFonts w:ascii="黑体" w:cs="黑体" w:eastAsia="黑体" w:hAnsi="黑体"/>
        </w:rPr>
        <w:t xml:space="preserve">6.3.6  PFMEA的主要过程</w:t>
      </w:r>
    </w:p>
    <w:p>
      <w:pPr>
        <w:spacing w:before="0" w:after="0"/>
        <w:jc w:val="both"/>
      </w:pPr>
      <w:r>
        <w:rPr>
          <w:color w:val="000000"/>
          <w:sz w:val="28"/>
          <w:szCs w:val="28"/>
          <w:rFonts w:ascii="宋体" w:cs="宋体" w:eastAsia="宋体" w:hAnsi="宋体"/>
        </w:rPr>
        <w:t xml:space="preserve">PFMEA实施主要有四个过程，五个步骤。四个过程分别为风险评估、风险应对、风险监控以及风险沟通。其中风险评估包含三个子过程，分别为风险识别、风险分析和风险评价。五个步骤分别为风险识别、风险分析、风险评价、风险应对和风险监控，具体流程见图1。</w:t>
      </w:r>
    </w:p>
    <w:p>
      <w:pPr>
        <w:spacing w:before="0" w:after="0"/>
        <w:jc w:val="both"/>
      </w:pPr>
      <w:r>
        <w:rPr>
          <w:color w:val="121212"/>
          <w:sz w:val="28"/>
          <w:szCs w:val="28"/>
          <w:rFonts w:ascii="黑体" w:cs="黑体" w:eastAsia="黑体" w:hAnsi="黑体"/>
        </w:rPr>
        <w:t xml:space="preserve">6.3.6.1  风险识别</w:t>
      </w:r>
    </w:p>
    <w:p>
      <w:pPr>
        <w:spacing w:before="0" w:after="0"/>
        <w:jc w:val="both"/>
      </w:pPr>
      <w:r>
        <w:rPr>
          <w:color w:val="000000"/>
          <w:sz w:val="28"/>
          <w:szCs w:val="28"/>
          <w:rFonts w:ascii="宋体" w:cs="宋体" w:eastAsia="宋体" w:hAnsi="宋体"/>
        </w:rPr>
        <w:t xml:space="preserve">风险识别是PFMEA的第一步，应首先针对每一项风险源确定风险事件，定义风险后果，针对风险事件查找风险原因。风险识别的一般要求包括：</w:t>
      </w:r>
    </w:p>
    <w:p>
      <w:pPr>
        <w:spacing w:before="0" w:after="0"/>
        <w:jc w:val="both"/>
      </w:pPr>
      <w:r>
        <w:rPr>
          <w:color w:val="000000"/>
          <w:sz w:val="28"/>
          <w:szCs w:val="28"/>
          <w:rFonts w:ascii="宋体" w:cs="宋体" w:eastAsia="宋体" w:hAnsi="宋体"/>
        </w:rPr>
        <w:t xml:space="preserve">a) 风险源是具体事物，是指能够带来风险的人、物或者事件。</w:t>
      </w:r>
    </w:p>
    <w:p>
      <w:pPr>
        <w:spacing w:before="0" w:after="0"/>
        <w:jc w:val="both"/>
      </w:pPr>
      <w:r>
        <w:rPr>
          <w:color w:val="000000"/>
          <w:sz w:val="28"/>
          <w:szCs w:val="28"/>
          <w:rFonts w:ascii="宋体" w:cs="宋体" w:eastAsia="宋体" w:hAnsi="宋体"/>
        </w:rPr>
        <w:t xml:space="preserve">b) </w:t>
      </w:r>
      <w:r>
        <w:rPr>
          <w:u w:val="single"/>
          <w:color w:val="0000FF"/>
          <w:sz w:val="28"/>
          <w:szCs w:val="28"/>
          <w:rFonts w:ascii="宋体" w:cs="宋体" w:eastAsia="宋体" w:hAnsi="宋体"/>
        </w:rPr>
        <w:t xml:space="preserve">风险事件</w:t>
      </w:r>
      <w:r>
        <w:rPr>
          <w:color w:val="000000"/>
          <w:sz w:val="28"/>
          <w:szCs w:val="28"/>
          <w:rFonts w:ascii="宋体" w:cs="宋体" w:eastAsia="宋体" w:hAnsi="宋体"/>
        </w:rPr>
        <w:t xml:space="preserve">也称</w:t>
      </w:r>
      <w:r>
        <w:rPr>
          <w:u w:val="single"/>
          <w:color w:val="0000FF"/>
          <w:sz w:val="28"/>
          <w:szCs w:val="28"/>
          <w:rFonts w:ascii="宋体" w:cs="宋体" w:eastAsia="宋体" w:hAnsi="宋体"/>
        </w:rPr>
        <w:t xml:space="preserve">风险事故</w:t>
      </w:r>
      <w:r>
        <w:rPr>
          <w:color w:val="000000"/>
          <w:sz w:val="28"/>
          <w:szCs w:val="28"/>
          <w:rFonts w:ascii="宋体" w:cs="宋体" w:eastAsia="宋体" w:hAnsi="宋体"/>
        </w:rPr>
        <w:t xml:space="preserve">，是指酿成事故和损失的条件。风险一般只是一种潜在的危险，而</w:t>
      </w:r>
      <w:r>
        <w:rPr>
          <w:u w:val="single"/>
          <w:color w:val="0000FF"/>
          <w:sz w:val="28"/>
          <w:szCs w:val="28"/>
          <w:rFonts w:ascii="宋体" w:cs="宋体" w:eastAsia="宋体" w:hAnsi="宋体"/>
        </w:rPr>
        <w:t xml:space="preserve">风险事件</w:t>
      </w:r>
      <w:r>
        <w:rPr>
          <w:color w:val="000000"/>
          <w:sz w:val="28"/>
          <w:szCs w:val="28"/>
          <w:rFonts w:ascii="宋体" w:cs="宋体" w:eastAsia="宋体" w:hAnsi="宋体"/>
        </w:rPr>
        <w:t xml:space="preserve">的发生使潜在的危险转化成为现实的损失。从这个意义上来说</w:t>
      </w:r>
      <w:r>
        <w:rPr>
          <w:u w:val="single"/>
          <w:color w:val="0000FF"/>
          <w:sz w:val="28"/>
          <w:szCs w:val="28"/>
          <w:rFonts w:ascii="宋体" w:cs="宋体" w:eastAsia="宋体" w:hAnsi="宋体"/>
        </w:rPr>
        <w:t xml:space="preserve">风险事件</w:t>
      </w:r>
      <w:r>
        <w:rPr>
          <w:color w:val="000000"/>
          <w:sz w:val="28"/>
          <w:szCs w:val="28"/>
          <w:rFonts w:ascii="宋体" w:cs="宋体" w:eastAsia="宋体" w:hAnsi="宋体"/>
        </w:rPr>
        <w:t xml:space="preserve">是损失的媒介。</w:t>
      </w:r>
    </w:p>
    <w:p>
      <w:pPr>
        <w:spacing w:before="0" w:after="0"/>
        <w:jc w:val="both"/>
      </w:pPr>
      <w:r>
        <w:rPr>
          <w:color w:val="000000"/>
          <w:sz w:val="28"/>
          <w:szCs w:val="28"/>
          <w:rFonts w:ascii="宋体" w:cs="宋体" w:eastAsia="宋体" w:hAnsi="宋体"/>
        </w:rPr>
        <w:t xml:space="preserve">c) 风险后果用以描述风险事件对客户的影响。</w:t>
      </w:r>
    </w:p>
    <w:p>
      <w:pPr>
        <w:spacing w:before="0" w:after="0"/>
        <w:jc w:val="both"/>
      </w:pPr>
      <w:r>
        <w:rPr>
          <w:color w:val="000000"/>
          <w:sz w:val="28"/>
          <w:szCs w:val="28"/>
          <w:rFonts w:ascii="宋体" w:cs="宋体" w:eastAsia="宋体" w:hAnsi="宋体"/>
        </w:rPr>
        <w:t xml:space="preserve">d) 风险原因是定义风险事件是如何发生的。一个风险事件可能会对应多个风险原因，应列出所有的风险原因，并且综合考虑它们对风险事件的作用。</w:t>
      </w:r>
    </w:p>
    <w:p>
      <w:pPr>
        <w:spacing w:before="0" w:after="0"/>
        <w:jc w:val="both"/>
      </w:pPr>
      <w:r>
        <w:rPr>
          <w:color w:val="000000"/>
          <w:sz w:val="28"/>
          <w:szCs w:val="28"/>
          <w:rFonts w:ascii="宋体" w:cs="宋体" w:eastAsia="宋体" w:hAnsi="宋体"/>
        </w:rPr>
        <w:t xml:space="preserve">e) 风险识别的常用方法有：生产流程分析法、专家调查列举法、风险识别分解分析法、风险识别失误树分析法等，具体如下：</w:t>
      </w:r>
    </w:p>
    <w:p>
      <w:pPr>
        <w:spacing w:before="0" w:after="0"/>
        <w:jc w:val="both"/>
      </w:pPr>
      <w:r>
        <w:rPr>
          <w:color w:val="000000"/>
          <w:sz w:val="28"/>
          <w:szCs w:val="28"/>
          <w:rFonts w:ascii="宋体" w:cs="宋体" w:eastAsia="宋体" w:hAnsi="宋体"/>
        </w:rPr>
        <w:t xml:space="preserve">1) </w:t>
      </w:r>
      <w:r>
        <w:rPr>
          <w:u w:val="single"/>
          <w:color w:val="0000FF"/>
          <w:sz w:val="28"/>
          <w:szCs w:val="28"/>
          <w:rFonts w:ascii="宋体" w:cs="宋体" w:eastAsia="宋体" w:hAnsi="宋体"/>
        </w:rPr>
        <w:t xml:space="preserve">生产流程分析法</w:t>
      </w:r>
      <w:r>
        <w:rPr>
          <w:color w:val="000000"/>
          <w:sz w:val="28"/>
          <w:szCs w:val="28"/>
          <w:rFonts w:ascii="宋体" w:cs="宋体" w:eastAsia="宋体" w:hAnsi="宋体"/>
        </w:rPr>
        <w:t xml:space="preserve">，又称流程图法。生产流程又叫工艺流程或加工流程，是指在生产工艺中，从原料投入到成品产出，通过一定的设备按顺序连续地进行加工的过程。该种方法强调根据不同的流程，对每一</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阶段和环节，逐个进行调查分析，找出风险存在的原因；</w:t>
      </w:r>
    </w:p>
    <w:p>
      <w:pPr>
        <w:spacing w:before="0" w:after="0"/>
        <w:jc w:val="both"/>
      </w:pPr>
      <w:r>
        <w:rPr>
          <w:color w:val="000000"/>
          <w:sz w:val="28"/>
          <w:szCs w:val="28"/>
          <w:rFonts w:ascii="宋体" w:cs="宋体" w:eastAsia="宋体" w:hAnsi="宋体"/>
        </w:rPr>
        <w:t xml:space="preserve">2) 专家调查列举法由风险管理专家采用头脑风暴的方式对要求进行分析，并结合特定的专业知识确定风险事件，得出风险原因；</w:t>
      </w:r>
    </w:p>
    <w:p>
      <w:pPr>
        <w:spacing w:before="0" w:after="0"/>
        <w:jc w:val="both"/>
      </w:pPr>
      <w:r>
        <w:rPr>
          <w:color w:val="000000"/>
          <w:sz w:val="28"/>
          <w:szCs w:val="28"/>
          <w:rFonts w:ascii="宋体" w:cs="宋体" w:eastAsia="宋体" w:hAnsi="宋体"/>
        </w:rPr>
        <w:t xml:space="preserve">3) 分解分析法指将一复杂的事物分解为多个比较简单的事物，将大系统分解为具体的组成要素，从中分析可能存在的风险及潜在损失的威胁；</w:t>
      </w:r>
    </w:p>
    <w:p>
      <w:pPr>
        <w:spacing w:before="0" w:after="0"/>
        <w:jc w:val="both"/>
      </w:pPr>
      <w:r>
        <w:rPr>
          <w:color w:val="000000"/>
          <w:sz w:val="28"/>
          <w:szCs w:val="28"/>
          <w:rFonts w:ascii="宋体" w:cs="宋体" w:eastAsia="宋体" w:hAnsi="宋体"/>
        </w:rPr>
        <w:t xml:space="preserve">4) 失误树分析方法是以图解表示的方法来调查损失发生前的种种失误事件的情况，或对各种引起事故的原因进行分解分析，具体判断哪些失误最可能导致损失风险发生。</w:t>
      </w:r>
    </w:p>
    <w:p>
      <w:pPr>
        <w:spacing w:before="0" w:after="0"/>
        <w:jc w:val="both"/>
      </w:pPr>
      <w:r>
        <w:rPr>
          <w:color w:val="000000"/>
          <w:sz w:val="28"/>
          <w:szCs w:val="28"/>
          <w:rFonts w:ascii="宋体" w:cs="宋体" w:eastAsia="宋体" w:hAnsi="宋体"/>
        </w:rPr>
        <w:t xml:space="preserve">f) PFMEA风险管理记录表中应包括所有的制造过程步骤。</w:t>
      </w:r>
    </w:p>
    <w:p>
      <w:pPr>
        <w:spacing w:before="0" w:after="0"/>
        <w:jc w:val="both"/>
      </w:pPr>
      <w:r>
        <w:rPr>
          <w:color w:val="121212"/>
          <w:sz w:val="28"/>
          <w:szCs w:val="28"/>
          <w:rFonts w:ascii="黑体" w:cs="黑体" w:eastAsia="黑体" w:hAnsi="黑体"/>
        </w:rPr>
        <w:t xml:space="preserve">6.3.6.2  风险分析</w:t>
      </w:r>
    </w:p>
    <w:p>
      <w:pPr>
        <w:spacing w:before="0" w:after="0"/>
        <w:jc w:val="both"/>
      </w:pPr>
      <w:r>
        <w:rPr>
          <w:color w:val="1b324f"/>
          <w:sz w:val="28"/>
          <w:szCs w:val="28"/>
          <w:rFonts w:ascii="宋体" w:cs="宋体" w:eastAsia="宋体" w:hAnsi="宋体"/>
        </w:rPr>
        <w:t xml:space="preserve">风险分析是理解风险性质、确定风险等级的过程，是PFMEA的第二步。包括三个重要的维度：严重度(S)、发生度(O)和探测度(D)，并最终计算出风险顺序数(RPN)。</w:t>
      </w:r>
    </w:p>
    <w:p>
      <w:pPr>
        <w:spacing w:before="0" w:after="0"/>
        <w:jc w:val="both"/>
      </w:pPr>
      <w:r>
        <w:rPr>
          <w:color w:val="000000"/>
          <w:sz w:val="28"/>
          <w:szCs w:val="28"/>
          <w:rFonts w:ascii="宋体" w:cs="宋体" w:eastAsia="宋体" w:hAnsi="宋体"/>
        </w:rPr>
        <w:t xml:space="preserve">PFMEA中严重度(S)的典型评价准则见附录A；PFMEA中发生度(O)的典型评价准则见附录B；PFMEA中探测度(D)的典型评价准则见附录C；PFMEA中依据风险顺序数(RPN)确定风险等级的典型评价准则见附录D。</w:t>
      </w:r>
    </w:p>
    <w:p>
      <w:pPr>
        <w:spacing w:before="0" w:after="0"/>
        <w:jc w:val="both"/>
      </w:pPr>
      <w:r>
        <w:rPr>
          <w:color w:val="121212"/>
          <w:sz w:val="28"/>
          <w:szCs w:val="28"/>
          <w:rFonts w:ascii="黑体" w:cs="黑体" w:eastAsia="黑体" w:hAnsi="黑体"/>
        </w:rPr>
        <w:t xml:space="preserve">6.3.6.3  风险评价</w:t>
      </w:r>
    </w:p>
    <w:p>
      <w:pPr>
        <w:spacing w:before="0" w:after="0"/>
        <w:jc w:val="both"/>
      </w:pPr>
      <w:r>
        <w:rPr>
          <w:color w:val="000000"/>
          <w:sz w:val="28"/>
          <w:szCs w:val="28"/>
          <w:rFonts w:ascii="宋体" w:cs="宋体" w:eastAsia="宋体" w:hAnsi="宋体"/>
        </w:rPr>
        <w:t xml:space="preserve">风险评价是PFMEA的第三步，是在风险识别和风险分析的基础上，将风险与公认的安全指标相比较，以衡量风险的程度，并决定是否需要采取相应的措施的过程。结论为接受或不接受风险</w:t>
      </w:r>
    </w:p>
    <w:p>
      <w:pPr>
        <w:spacing w:before="0" w:after="0"/>
        <w:jc w:val="both"/>
      </w:pPr>
      <w:r>
        <w:rPr>
          <w:color w:val="121212"/>
          <w:sz w:val="28"/>
          <w:szCs w:val="28"/>
          <w:rFonts w:ascii="黑体" w:cs="黑体" w:eastAsia="黑体" w:hAnsi="黑体"/>
        </w:rPr>
        <w:t xml:space="preserve">6.3.6.4  风险应对</w:t>
      </w:r>
    </w:p>
    <w:p>
      <w:pPr>
        <w:spacing w:before="0" w:after="0"/>
        <w:jc w:val="both"/>
      </w:pPr>
      <w:r>
        <w:rPr>
          <w:color w:val="000000"/>
          <w:sz w:val="28"/>
          <w:szCs w:val="28"/>
          <w:rFonts w:ascii="宋体" w:cs="宋体" w:eastAsia="宋体" w:hAnsi="宋体"/>
        </w:rPr>
        <w:t xml:space="preserve">风险应对是PFMEA的第四步，是处理风险的过程。具体操作为制定应对措施，指定负责人，确定完成日期。</w:t>
      </w:r>
    </w:p>
    <w:p>
      <w:pPr>
        <w:spacing w:before="0" w:after="0"/>
        <w:jc w:val="both"/>
      </w:pPr>
      <w:r>
        <w:rPr>
          <w:color w:val="000000"/>
          <w:sz w:val="28"/>
          <w:szCs w:val="28"/>
          <w:rFonts w:ascii="宋体" w:cs="宋体" w:eastAsia="宋体" w:hAnsi="宋体"/>
        </w:rPr>
        <w:t xml:space="preserve">由于资源、时间、技术和其他因素的局限性，应对风险时，PFMEA小组应根据RPN值确定风险被处理的优先顺序。首先应针对严重度最高的项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目采取措施，如果严重度是9或者10，不管其RPN值是多大，必须予以特别注意，以确保现行的措施解决了高严重度的风险。在对严重度为9或10的项目给予特别关注之后，小组再考虑其它的风险，其意图在于降低严重度，其次是频度，再次是探测度。</w:t>
      </w:r>
    </w:p>
    <w:p>
      <w:pPr>
        <w:spacing w:before="0" w:after="0"/>
        <w:jc w:val="both"/>
      </w:pPr>
      <w:r>
        <w:rPr>
          <w:color w:val="000000"/>
          <w:sz w:val="28"/>
          <w:szCs w:val="28"/>
          <w:rFonts w:ascii="宋体" w:cs="宋体" w:eastAsia="宋体" w:hAnsi="宋体"/>
        </w:rPr>
        <w:t xml:space="preserve">当无法降低严重度时，所采取措施重点应放在预防缺陷上，也就是降低频度上，而不是提高缺陷的探测度。提高探测度级别最好采用防失误/防错的方法。</w:t>
      </w:r>
    </w:p>
    <w:p>
      <w:pPr>
        <w:spacing w:before="0" w:after="0"/>
        <w:jc w:val="both"/>
      </w:pPr>
      <w:r>
        <w:rPr>
          <w:color w:val="121212"/>
          <w:sz w:val="28"/>
          <w:szCs w:val="28"/>
          <w:rFonts w:ascii="黑体" w:cs="黑体" w:eastAsia="黑体" w:hAnsi="黑体"/>
        </w:rPr>
        <w:t xml:space="preserve">6.3.6.5  风险监控</w:t>
      </w:r>
    </w:p>
    <w:p>
      <w:pPr>
        <w:spacing w:before="0" w:after="0"/>
        <w:jc w:val="both"/>
      </w:pPr>
      <w:r>
        <w:rPr>
          <w:color w:val="000000"/>
          <w:sz w:val="28"/>
          <w:szCs w:val="28"/>
          <w:rFonts w:ascii="宋体" w:cs="宋体" w:eastAsia="宋体" w:hAnsi="宋体"/>
        </w:rPr>
        <w:t xml:space="preserve">风险监控是PFMEA的第五步，主要是监测已识别风险的剩余或次生风险。具体操作为采取应对措施后，重新估算并记录严重度(S)、发生度(O)和探测度(D)的结果，计算出新的RPN值。如果新的RPN值可接受，关闭该风险。如果新的RPN值仍然不可接受，则有必要进一步采取措施，重复第四步风险应对的过程。</w:t>
      </w:r>
    </w:p>
    <w:p>
      <w:pPr>
        <w:spacing w:before="0" w:after="0"/>
        <w:jc w:val="both"/>
      </w:pPr>
      <w:r>
        <w:rPr>
          <w:color w:val="121212"/>
          <w:sz w:val="28"/>
          <w:szCs w:val="28"/>
          <w:rFonts w:ascii="黑体" w:cs="黑体" w:eastAsia="黑体" w:hAnsi="黑体"/>
        </w:rPr>
        <w:t xml:space="preserve">6.3.7 PFMEA的输出</w:t>
      </w:r>
    </w:p>
    <w:p>
      <w:pPr>
        <w:spacing w:before="0" w:after="0"/>
        <w:jc w:val="both"/>
      </w:pPr>
      <w:r>
        <w:rPr>
          <w:color w:val="000000"/>
          <w:sz w:val="28"/>
          <w:szCs w:val="28"/>
          <w:rFonts w:ascii="宋体" w:cs="宋体" w:eastAsia="宋体" w:hAnsi="宋体"/>
        </w:rPr>
        <w:t xml:space="preserve">PFMEA活动的输出为PFMEA风险管理记录表(见</w:t>
      </w:r>
      <w:r>
        <w:rPr>
          <w:color w:val="000000"/>
          <w:sz w:val="28"/>
          <w:szCs w:val="28"/>
          <w:rFonts w:ascii="宋体" w:cs="宋体" w:eastAsia="宋体" w:hAnsi="宋体"/>
        </w:rPr>
        <w:t xml:space="preserve">FM1404-08</w:t>
      </w:r>
      <w:r>
        <w:rPr>
          <w:color w:val="000000"/>
          <w:sz w:val="28"/>
          <w:szCs w:val="28"/>
          <w:rFonts w:ascii="宋体" w:cs="宋体" w:eastAsia="宋体" w:hAnsi="宋体"/>
        </w:rPr>
        <w:t xml:space="preserve">)，通过PFMEA活动，可针对高风险制定相应的纠正措施，完善相关的控制计划以及识别关键特性等。</w:t>
      </w:r>
    </w:p>
    <w:p>
      <w:pPr>
        <w:spacing w:before="0" w:after="0"/>
        <w:jc w:val="both"/>
      </w:pPr>
      <w:r>
        <w:rPr>
          <w:color w:val="121212"/>
          <w:sz w:val="28"/>
          <w:szCs w:val="28"/>
          <w:rFonts w:ascii="黑体" w:cs="黑体" w:eastAsia="黑体" w:hAnsi="黑体"/>
        </w:rPr>
        <w:t xml:space="preserve">6.3.8 PFMEA的更新</w:t>
      </w:r>
    </w:p>
    <w:p>
      <w:pPr>
        <w:spacing w:before="0" w:after="0"/>
        <w:jc w:val="both"/>
      </w:pPr>
      <w:r>
        <w:rPr>
          <w:color w:val="000000"/>
          <w:sz w:val="28"/>
          <w:szCs w:val="28"/>
          <w:rFonts w:ascii="宋体" w:cs="宋体" w:eastAsia="宋体" w:hAnsi="宋体"/>
        </w:rPr>
        <w:t xml:space="preserve">应对PFMEA进行审查和更新，以获取过程和检验的变更以及生产过程中获得的新知识，例如，从生产停止或延迟、不合格、产品质量逃逸、检验数据、当前或类似产品的根本原因纠正措施调查中吸取的经验教训及报废数据等。</w:t>
      </w:r>
    </w:p>
    <w:p>
      <w:pPr>
        <w:spacing w:before="0" w:after="0"/>
        <w:jc w:val="both"/>
      </w:pPr>
      <w:r>
        <w:rPr>
          <w:color w:val="000000"/>
          <w:sz w:val="28"/>
          <w:szCs w:val="28"/>
          <w:rFonts w:ascii="宋体" w:cs="宋体" w:eastAsia="宋体" w:hAnsi="宋体"/>
        </w:rPr>
        <w:t xml:space="preserve">PFMEA风险管理记录表应每年更新一次，当风险项较多时可按需缩短更新周期。</w:t>
      </w:r>
    </w:p>
    <w:p>
      <w:pPr>
        <w:spacing w:before="0" w:after="0" w:line="280" w:lineRule="exact"/>
      </w:pPr>
      <w:r>
        <w:rPr>
          <w:color w:val="000000"/>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7.1  </w:t>
      </w:r>
      <w:r>
        <w:rPr>
          <w:color w:val="121212"/>
          <w:sz w:val="28"/>
          <w:szCs w:val="28"/>
          <w:rFonts w:ascii="华文黑体" w:cs="华文黑体" w:eastAsia="华文黑体" w:hAnsi="华文黑体"/>
        </w:rPr>
        <w:t xml:space="preserve"> </w:t>
      </w:r>
      <w:r>
        <w:rPr>
          <w:color w:val="000000"/>
          <w:sz w:val="28"/>
          <w:szCs w:val="28"/>
          <w:rFonts w:ascii="宋体" w:cs="宋体" w:eastAsia="宋体" w:hAnsi="宋体"/>
        </w:rPr>
        <w:t xml:space="preserve">PFMEA的使用</w:t>
      </w:r>
      <w:r>
        <w:rPr>
          <w:sz w:val="28"/>
          <w:szCs w:val="28"/>
          <w:rFonts w:ascii="华文黑体" w:cs="华文黑体" w:eastAsia="华文黑体" w:hAnsi="华文黑体"/>
        </w:rPr>
        <w:t xml:space="preserve">流程</w:t>
      </w:r>
    </w:p>
    <w:p>
      <w:pPr>
        <w:spacing w:before="0" w:after="0"/>
        <w:jc w:val="both"/>
      </w:pPr>
      <w:r>
        <w:rPr>
          <w:color w:val="121212"/>
          <w:sz w:val="28"/>
          <w:szCs w:val="28"/>
          <w:rFonts w:ascii="黑体" w:cs="黑体" w:eastAsia="黑体" w:hAnsi="黑体"/>
        </w:rPr>
        <w:t xml:space="preserve">7.1.1 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PFMEA的使用</w:t>
      </w:r>
      <w:r>
        <w:rPr>
          <w:color w:val="000000"/>
          <w:sz w:val="28"/>
          <w:szCs w:val="28"/>
          <w:rFonts w:ascii="华文宋体" w:cs="华文宋体" w:eastAsia="华文宋体" w:hAnsi="华文宋体"/>
        </w:rPr>
        <w:t xml:space="preserve">流程图</w:t>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drawing>
          <wp:inline distT="0" distB="0" distL="0" distR="0">
            <wp:extent cx="4544910" cy="8315325"/>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44910" cy="8315325"/>
                    </a:xfrm>
                    <a:prstGeom prst="rect">
                      <a:avLst/>
                    </a:prstGeom>
                  </pic:spPr>
                </pic:pic>
              </a:graphicData>
            </a:graphic>
          </wp:inline>
        </w:drawing>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华文宋体" w:cs="华文宋体" w:eastAsia="华文宋体" w:hAnsi="华文宋体"/>
        </w:rPr>
        <w:t xml:space="preserve">7.1.2  </w:t>
      </w:r>
      <w:r>
        <w:rPr>
          <w:color w:val="000000"/>
          <w:sz w:val="28"/>
          <w:szCs w:val="28"/>
          <w:rFonts w:ascii="宋体" w:cs="宋体" w:eastAsia="宋体" w:hAnsi="宋体"/>
        </w:rPr>
        <w:t xml:space="preserve">PFMEA的使用</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（1）编制制造过程流程图</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造</w:t>
            </w:r>
          </w:p>
          <w:p>
            <w:pPr>
              <w:spacing w:before="0" w:after="0"/>
              <w:jc w:val="center"/>
            </w:pPr>
            <w:r>
              <w:rPr>
                <w:sz w:val="24"/>
                <w:szCs w:val="24"/>
                <w:rFonts w:ascii="宋体" w:cs="宋体" w:eastAsia="宋体" w:hAnsi="宋体"/>
              </w:rPr>
              <w:t xml:space="preserve">过</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流</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按GLB140411-02编制制造流程图，商飞项目按GLB140411-03编制制造流程图。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12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生产单位工艺员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工程图样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制造过程流程图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（2）进行过程失效模式和影响分析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过</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失</w:t>
            </w:r>
          </w:p>
          <w:p>
            <w:pPr>
              <w:spacing w:before="0" w:after="0"/>
              <w:jc w:val="center"/>
            </w:pPr>
            <w:r>
              <w:rPr>
                <w:sz w:val="24"/>
                <w:szCs w:val="24"/>
                <w:rFonts w:ascii="宋体" w:cs="宋体" w:eastAsia="宋体" w:hAnsi="宋体"/>
              </w:rPr>
              <w:t xml:space="preserve">效</w:t>
            </w:r>
          </w:p>
          <w:p>
            <w:pPr>
              <w:spacing w:before="0" w:after="0"/>
              <w:jc w:val="center"/>
            </w:pPr>
            <w:r>
              <w:rPr>
                <w:sz w:val="24"/>
                <w:szCs w:val="24"/>
                <w:rFonts w:ascii="宋体" w:cs="宋体" w:eastAsia="宋体" w:hAnsi="宋体"/>
              </w:rPr>
              <w:t xml:space="preserve">模</w:t>
            </w:r>
          </w:p>
          <w:p>
            <w:pPr>
              <w:spacing w:before="0" w:after="0"/>
              <w:jc w:val="center"/>
            </w:pPr>
            <w:r>
              <w:rPr>
                <w:sz w:val="24"/>
                <w:szCs w:val="24"/>
                <w:rFonts w:ascii="宋体" w:cs="宋体" w:eastAsia="宋体" w:hAnsi="宋体"/>
              </w:rPr>
              <w:t xml:space="preserve">式</w:t>
            </w:r>
          </w:p>
          <w:p>
            <w:pPr>
              <w:spacing w:before="0" w:after="0"/>
              <w:jc w:val="center"/>
            </w:pPr>
            <w:r>
              <w:rPr>
                <w:sz w:val="24"/>
                <w:szCs w:val="24"/>
                <w:rFonts w:ascii="宋体" w:cs="宋体" w:eastAsia="宋体" w:hAnsi="宋体"/>
              </w:rPr>
              <w:t xml:space="preserve">和</w:t>
            </w:r>
          </w:p>
          <w:p>
            <w:pPr>
              <w:spacing w:before="0" w:after="0"/>
              <w:jc w:val="center"/>
            </w:pPr>
            <w:r>
              <w:rPr>
                <w:sz w:val="24"/>
                <w:szCs w:val="24"/>
                <w:rFonts w:ascii="宋体" w:cs="宋体" w:eastAsia="宋体" w:hAnsi="宋体"/>
              </w:rPr>
              <w:t xml:space="preserve">影</w:t>
            </w:r>
          </w:p>
          <w:p>
            <w:pPr>
              <w:spacing w:before="0" w:after="0"/>
              <w:jc w:val="center"/>
            </w:pPr>
            <w:r>
              <w:rPr>
                <w:sz w:val="24"/>
                <w:szCs w:val="24"/>
                <w:rFonts w:ascii="宋体" w:cs="宋体" w:eastAsia="宋体" w:hAnsi="宋体"/>
              </w:rPr>
              <w:t xml:space="preserve">响</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析</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进行过程失效模式和影响分析，商飞项目按GLB140411-04进行过程失效模式和影响分析。</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10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生产单位工艺员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4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类似过程的控制计划,类似产品和过程的不合格数据,类似产品和过程的现有PFMEA,制造过程流程图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FM1404-08 PFMEA风险管理记录表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（3）编制生产过程控制计划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生</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过</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控</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按GLB140411-01编制控制计划。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10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生产单位工艺员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FM1404-08 PFMEA风险管理记录表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生产过程控制计划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角色名称</w:t>
            </w:r>
          </w:p>
        </w:tc>
        <w:tc>
          <w:tcPr>
            <w:tcW w:type="dxa" w:w="4155"/>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职责</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生产单位工艺员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bl>
    <w:p>
      <w:pPr>
        <w:spacing w:before="0" w:after="0"/>
        <w:jc w:val="both"/>
      </w:pPr>
      <w:r>
        <w:rPr>
          <w:color w:val="121212"/>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GLB140411-01  生产过程控制计划的编制</w:t>
      </w:r>
    </w:p>
    <w:p>
      <w:pPr>
        <w:spacing w:before="0" w:after="0"/>
        <w:jc w:val="both"/>
      </w:pPr>
      <w:r>
        <w:rPr>
          <w:color w:val="121212"/>
          <w:sz w:val="28"/>
          <w:szCs w:val="28"/>
          <w:rFonts w:ascii="宋体" w:cs="宋体" w:eastAsia="宋体" w:hAnsi="宋体"/>
        </w:rPr>
        <w:t xml:space="preserve">GLB140411-02  制造流程图的编制</w:t>
      </w:r>
    </w:p>
    <w:p>
      <w:pPr>
        <w:spacing w:before="0" w:after="0"/>
        <w:jc w:val="both"/>
      </w:pPr>
      <w:r>
        <w:rPr>
          <w:color w:val="121212"/>
          <w:sz w:val="28"/>
          <w:szCs w:val="28"/>
          <w:rFonts w:ascii="宋体" w:cs="宋体" w:eastAsia="宋体" w:hAnsi="宋体"/>
        </w:rPr>
        <w:t xml:space="preserve">GLB140411-03  商飞项目过程流程图的编制标准</w:t>
      </w:r>
    </w:p>
    <w:p>
      <w:pPr>
        <w:spacing w:before="0" w:after="0"/>
        <w:jc w:val="both"/>
      </w:pPr>
      <w:r>
        <w:rPr>
          <w:color w:val="121212"/>
          <w:sz w:val="28"/>
          <w:szCs w:val="28"/>
          <w:rFonts w:ascii="宋体" w:cs="宋体" w:eastAsia="宋体" w:hAnsi="宋体"/>
        </w:rPr>
        <w:t xml:space="preserve">GLB140411-04  商飞项目PFMEA的使用方法</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11.1  </w:t>
      </w:r>
      <w:r>
        <w:rPr>
          <w:color w:val="121212"/>
          <w:sz w:val="28"/>
          <w:szCs w:val="28"/>
          <w:rFonts w:ascii="宋体" w:cs="宋体" w:eastAsia="宋体" w:hAnsi="宋体"/>
        </w:rPr>
        <w:t xml:space="preserve">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center"/>
      </w:pPr>
      <w:r>
        <w:rPr>
          <w:color w:val="121212"/>
          <w:sz w:val="28"/>
          <w:szCs w:val="28"/>
          <w:rFonts w:ascii="黑体" w:cs="黑体" w:eastAsia="黑体" w:hAnsi="黑体"/>
        </w:rPr>
        <w:t xml:space="preserve">附录A</w:t>
      </w:r>
    </w:p>
    <w:p>
      <w:pPr>
        <w:spacing w:before="0" w:after="0"/>
        <w:jc w:val="center"/>
      </w:pPr>
      <w:r>
        <w:rPr>
          <w:color w:val="121212"/>
          <w:sz w:val="28"/>
          <w:szCs w:val="28"/>
          <w:rFonts w:ascii="黑体" w:cs="黑体" w:eastAsia="黑体" w:hAnsi="黑体"/>
        </w:rPr>
        <w:t xml:space="preserve">（规范性）</w:t>
      </w:r>
    </w:p>
    <w:p>
      <w:pPr>
        <w:spacing w:before="0" w:after="0"/>
        <w:jc w:val="center"/>
      </w:pPr>
      <w:r>
        <w:rPr>
          <w:color w:val="1b324f"/>
          <w:sz w:val="28"/>
          <w:szCs w:val="28"/>
          <w:rFonts w:ascii="黑体" w:cs="黑体" w:eastAsia="黑体" w:hAnsi="黑体"/>
        </w:rPr>
        <w:t xml:space="preserve">严重度(S)评价准则</w:t>
      </w:r>
    </w:p>
    <w:p>
      <w:pPr>
        <w:spacing w:before="0" w:after="0" w:line="210" w:lineRule="exact"/>
        <w:jc w:val="center"/>
      </w:pPr>
      <w:r>
        <w:rPr>
          <w:color w:val="1b324f"/>
          <w:sz w:val="21"/>
          <w:szCs w:val="21"/>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95"/>
        <w:gridCol w:w="5250"/>
        <w:gridCol w:w="1035"/>
      </w:tblGrid>
      <w:tr>
        <w:trPr>
          <w:tblHeader w:val="false"/>
          <w:trHeight w:val="630" w:hRule="atLeast"/>
        </w:trPr>
        <w:tc>
          <w:tcPr>
            <w:tcW w:type="dxa" w:w="19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影响</w:t>
            </w:r>
          </w:p>
        </w:tc>
        <w:tc>
          <w:tcPr>
            <w:tcW w:type="dxa" w:w="52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对过程影响的严重程度（制造/装配影响）</w:t>
            </w:r>
          </w:p>
        </w:tc>
        <w:tc>
          <w:tcPr>
            <w:tcW w:type="dxa" w:w="103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级别 </w:t>
            </w:r>
          </w:p>
        </w:tc>
      </w:tr>
      <w:tr>
        <w:trPr>
          <w:tblHeader w:val="false"/>
          <w:trHeight w:val="630" w:hRule="atLeast"/>
        </w:trPr>
        <w:tc>
          <w:tcPr>
            <w:tcW w:type="dxa" w:w="1995"/>
            <w:gridSpan w:val="1"/>
            <w:vMerge w:val="restart"/>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未能满足安全和/或规章要求</w:t>
            </w:r>
          </w:p>
        </w:tc>
        <w:tc>
          <w:tcPr>
            <w:tcW w:type="dxa" w:w="52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可能在没有预警下危害操作人员、设备或组件</w:t>
            </w:r>
          </w:p>
        </w:tc>
        <w:tc>
          <w:tcPr>
            <w:tcW w:type="dxa" w:w="103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10</w:t>
            </w:r>
          </w:p>
        </w:tc>
      </w:tr>
      <w:tr>
        <w:trPr>
          <w:tblHeader w:val="false"/>
          <w:trHeight w:val="630" w:hRule="atLeast"/>
        </w:trPr>
        <w:tc>
          <w:tcPr>
            <w:gridSpan w:val="1"/>
            <w:vMerge w:val="continue"/>
          </w:tcPr>
          <w:p/>
        </w:tc>
        <w:tc>
          <w:tcPr>
            <w:tcW w:type="dxa" w:w="19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可能在有预警下危害操作人员、设备或组件</w:t>
            </w:r>
          </w:p>
        </w:tc>
        <w:tc>
          <w:tcPr>
            <w:tcW w:type="dxa" w:w="52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9</w:t>
            </w:r>
          </w:p>
        </w:tc>
      </w:tr>
      <w:tr>
        <w:trPr>
          <w:tblHeader w:val="false"/>
          <w:trHeight w:val="1065" w:hRule="atLeast"/>
        </w:trPr>
        <w:tc>
          <w:tcPr>
            <w:tcW w:type="dxa" w:w="19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严重中断</w:t>
            </w:r>
          </w:p>
        </w:tc>
        <w:tc>
          <w:tcPr>
            <w:tcW w:type="dxa" w:w="52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100%的产品可能必须报废。生产线停止或停止出货</w:t>
            </w:r>
          </w:p>
        </w:tc>
        <w:tc>
          <w:tcPr>
            <w:tcW w:type="dxa" w:w="103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8</w:t>
            </w:r>
          </w:p>
        </w:tc>
      </w:tr>
      <w:tr>
        <w:trPr>
          <w:tblHeader w:val="false"/>
          <w:trHeight w:val="1065" w:hRule="atLeast"/>
        </w:trPr>
        <w:tc>
          <w:tcPr>
            <w:tcW w:type="dxa" w:w="19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重大中断</w:t>
            </w:r>
          </w:p>
        </w:tc>
        <w:tc>
          <w:tcPr>
            <w:tcW w:type="dxa" w:w="52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部分生产运行可能不得不报废。偏离主要过程包括降低生产线速度或增加人力</w:t>
            </w:r>
          </w:p>
        </w:tc>
        <w:tc>
          <w:tcPr>
            <w:tcW w:type="dxa" w:w="103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7</w:t>
            </w:r>
          </w:p>
        </w:tc>
      </w:tr>
      <w:tr>
        <w:trPr>
          <w:tblHeader w:val="false"/>
          <w:trHeight w:val="630" w:hRule="atLeast"/>
        </w:trPr>
        <w:tc>
          <w:tcPr>
            <w:tcW w:type="dxa" w:w="1995"/>
            <w:gridSpan w:val="1"/>
            <w:vMerge w:val="restart"/>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中度中断</w:t>
            </w:r>
          </w:p>
        </w:tc>
        <w:tc>
          <w:tcPr>
            <w:tcW w:type="dxa" w:w="52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100%的生产运行可能必须离线返工并被接受</w:t>
            </w:r>
          </w:p>
        </w:tc>
        <w:tc>
          <w:tcPr>
            <w:tcW w:type="dxa" w:w="103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6</w:t>
            </w:r>
          </w:p>
        </w:tc>
      </w:tr>
      <w:tr>
        <w:trPr>
          <w:tblHeader w:val="false"/>
          <w:trHeight w:val="630" w:hRule="atLeast"/>
        </w:trPr>
        <w:tc>
          <w:tcPr>
            <w:gridSpan w:val="1"/>
            <w:vMerge w:val="continue"/>
          </w:tcPr>
          <w:p/>
        </w:tc>
        <w:tc>
          <w:tcPr>
            <w:tcW w:type="dxa" w:w="19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一部分生产运行可能必须离线返工并被接受</w:t>
            </w:r>
          </w:p>
        </w:tc>
        <w:tc>
          <w:tcPr>
            <w:tcW w:type="dxa" w:w="52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5</w:t>
            </w:r>
          </w:p>
        </w:tc>
      </w:tr>
      <w:tr>
        <w:trPr>
          <w:tblHeader w:val="false"/>
          <w:trHeight w:val="1005" w:hRule="atLeast"/>
        </w:trPr>
        <w:tc>
          <w:tcPr>
            <w:gridSpan w:val="1"/>
            <w:vMerge w:val="continue"/>
          </w:tcPr>
          <w:p/>
        </w:tc>
        <w:tc>
          <w:tcPr>
            <w:tcW w:type="dxa" w:w="19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在继续加工前100%生产运行可能必须在站位内返工</w:t>
            </w:r>
          </w:p>
        </w:tc>
        <w:tc>
          <w:tcPr>
            <w:tcW w:type="dxa" w:w="52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4</w:t>
            </w:r>
          </w:p>
        </w:tc>
      </w:tr>
      <w:tr>
        <w:trPr>
          <w:tblHeader w:val="false"/>
          <w:trHeight w:val="1050" w:hRule="atLeast"/>
        </w:trPr>
        <w:tc>
          <w:tcPr>
            <w:gridSpan w:val="1"/>
            <w:vMerge w:val="continue"/>
          </w:tcPr>
          <w:p/>
        </w:tc>
        <w:tc>
          <w:tcPr>
            <w:tcW w:type="dxa" w:w="19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在继续加工前一部分生产运行可能必须在站位内返工</w:t>
            </w:r>
          </w:p>
        </w:tc>
        <w:tc>
          <w:tcPr>
            <w:tcW w:type="dxa" w:w="52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3</w:t>
            </w:r>
          </w:p>
        </w:tc>
      </w:tr>
      <w:tr>
        <w:trPr>
          <w:tblHeader w:val="false"/>
          <w:trHeight w:val="630" w:hRule="atLeast"/>
        </w:trPr>
        <w:tc>
          <w:tcPr>
            <w:tcW w:type="dxa" w:w="19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轻微中断</w:t>
            </w:r>
          </w:p>
        </w:tc>
        <w:tc>
          <w:tcPr>
            <w:tcW w:type="dxa" w:w="52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给过程、操作或操作人员带来轻微的不便</w:t>
            </w:r>
          </w:p>
        </w:tc>
        <w:tc>
          <w:tcPr>
            <w:tcW w:type="dxa" w:w="103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2</w:t>
            </w:r>
          </w:p>
        </w:tc>
      </w:tr>
      <w:tr>
        <w:trPr>
          <w:tblHeader w:val="false"/>
          <w:trHeight w:val="630" w:hRule="atLeast"/>
        </w:trPr>
        <w:tc>
          <w:tcPr>
            <w:tcW w:type="dxa" w:w="19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无影响</w:t>
            </w:r>
          </w:p>
        </w:tc>
        <w:tc>
          <w:tcPr>
            <w:tcW w:type="dxa" w:w="52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无明显影响</w:t>
            </w:r>
          </w:p>
        </w:tc>
        <w:tc>
          <w:tcPr>
            <w:tcW w:type="dxa" w:w="103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1</w:t>
            </w:r>
          </w:p>
        </w:tc>
      </w:tr>
    </w:tbl>
    <w:p>
      <w:pPr>
        <w:spacing w:before="0" w:after="0" w:line="280" w:lineRule="exact"/>
        <w:jc w:val="center"/>
      </w:pPr>
      <w:r>
        <w:rPr>
          <w:sz w:val="28"/>
          <w:szCs w:val="28"/>
          <w:rFonts w:ascii="宋体" w:cs="宋体" w:eastAsia="宋体" w:hAnsi="宋体"/>
        </w:rPr>
      </w:r>
    </w:p>
    <w:p>
      <w:pPr>
        <w:spacing w:before="0" w:after="0" w:line="210" w:lineRule="exact"/>
        <w:jc w:val="center"/>
      </w:pPr>
      <w:r>
        <w:rPr>
          <w:color w:val="1b324f"/>
          <w:sz w:val="21"/>
          <w:szCs w:val="21"/>
          <w:rFonts w:ascii="宋体" w:cs="宋体" w:eastAsia="宋体" w:hAnsi="宋体"/>
        </w:rPr>
      </w:r>
    </w:p>
    <w:p>
      <w:pPr>
        <w:spacing w:before="0" w:after="0" w:line="210" w:lineRule="exact"/>
        <w:jc w:val="center"/>
      </w:pPr>
      <w:r>
        <w:rPr>
          <w:color w:val="1b324f"/>
          <w:sz w:val="21"/>
          <w:szCs w:val="21"/>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center"/>
      </w:pPr>
      <w:r>
        <w:rPr>
          <w:color w:val="121212"/>
          <w:sz w:val="28"/>
          <w:szCs w:val="28"/>
          <w:rFonts w:ascii="黑体" w:cs="黑体" w:eastAsia="黑体" w:hAnsi="黑体"/>
        </w:rPr>
        <w:t xml:space="preserve">附录B</w:t>
      </w:r>
    </w:p>
    <w:p>
      <w:pPr>
        <w:spacing w:before="0" w:after="0"/>
        <w:jc w:val="center"/>
      </w:pPr>
      <w:r>
        <w:rPr>
          <w:color w:val="121212"/>
          <w:sz w:val="28"/>
          <w:szCs w:val="28"/>
          <w:rFonts w:ascii="黑体" w:cs="黑体" w:eastAsia="黑体" w:hAnsi="黑体"/>
        </w:rPr>
        <w:t xml:space="preserve">（规范性）</w:t>
      </w:r>
    </w:p>
    <w:p>
      <w:pPr>
        <w:spacing w:before="0" w:after="0"/>
        <w:jc w:val="center"/>
      </w:pPr>
      <w:r>
        <w:rPr>
          <w:color w:val="121212"/>
          <w:sz w:val="28"/>
          <w:szCs w:val="28"/>
          <w:rFonts w:ascii="黑体" w:cs="黑体" w:eastAsia="黑体" w:hAnsi="黑体"/>
        </w:rPr>
        <w:t xml:space="preserve">发生度(O)评价准则</w:t>
      </w:r>
    </w:p>
    <w:p>
      <w:pPr>
        <w:spacing w:before="0" w:after="0" w:line="280" w:lineRule="exact"/>
        <w:jc w:val="center"/>
      </w:pPr>
      <w:r>
        <w:rPr>
          <w:color w:val="1b324f"/>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65"/>
        <w:gridCol w:w="1245"/>
        <w:gridCol w:w="1335"/>
        <w:gridCol w:w="1125"/>
        <w:gridCol w:w="1320"/>
        <w:gridCol w:w="690"/>
      </w:tblGrid>
      <w:tr>
        <w:trPr>
          <w:tblHeader w:val="false"/>
          <w:trHeight w:val="630" w:hRule="atLeast"/>
        </w:trPr>
        <w:tc>
          <w:tcPr>
            <w:tcW w:type="dxa" w:w="2565"/>
            <w:gridSpan w:val="1"/>
            <w:vMerge w:val="restart"/>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描述</w:t>
            </w:r>
          </w:p>
        </w:tc>
        <w:tc>
          <w:tcPr>
            <w:tcW w:type="dxa" w:w="2490"/>
            <w:gridSpan w:val="2"/>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小批量生产</w:t>
            </w:r>
          </w:p>
        </w:tc>
        <w:tc>
          <w:tcPr>
            <w:tcW w:type="dxa" w:w="1335"/>
            <w:gridSpan w:val="1"/>
            <w:vMerge w:val="restart"/>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每百万</w:t>
            </w:r>
          </w:p>
        </w:tc>
        <w:tc>
          <w:tcPr>
            <w:tcW w:type="dxa" w:w="1125"/>
            <w:gridSpan w:val="1"/>
            <w:vMerge w:val="restart"/>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基于时间的示例</w:t>
            </w:r>
          </w:p>
        </w:tc>
        <w:tc>
          <w:tcPr>
            <w:tcW w:type="dxa" w:w="1320"/>
            <w:gridSpan w:val="1"/>
            <w:vMerge w:val="restart"/>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级别</w:t>
            </w:r>
          </w:p>
        </w:tc>
      </w:tr>
      <w:tr>
        <w:trPr>
          <w:tblHeader w:val="false"/>
          <w:trHeight w:val="1065" w:hRule="atLeast"/>
        </w:trPr>
        <w:tc>
          <w:tcPr>
            <w:gridSpan w:val="1"/>
            <w:vMerge w:val="continue"/>
          </w:tcPr>
          <w:p/>
        </w:tc>
        <w:tc>
          <w:tcPr>
            <w:tcW w:type="dxa" w:w="256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影响范围</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基于时间的示例</w:t>
            </w:r>
          </w:p>
        </w:tc>
        <w:tc>
          <w:tcPr>
            <w:gridSpan w:val="1"/>
            <w:vMerge w:val="continue"/>
          </w:tcPr>
          <w:p/>
        </w:tc>
        <w:tc>
          <w:tcPr>
            <w:gridSpan w:val="1"/>
            <w:vMerge w:val="continue"/>
          </w:tcPr>
          <w:p/>
        </w:tc>
        <w:tc>
          <w:tcPr>
            <w:gridSpan w:val="1"/>
            <w:vMerge w:val="continue"/>
          </w:tcPr>
          <w:p/>
        </w:tc>
      </w:tr>
      <w:tr>
        <w:trPr>
          <w:tblHeader w:val="false"/>
          <w:trHeight w:val="1545" w:hRule="atLeast"/>
        </w:trPr>
        <w:tc>
          <w:tcPr>
            <w:tcW w:type="dxa" w:w="256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非常高：持续故障（故障几乎是不可避免的）</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100%的产量</w:t>
            </w:r>
          </w:p>
        </w:tc>
        <w:tc>
          <w:tcPr>
            <w:tcW w:type="dxa" w:w="133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每班每事件发生次数</w:t>
            </w:r>
            <w:r>
              <w:rPr>
                <w:color w:val="000000"/>
                <w:sz w:val="28"/>
                <w:szCs w:val="28"/>
                <w:rFonts w:ascii="宋体" w:cs="宋体" w:eastAsia="宋体" w:hAnsi="宋体"/>
              </w:rPr>
              <w:t xml:space="preserve">&gt;</w:t>
            </w:r>
            <w:r>
              <w:rPr>
                <w:color w:val="1b324f"/>
                <w:sz w:val="24"/>
                <w:szCs w:val="24"/>
                <w:rFonts w:ascii="宋体" w:cs="宋体" w:eastAsia="宋体" w:hAnsi="宋体"/>
              </w:rPr>
              <w:t xml:space="preserve">1</w:t>
            </w:r>
          </w:p>
        </w:tc>
        <w:tc>
          <w:tcPr>
            <w:tcW w:type="dxa" w:w="11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500,000</w:t>
            </w:r>
          </w:p>
        </w:tc>
        <w:tc>
          <w:tcPr>
            <w:tcW w:type="dxa" w:w="132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每班每事件发生次数</w:t>
            </w:r>
            <w:r>
              <w:rPr>
                <w:color w:val="000000"/>
                <w:sz w:val="28"/>
                <w:szCs w:val="28"/>
                <w:rFonts w:ascii="宋体" w:cs="宋体" w:eastAsia="宋体" w:hAnsi="宋体"/>
              </w:rPr>
              <w:t xml:space="preserve">&gt;</w:t>
            </w:r>
            <w:r>
              <w:rPr>
                <w:color w:val="1b324f"/>
                <w:sz w:val="24"/>
                <w:szCs w:val="24"/>
                <w:rFonts w:ascii="宋体" w:cs="宋体" w:eastAsia="宋体" w:hAnsi="宋体"/>
              </w:rPr>
              <w:t xml:space="preserve">1</w:t>
            </w:r>
          </w:p>
        </w:tc>
        <w:tc>
          <w:tcPr>
            <w:tcW w:type="dxa" w:w="69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10</w:t>
            </w:r>
          </w:p>
        </w:tc>
      </w:tr>
      <w:tr>
        <w:trPr>
          <w:tblHeader w:val="false"/>
          <w:trHeight w:val="1545" w:hRule="atLeast"/>
        </w:trPr>
        <w:tc>
          <w:tcPr>
            <w:tcW w:type="dxa" w:w="256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非常高：持续故障（故障发生的频率几乎与不发生的频率相同）</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50%的产量</w:t>
            </w:r>
          </w:p>
        </w:tc>
        <w:tc>
          <w:tcPr>
            <w:tcW w:type="dxa" w:w="133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每天每事件发生次数</w:t>
            </w:r>
            <w:r>
              <w:rPr>
                <w:color w:val="000000"/>
                <w:sz w:val="28"/>
                <w:szCs w:val="28"/>
                <w:rFonts w:ascii="宋体" w:cs="宋体" w:eastAsia="宋体" w:hAnsi="宋体"/>
              </w:rPr>
              <w:t xml:space="preserve">&gt;</w:t>
            </w:r>
            <w:r>
              <w:rPr>
                <w:color w:val="1b324f"/>
                <w:sz w:val="24"/>
                <w:szCs w:val="24"/>
                <w:rFonts w:ascii="宋体" w:cs="宋体" w:eastAsia="宋体" w:hAnsi="宋体"/>
              </w:rPr>
              <w:t xml:space="preserve">1</w:t>
            </w:r>
          </w:p>
        </w:tc>
        <w:tc>
          <w:tcPr>
            <w:tcW w:type="dxa" w:w="11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50,000</w:t>
            </w:r>
          </w:p>
        </w:tc>
        <w:tc>
          <w:tcPr>
            <w:tcW w:type="dxa" w:w="132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每天每事件发生次数</w:t>
            </w:r>
            <w:r>
              <w:rPr>
                <w:color w:val="000000"/>
                <w:sz w:val="28"/>
                <w:szCs w:val="28"/>
                <w:rFonts w:ascii="宋体" w:cs="宋体" w:eastAsia="宋体" w:hAnsi="宋体"/>
              </w:rPr>
              <w:t xml:space="preserve">&gt;</w:t>
            </w:r>
            <w:r>
              <w:rPr>
                <w:color w:val="1b324f"/>
                <w:sz w:val="24"/>
                <w:szCs w:val="24"/>
                <w:rFonts w:ascii="宋体" w:cs="宋体" w:eastAsia="宋体" w:hAnsi="宋体"/>
              </w:rPr>
              <w:t xml:space="preserve">1 </w:t>
            </w:r>
          </w:p>
        </w:tc>
        <w:tc>
          <w:tcPr>
            <w:tcW w:type="dxa" w:w="69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9</w:t>
            </w:r>
          </w:p>
        </w:tc>
      </w:tr>
      <w:tr>
        <w:trPr>
          <w:tblHeader w:val="false"/>
          <w:trHeight w:val="1065" w:hRule="atLeast"/>
        </w:trPr>
        <w:tc>
          <w:tcPr>
            <w:tcW w:type="dxa" w:w="256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高：频繁故障（重复故障）</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20%的产量</w:t>
            </w:r>
          </w:p>
        </w:tc>
        <w:tc>
          <w:tcPr>
            <w:tcW w:type="dxa" w:w="133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每2-3天发生次数</w:t>
            </w:r>
            <w:r>
              <w:rPr>
                <w:color w:val="000000"/>
                <w:sz w:val="28"/>
                <w:szCs w:val="28"/>
                <w:rFonts w:ascii="宋体" w:cs="宋体" w:eastAsia="宋体" w:hAnsi="宋体"/>
              </w:rPr>
              <w:t xml:space="preserve">&gt;</w:t>
            </w:r>
            <w:r>
              <w:rPr>
                <w:color w:val="1b324f"/>
                <w:sz w:val="24"/>
                <w:szCs w:val="24"/>
                <w:rFonts w:ascii="宋体" w:cs="宋体" w:eastAsia="宋体" w:hAnsi="宋体"/>
              </w:rPr>
              <w:t xml:space="preserve">1</w:t>
            </w:r>
          </w:p>
        </w:tc>
        <w:tc>
          <w:tcPr>
            <w:tcW w:type="dxa" w:w="11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20,000</w:t>
            </w:r>
          </w:p>
        </w:tc>
        <w:tc>
          <w:tcPr>
            <w:tcW w:type="dxa" w:w="132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每2-3天发生次数</w:t>
            </w:r>
            <w:r>
              <w:rPr>
                <w:color w:val="000000"/>
                <w:sz w:val="28"/>
                <w:szCs w:val="28"/>
                <w:rFonts w:ascii="宋体" w:cs="宋体" w:eastAsia="宋体" w:hAnsi="宋体"/>
              </w:rPr>
              <w:t xml:space="preserve">&gt;</w:t>
            </w:r>
            <w:r>
              <w:rPr>
                <w:color w:val="1b324f"/>
                <w:sz w:val="24"/>
                <w:szCs w:val="24"/>
                <w:rFonts w:ascii="宋体" w:cs="宋体" w:eastAsia="宋体" w:hAnsi="宋体"/>
              </w:rPr>
              <w:t xml:space="preserve">1</w:t>
            </w:r>
          </w:p>
        </w:tc>
        <w:tc>
          <w:tcPr>
            <w:tcW w:type="dxa" w:w="69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8</w:t>
            </w:r>
          </w:p>
        </w:tc>
      </w:tr>
      <w:tr>
        <w:trPr>
          <w:tblHeader w:val="false"/>
          <w:trHeight w:val="1065" w:hRule="atLeast"/>
        </w:trPr>
        <w:tc>
          <w:tcPr>
            <w:tcW w:type="dxa" w:w="256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高：频繁故障（故障经常发生）</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10%的产量</w:t>
            </w:r>
          </w:p>
        </w:tc>
        <w:tc>
          <w:tcPr>
            <w:tcW w:type="dxa" w:w="133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每周发生次数</w:t>
            </w:r>
            <w:r>
              <w:rPr>
                <w:color w:val="000000"/>
                <w:sz w:val="28"/>
                <w:szCs w:val="28"/>
                <w:rFonts w:ascii="宋体" w:cs="宋体" w:eastAsia="宋体" w:hAnsi="宋体"/>
              </w:rPr>
              <w:t xml:space="preserve">&gt;</w:t>
            </w:r>
            <w:r>
              <w:rPr>
                <w:color w:val="1b324f"/>
                <w:sz w:val="24"/>
                <w:szCs w:val="24"/>
                <w:rFonts w:ascii="宋体" w:cs="宋体" w:eastAsia="宋体" w:hAnsi="宋体"/>
              </w:rPr>
              <w:t xml:space="preserve">1</w:t>
            </w:r>
          </w:p>
        </w:tc>
        <w:tc>
          <w:tcPr>
            <w:tcW w:type="dxa" w:w="11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10,000</w:t>
            </w:r>
          </w:p>
        </w:tc>
        <w:tc>
          <w:tcPr>
            <w:tcW w:type="dxa" w:w="132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每周发生次数</w:t>
            </w:r>
            <w:r>
              <w:rPr>
                <w:color w:val="000000"/>
                <w:sz w:val="28"/>
                <w:szCs w:val="28"/>
                <w:rFonts w:ascii="宋体" w:cs="宋体" w:eastAsia="宋体" w:hAnsi="宋体"/>
              </w:rPr>
              <w:t xml:space="preserve">&gt;</w:t>
            </w:r>
            <w:r>
              <w:rPr>
                <w:color w:val="1b324f"/>
                <w:sz w:val="24"/>
                <w:szCs w:val="24"/>
                <w:rFonts w:ascii="宋体" w:cs="宋体" w:eastAsia="宋体" w:hAnsi="宋体"/>
              </w:rPr>
              <w:t xml:space="preserve">1</w:t>
            </w:r>
          </w:p>
        </w:tc>
        <w:tc>
          <w:tcPr>
            <w:tcW w:type="dxa" w:w="69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7</w:t>
            </w:r>
          </w:p>
        </w:tc>
      </w:tr>
      <w:tr>
        <w:trPr>
          <w:tblHeader w:val="false"/>
          <w:trHeight w:val="1065" w:hRule="atLeast"/>
        </w:trPr>
        <w:tc>
          <w:tcPr>
            <w:tcW w:type="dxa" w:w="256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高中：偶尔的故障</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5%的产量</w:t>
            </w:r>
          </w:p>
        </w:tc>
        <w:tc>
          <w:tcPr>
            <w:tcW w:type="dxa" w:w="133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每月发生1次</w:t>
            </w:r>
          </w:p>
        </w:tc>
        <w:tc>
          <w:tcPr>
            <w:tcW w:type="dxa" w:w="11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5,000</w:t>
            </w:r>
          </w:p>
        </w:tc>
        <w:tc>
          <w:tcPr>
            <w:tcW w:type="dxa" w:w="132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每2周发生次数</w:t>
            </w:r>
            <w:r>
              <w:rPr>
                <w:color w:val="000000"/>
                <w:sz w:val="28"/>
                <w:szCs w:val="28"/>
                <w:rFonts w:ascii="宋体" w:cs="宋体" w:eastAsia="宋体" w:hAnsi="宋体"/>
              </w:rPr>
              <w:t xml:space="preserve">&gt;</w:t>
            </w:r>
            <w:r>
              <w:rPr>
                <w:color w:val="1b324f"/>
                <w:sz w:val="24"/>
                <w:szCs w:val="24"/>
                <w:rFonts w:ascii="宋体" w:cs="宋体" w:eastAsia="宋体" w:hAnsi="宋体"/>
              </w:rPr>
              <w:t xml:space="preserve">1</w:t>
            </w:r>
          </w:p>
        </w:tc>
        <w:tc>
          <w:tcPr>
            <w:tcW w:type="dxa" w:w="69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6</w:t>
            </w:r>
          </w:p>
        </w:tc>
      </w:tr>
      <w:tr>
        <w:trPr>
          <w:tblHeader w:val="false"/>
          <w:trHeight w:val="1065" w:hRule="atLeast"/>
        </w:trPr>
        <w:tc>
          <w:tcPr>
            <w:tcW w:type="dxa" w:w="256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中度：偶发故障（小比例）</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0.5%的产量</w:t>
            </w:r>
          </w:p>
        </w:tc>
        <w:tc>
          <w:tcPr>
            <w:tcW w:type="dxa" w:w="133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每年发生2次</w:t>
            </w:r>
          </w:p>
        </w:tc>
        <w:tc>
          <w:tcPr>
            <w:tcW w:type="dxa" w:w="11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1,000</w:t>
            </w:r>
          </w:p>
        </w:tc>
        <w:tc>
          <w:tcPr>
            <w:tcW w:type="dxa" w:w="132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每季度发生次数</w:t>
            </w:r>
            <w:r>
              <w:rPr>
                <w:color w:val="000000"/>
                <w:sz w:val="28"/>
                <w:szCs w:val="28"/>
                <w:rFonts w:ascii="宋体" w:cs="宋体" w:eastAsia="宋体" w:hAnsi="宋体"/>
              </w:rPr>
              <w:t xml:space="preserve">&gt;</w:t>
            </w:r>
            <w:r>
              <w:rPr>
                <w:color w:val="1b324f"/>
                <w:sz w:val="24"/>
                <w:szCs w:val="24"/>
                <w:rFonts w:ascii="宋体" w:cs="宋体" w:eastAsia="宋体" w:hAnsi="宋体"/>
              </w:rPr>
              <w:t xml:space="preserve">1</w:t>
            </w:r>
          </w:p>
        </w:tc>
        <w:tc>
          <w:tcPr>
            <w:tcW w:type="dxa" w:w="69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5</w:t>
            </w:r>
          </w:p>
        </w:tc>
      </w:tr>
      <w:tr>
        <w:trPr>
          <w:tblHeader w:val="false"/>
          <w:trHeight w:val="1065" w:hRule="atLeast"/>
        </w:trPr>
        <w:tc>
          <w:tcPr>
            <w:tcW w:type="dxa" w:w="256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中低：很少的故障</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0.1%的产量</w:t>
            </w:r>
          </w:p>
        </w:tc>
        <w:tc>
          <w:tcPr>
            <w:tcW w:type="dxa" w:w="133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每年发生1次</w:t>
            </w:r>
          </w:p>
        </w:tc>
        <w:tc>
          <w:tcPr>
            <w:tcW w:type="dxa" w:w="11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100</w:t>
            </w:r>
          </w:p>
        </w:tc>
        <w:tc>
          <w:tcPr>
            <w:tcW w:type="dxa" w:w="132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每半年发生次数</w:t>
            </w:r>
            <w:r>
              <w:rPr>
                <w:color w:val="000000"/>
                <w:sz w:val="28"/>
                <w:szCs w:val="28"/>
                <w:rFonts w:ascii="宋体" w:cs="宋体" w:eastAsia="宋体" w:hAnsi="宋体"/>
              </w:rPr>
              <w:t xml:space="preserve">&gt;</w:t>
            </w:r>
            <w:r>
              <w:rPr>
                <w:color w:val="1b324f"/>
                <w:sz w:val="24"/>
                <w:szCs w:val="24"/>
                <w:rFonts w:ascii="宋体" w:cs="宋体" w:eastAsia="宋体" w:hAnsi="宋体"/>
              </w:rPr>
              <w:t xml:space="preserve">1</w:t>
            </w:r>
          </w:p>
        </w:tc>
        <w:tc>
          <w:tcPr>
            <w:tcW w:type="dxa" w:w="69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4</w:t>
            </w:r>
          </w:p>
        </w:tc>
      </w:tr>
      <w:tr>
        <w:trPr>
          <w:tblHeader w:val="false"/>
          <w:trHeight w:val="1065" w:hRule="atLeast"/>
        </w:trPr>
        <w:tc>
          <w:tcPr>
            <w:tcW w:type="dxa" w:w="256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低：故障相对较少</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0.05 %的产量</w:t>
            </w:r>
          </w:p>
        </w:tc>
        <w:tc>
          <w:tcPr>
            <w:tcW w:type="dxa" w:w="133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每5发生年1次</w:t>
            </w:r>
          </w:p>
        </w:tc>
        <w:tc>
          <w:tcPr>
            <w:tcW w:type="dxa" w:w="11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10</w:t>
            </w:r>
          </w:p>
        </w:tc>
        <w:tc>
          <w:tcPr>
            <w:tcW w:type="dxa" w:w="132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每年发生次数</w:t>
            </w:r>
            <w:r>
              <w:rPr>
                <w:color w:val="000000"/>
                <w:sz w:val="28"/>
                <w:szCs w:val="28"/>
                <w:rFonts w:ascii="宋体" w:cs="宋体" w:eastAsia="宋体" w:hAnsi="宋体"/>
              </w:rPr>
              <w:t xml:space="preserve">&gt;</w:t>
            </w:r>
            <w:r>
              <w:rPr>
                <w:color w:val="1b324f"/>
                <w:sz w:val="24"/>
                <w:szCs w:val="24"/>
                <w:rFonts w:ascii="宋体" w:cs="宋体" w:eastAsia="宋体" w:hAnsi="宋体"/>
              </w:rPr>
              <w:t xml:space="preserve">1 </w:t>
            </w:r>
          </w:p>
        </w:tc>
        <w:tc>
          <w:tcPr>
            <w:tcW w:type="dxa" w:w="69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3</w:t>
            </w:r>
          </w:p>
        </w:tc>
      </w:tr>
    </w:tbl>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65"/>
        <w:gridCol w:w="1245"/>
        <w:gridCol w:w="1335"/>
        <w:gridCol w:w="1125"/>
        <w:gridCol w:w="1320"/>
        <w:gridCol w:w="690"/>
      </w:tblGrid>
      <w:tr>
        <w:trPr>
          <w:tblHeader w:val="false"/>
          <w:trHeight w:val="1065" w:hRule="atLeast"/>
        </w:trPr>
        <w:tc>
          <w:tcPr>
            <w:tcW w:type="dxa" w:w="256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低：故障很少（孤立事件）</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0.01%的产量</w:t>
            </w:r>
          </w:p>
        </w:tc>
        <w:tc>
          <w:tcPr>
            <w:tcW w:type="dxa" w:w="133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每10年发生1次</w:t>
            </w:r>
          </w:p>
        </w:tc>
        <w:tc>
          <w:tcPr>
            <w:tcW w:type="dxa" w:w="11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1</w:t>
            </w:r>
          </w:p>
        </w:tc>
        <w:tc>
          <w:tcPr>
            <w:tcW w:type="dxa" w:w="132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每年发生次数&lt;1</w:t>
            </w:r>
          </w:p>
        </w:tc>
        <w:tc>
          <w:tcPr>
            <w:tcW w:type="dxa" w:w="69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2</w:t>
            </w:r>
          </w:p>
        </w:tc>
      </w:tr>
      <w:tr>
        <w:trPr>
          <w:tblHeader w:val="false"/>
          <w:trHeight w:val="1065" w:hRule="atLeast"/>
        </w:trPr>
        <w:tc>
          <w:tcPr>
            <w:tcW w:type="dxa" w:w="256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极低：通过预防控制消除故障</w:t>
            </w:r>
          </w:p>
        </w:tc>
        <w:tc>
          <w:tcPr>
            <w:tcW w:type="dxa" w:w="124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小于产量的0.01%</w:t>
            </w:r>
          </w:p>
        </w:tc>
        <w:tc>
          <w:tcPr>
            <w:tcW w:type="dxa" w:w="133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每10年发生&lt;1次</w:t>
            </w:r>
          </w:p>
        </w:tc>
        <w:tc>
          <w:tcPr>
            <w:tcW w:type="dxa" w:w="112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零</w:t>
            </w:r>
          </w:p>
        </w:tc>
        <w:tc>
          <w:tcPr>
            <w:tcW w:type="dxa" w:w="132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从不发生</w:t>
            </w:r>
          </w:p>
        </w:tc>
        <w:tc>
          <w:tcPr>
            <w:tcW w:type="dxa" w:w="69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1</w:t>
            </w:r>
          </w:p>
        </w:tc>
      </w:tr>
    </w:tbl>
    <w:p>
      <w:pPr>
        <w:spacing w:before="0" w:after="0" w:line="280" w:lineRule="exact"/>
        <w:jc w:val="center"/>
      </w:pPr>
      <w:r>
        <w:rPr>
          <w:sz w:val="28"/>
          <w:szCs w:val="28"/>
          <w:rFonts w:ascii="宋体" w:cs="宋体" w:eastAsia="宋体" w:hAnsi="宋体"/>
        </w:rPr>
      </w:r>
    </w:p>
    <w:p>
      <w:pPr>
        <w:spacing w:before="0" w:after="0" w:line="210" w:lineRule="exact"/>
        <w:jc w:val="center"/>
      </w:pPr>
      <w:r>
        <w:rPr>
          <w:color w:val="1b324f"/>
          <w:sz w:val="21"/>
          <w:szCs w:val="21"/>
          <w:rFonts w:ascii="宋体" w:cs="宋体" w:eastAsia="宋体" w:hAnsi="宋体"/>
        </w:rPr>
      </w:r>
    </w:p>
    <w:p>
      <w:pPr>
        <w:spacing w:before="0" w:after="0" w:line="210" w:lineRule="exact"/>
        <w:jc w:val="center"/>
      </w:pPr>
      <w:r>
        <w:rPr>
          <w:color w:val="1b324f"/>
          <w:sz w:val="21"/>
          <w:szCs w:val="21"/>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center"/>
      </w:pPr>
      <w:r>
        <w:rPr>
          <w:color w:val="121212"/>
          <w:sz w:val="28"/>
          <w:szCs w:val="28"/>
          <w:rFonts w:ascii="黑体" w:cs="黑体" w:eastAsia="黑体" w:hAnsi="黑体"/>
        </w:rPr>
        <w:t xml:space="preserve">附录C</w:t>
      </w:r>
    </w:p>
    <w:p>
      <w:pPr>
        <w:spacing w:before="0" w:after="0"/>
        <w:jc w:val="center"/>
      </w:pPr>
      <w:r>
        <w:rPr>
          <w:color w:val="121212"/>
          <w:sz w:val="28"/>
          <w:szCs w:val="28"/>
          <w:rFonts w:ascii="黑体" w:cs="黑体" w:eastAsia="黑体" w:hAnsi="黑体"/>
        </w:rPr>
        <w:t xml:space="preserve">（规范性）</w:t>
      </w:r>
    </w:p>
    <w:p>
      <w:pPr>
        <w:spacing w:before="0" w:after="0"/>
        <w:jc w:val="center"/>
      </w:pPr>
      <w:r>
        <w:rPr>
          <w:color w:val="121212"/>
          <w:sz w:val="28"/>
          <w:szCs w:val="28"/>
          <w:rFonts w:ascii="黑体" w:cs="黑体" w:eastAsia="黑体" w:hAnsi="黑体"/>
        </w:rPr>
        <w:t xml:space="preserve">探测度(D)评价准则</w:t>
      </w:r>
    </w:p>
    <w:p>
      <w:pPr>
        <w:spacing w:before="0" w:after="0" w:line="210" w:lineRule="exact"/>
        <w:jc w:val="center"/>
      </w:pPr>
      <w:r>
        <w:rPr>
          <w:color w:val="1b324f"/>
          <w:sz w:val="21"/>
          <w:szCs w:val="21"/>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60"/>
        <w:gridCol w:w="6150"/>
        <w:gridCol w:w="870"/>
      </w:tblGrid>
      <w:tr>
        <w:trPr>
          <w:tblHeader w:val="false"/>
          <w:trHeight w:val="1065" w:hRule="atLeast"/>
        </w:trPr>
        <w:tc>
          <w:tcPr>
            <w:tcW w:type="dxa" w:w="12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探测可能性</w:t>
            </w:r>
          </w:p>
        </w:tc>
        <w:tc>
          <w:tcPr>
            <w:tcW w:type="dxa" w:w="61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探测准则</w:t>
            </w:r>
          </w:p>
        </w:tc>
        <w:tc>
          <w:tcPr>
            <w:tcW w:type="dxa" w:w="87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级别</w:t>
            </w:r>
          </w:p>
        </w:tc>
      </w:tr>
      <w:tr>
        <w:trPr>
          <w:tblHeader w:val="false"/>
          <w:trHeight w:val="1065" w:hRule="atLeast"/>
        </w:trPr>
        <w:tc>
          <w:tcPr>
            <w:tcW w:type="dxa" w:w="12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绝对不可能探测</w:t>
            </w:r>
          </w:p>
        </w:tc>
        <w:tc>
          <w:tcPr>
            <w:tcW w:type="dxa" w:w="61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没有现行过程控制；无法探测或不能进行符合性分析</w:t>
            </w:r>
          </w:p>
        </w:tc>
        <w:tc>
          <w:tcPr>
            <w:tcW w:type="dxa" w:w="87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10</w:t>
            </w:r>
          </w:p>
        </w:tc>
      </w:tr>
      <w:tr>
        <w:trPr>
          <w:tblHeader w:val="false"/>
          <w:trHeight w:val="1065" w:hRule="atLeast"/>
        </w:trPr>
        <w:tc>
          <w:tcPr>
            <w:tcW w:type="dxa" w:w="12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难以探测</w:t>
            </w:r>
          </w:p>
        </w:tc>
        <w:tc>
          <w:tcPr>
            <w:tcW w:type="dxa" w:w="61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缺陷(失效模式)和/或错误(原因)不容易探测(例：随机审核)</w:t>
            </w:r>
          </w:p>
        </w:tc>
        <w:tc>
          <w:tcPr>
            <w:tcW w:type="dxa" w:w="87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9</w:t>
            </w:r>
          </w:p>
        </w:tc>
      </w:tr>
      <w:tr>
        <w:trPr>
          <w:tblHeader w:val="false"/>
          <w:trHeight w:val="630" w:hRule="atLeast"/>
        </w:trPr>
        <w:tc>
          <w:tcPr>
            <w:tcW w:type="dxa" w:w="12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微小</w:t>
            </w:r>
          </w:p>
        </w:tc>
        <w:tc>
          <w:tcPr>
            <w:tcW w:type="dxa" w:w="61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通过视觉/触觉/听觉进行缺陷(失效模式)的加工后探测</w:t>
            </w:r>
          </w:p>
        </w:tc>
        <w:tc>
          <w:tcPr>
            <w:tcW w:type="dxa" w:w="87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8</w:t>
            </w:r>
          </w:p>
        </w:tc>
      </w:tr>
      <w:tr>
        <w:trPr>
          <w:tblHeader w:val="false"/>
          <w:trHeight w:val="630" w:hRule="atLeast"/>
        </w:trPr>
        <w:tc>
          <w:tcPr>
            <w:tcW w:type="dxa" w:w="12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很小</w:t>
            </w:r>
          </w:p>
        </w:tc>
        <w:tc>
          <w:tcPr>
            <w:tcW w:type="dxa" w:w="61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通过视觉/触觉/听觉进行缺陷(失效模式)的工位内探测</w:t>
            </w:r>
          </w:p>
        </w:tc>
        <w:tc>
          <w:tcPr>
            <w:tcW w:type="dxa" w:w="87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7</w:t>
            </w:r>
          </w:p>
        </w:tc>
      </w:tr>
      <w:tr>
        <w:trPr>
          <w:tblHeader w:val="false"/>
          <w:trHeight w:val="1065" w:hRule="atLeast"/>
        </w:trPr>
        <w:tc>
          <w:tcPr>
            <w:tcW w:type="dxa" w:w="12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小</w:t>
            </w:r>
          </w:p>
        </w:tc>
        <w:tc>
          <w:tcPr>
            <w:tcW w:type="dxa" w:w="61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探测基于构件离开工位后的计量测量，或者构件离开工位后100%的计数测量</w:t>
            </w:r>
          </w:p>
        </w:tc>
        <w:tc>
          <w:tcPr>
            <w:tcW w:type="dxa" w:w="87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6</w:t>
            </w:r>
          </w:p>
        </w:tc>
      </w:tr>
      <w:tr>
        <w:trPr>
          <w:tblHeader w:val="false"/>
          <w:trHeight w:val="1065" w:hRule="atLeast"/>
        </w:trPr>
        <w:tc>
          <w:tcPr>
            <w:tcW w:type="dxa" w:w="12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中等</w:t>
            </w:r>
          </w:p>
        </w:tc>
        <w:tc>
          <w:tcPr>
            <w:tcW w:type="dxa" w:w="61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在后续工位上的错误探测，或在作业准备时进行测量和首件检查，探测差异部件和锁定部件以防止进一步处理。</w:t>
            </w:r>
          </w:p>
        </w:tc>
        <w:tc>
          <w:tcPr>
            <w:tcW w:type="dxa" w:w="87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5</w:t>
            </w:r>
          </w:p>
        </w:tc>
      </w:tr>
      <w:tr>
        <w:trPr>
          <w:tblHeader w:val="false"/>
          <w:trHeight w:val="1065" w:hRule="atLeast"/>
        </w:trPr>
        <w:tc>
          <w:tcPr>
            <w:tcW w:type="dxa" w:w="12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中上</w:t>
            </w:r>
          </w:p>
        </w:tc>
        <w:tc>
          <w:tcPr>
            <w:tcW w:type="dxa" w:w="61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在工位上的错误探测，或利用多层验收在后续工序上进行错误探测。不能接受有差异的构件</w:t>
            </w:r>
          </w:p>
        </w:tc>
        <w:tc>
          <w:tcPr>
            <w:tcW w:type="dxa" w:w="87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4</w:t>
            </w:r>
          </w:p>
        </w:tc>
      </w:tr>
      <w:tr>
        <w:trPr>
          <w:tblHeader w:val="false"/>
          <w:trHeight w:val="1065" w:hRule="atLeast"/>
        </w:trPr>
        <w:tc>
          <w:tcPr>
            <w:tcW w:type="dxa" w:w="12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高</w:t>
            </w:r>
          </w:p>
        </w:tc>
        <w:tc>
          <w:tcPr>
            <w:tcW w:type="dxa" w:w="61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离开工位后通过自动控制探测缺陷(失效模式)并扣留有差异的零件以防止进入下一工序</w:t>
            </w:r>
          </w:p>
        </w:tc>
        <w:tc>
          <w:tcPr>
            <w:tcW w:type="dxa" w:w="87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3</w:t>
            </w:r>
          </w:p>
        </w:tc>
      </w:tr>
      <w:tr>
        <w:trPr>
          <w:tblHeader w:val="false"/>
          <w:trHeight w:val="1065" w:hRule="atLeast"/>
        </w:trPr>
        <w:tc>
          <w:tcPr>
            <w:tcW w:type="dxa" w:w="12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很高</w:t>
            </w:r>
          </w:p>
        </w:tc>
        <w:tc>
          <w:tcPr>
            <w:tcW w:type="dxa" w:w="61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通过自动控制进行工位内错误(原因)检测，可检测错误并防止制造出差异部件</w:t>
            </w:r>
          </w:p>
        </w:tc>
        <w:tc>
          <w:tcPr>
            <w:tcW w:type="dxa" w:w="87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2</w:t>
            </w:r>
          </w:p>
        </w:tc>
      </w:tr>
      <w:tr>
        <w:trPr>
          <w:tblHeader w:val="false"/>
          <w:trHeight w:val="1065" w:hRule="atLeast"/>
        </w:trPr>
        <w:tc>
          <w:tcPr>
            <w:tcW w:type="dxa" w:w="12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肯定</w:t>
            </w:r>
          </w:p>
        </w:tc>
        <w:tc>
          <w:tcPr>
            <w:tcW w:type="dxa" w:w="61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以夹具设计、机械设计或零件设计所做的错误(原因)预防，不会产生缺陷零件</w:t>
            </w:r>
          </w:p>
        </w:tc>
        <w:tc>
          <w:tcPr>
            <w:tcW w:type="dxa" w:w="87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1</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center"/>
      </w:pPr>
      <w:r>
        <w:rPr>
          <w:color w:val="121212"/>
          <w:sz w:val="28"/>
          <w:szCs w:val="28"/>
          <w:rFonts w:ascii="黑体" w:cs="黑体" w:eastAsia="黑体" w:hAnsi="黑体"/>
        </w:rPr>
        <w:t xml:space="preserve">附录D</w:t>
      </w:r>
    </w:p>
    <w:p>
      <w:pPr>
        <w:spacing w:before="0" w:after="0"/>
        <w:jc w:val="center"/>
      </w:pPr>
      <w:r>
        <w:rPr>
          <w:color w:val="121212"/>
          <w:sz w:val="28"/>
          <w:szCs w:val="28"/>
          <w:rFonts w:ascii="黑体" w:cs="黑体" w:eastAsia="黑体" w:hAnsi="黑体"/>
        </w:rPr>
        <w:t xml:space="preserve">（规范性）</w:t>
      </w:r>
    </w:p>
    <w:p>
      <w:pPr>
        <w:spacing w:before="0" w:after="0"/>
        <w:jc w:val="center"/>
      </w:pPr>
      <w:r>
        <w:rPr>
          <w:color w:val="121212"/>
          <w:sz w:val="28"/>
          <w:szCs w:val="28"/>
          <w:rFonts w:ascii="黑体" w:cs="黑体" w:eastAsia="黑体" w:hAnsi="黑体"/>
        </w:rPr>
        <w:t xml:space="preserve">风险顺序数(RPN)确定风险等级的评价准则</w:t>
      </w:r>
    </w:p>
    <w:p>
      <w:pPr>
        <w:spacing w:before="0" w:after="0" w:line="210" w:lineRule="exact"/>
        <w:jc w:val="center"/>
      </w:pPr>
      <w:r>
        <w:rPr>
          <w:color w:val="1b324f"/>
          <w:sz w:val="21"/>
          <w:szCs w:val="21"/>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260"/>
        <w:gridCol w:w="2805"/>
        <w:gridCol w:w="2295"/>
      </w:tblGrid>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RPN值</w:t>
            </w:r>
          </w:p>
        </w:tc>
        <w:tc>
          <w:tcPr>
            <w:tcW w:type="dxa" w:w="12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风险等级</w:t>
            </w:r>
          </w:p>
        </w:tc>
        <w:tc>
          <w:tcPr>
            <w:tcW w:type="dxa" w:w="280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对事项影响程度</w:t>
            </w:r>
          </w:p>
        </w:tc>
        <w:tc>
          <w:tcPr>
            <w:tcW w:type="dxa" w:w="22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应对措施</w:t>
            </w:r>
          </w:p>
        </w:tc>
      </w:tr>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RPN≤100</w:t>
            </w:r>
          </w:p>
        </w:tc>
        <w:tc>
          <w:tcPr>
            <w:tcW w:type="dxa" w:w="126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低风险</w:t>
            </w:r>
          </w:p>
        </w:tc>
        <w:tc>
          <w:tcPr>
            <w:tcW w:type="dxa" w:w="280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轻微影响</w:t>
            </w:r>
          </w:p>
        </w:tc>
        <w:tc>
          <w:tcPr>
            <w:tcW w:type="dxa" w:w="22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不需采取措施</w:t>
            </w:r>
          </w:p>
        </w:tc>
      </w:tr>
      <w:tr>
        <w:trPr>
          <w:tblHeader w:val="false"/>
          <w:trHeight w:val="630" w:hRule="atLeast"/>
        </w:trPr>
        <w:tc>
          <w:tcPr>
            <w:tcW w:type="dxa" w:w="1650"/>
            <w:gridSpan w:val="1"/>
            <w:vMerge w:val="restart"/>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100＜RPN≤500</w:t>
            </w:r>
          </w:p>
        </w:tc>
        <w:tc>
          <w:tcPr>
            <w:tcW w:type="dxa" w:w="1260"/>
            <w:gridSpan w:val="1"/>
            <w:vMerge w:val="restart"/>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中风险</w:t>
            </w:r>
          </w:p>
        </w:tc>
        <w:tc>
          <w:tcPr>
            <w:tcW w:type="dxa" w:w="2805"/>
            <w:gridSpan w:val="1"/>
            <w:vMerge w:val="restart"/>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有一定影响，采取应对措施后，可正常运行</w:t>
            </w:r>
          </w:p>
        </w:tc>
        <w:tc>
          <w:tcPr>
            <w:tcW w:type="dxa" w:w="2295"/>
            <w:gridSpan w:val="1"/>
            <w:vMerge w:val="restart"/>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制定预防措施并组织实施</w:t>
            </w:r>
          </w:p>
        </w:tc>
      </w:tr>
      <w:tr>
        <w:trPr>
          <w:tblHeader w:val="false"/>
          <w:trHeight w:val="1170" w:hRule="atLeast"/>
        </w:trPr>
        <w:tc>
          <w:tcPr>
            <w:gridSpan w:val="1"/>
            <w:vMerge w:val="continue"/>
          </w:tcPr>
          <w:p/>
        </w:tc>
        <w:tc>
          <w:tcPr>
            <w:gridSpan w:val="1"/>
            <w:vMerge w:val="continue"/>
          </w:tcPr>
          <w:p/>
        </w:tc>
        <w:tc>
          <w:tcPr>
            <w:gridSpan w:val="1"/>
            <w:vMerge w:val="continue"/>
          </w:tcPr>
          <w:p/>
        </w:tc>
        <w:tc>
          <w:tcPr>
            <w:gridSpan w:val="1"/>
            <w:vMerge w:val="continue"/>
          </w:tcPr>
          <w:p/>
        </w:tc>
      </w:tr>
      <w:tr>
        <w:trPr>
          <w:tblHeader w:val="false"/>
          <w:trHeight w:val="630" w:hRule="atLeast"/>
        </w:trPr>
        <w:tc>
          <w:tcPr>
            <w:tcW w:type="dxa" w:w="1650"/>
            <w:gridSpan w:val="1"/>
            <w:vMerge w:val="restart"/>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RPN＞500</w:t>
            </w:r>
          </w:p>
        </w:tc>
        <w:tc>
          <w:tcPr>
            <w:tcW w:type="dxa" w:w="1260"/>
            <w:gridSpan w:val="1"/>
            <w:vMerge w:val="restart"/>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高风险</w:t>
            </w:r>
          </w:p>
        </w:tc>
        <w:tc>
          <w:tcPr>
            <w:tcW w:type="dxa" w:w="2805"/>
            <w:gridSpan w:val="1"/>
            <w:vMerge w:val="restart"/>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影响事项正常运行，必须先采取应对措施消除潜在风险</w:t>
            </w:r>
          </w:p>
        </w:tc>
        <w:tc>
          <w:tcPr>
            <w:tcW w:type="dxa" w:w="2295"/>
            <w:gridSpan w:val="1"/>
            <w:vMerge w:val="restart"/>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制定应急措施和预防措施并组织实施</w:t>
            </w:r>
          </w:p>
        </w:tc>
      </w:tr>
      <w:tr>
        <w:trPr>
          <w:tblHeader w:val="false"/>
          <w:trHeight w:val="915" w:hRule="atLeast"/>
        </w:trPr>
        <w:tc>
          <w:tcPr>
            <w:gridSpan w:val="1"/>
            <w:vMerge w:val="continue"/>
          </w:tcPr>
          <w:p/>
        </w:tc>
        <w:tc>
          <w:tcPr>
            <w:gridSpan w:val="1"/>
            <w:vMerge w:val="continue"/>
          </w:tcPr>
          <w:p/>
        </w:tc>
        <w:tc>
          <w:tcPr>
            <w:gridSpan w:val="1"/>
            <w:vMerge w:val="continue"/>
          </w:tcPr>
          <w:p/>
        </w:tc>
        <w:tc>
          <w:tcPr>
            <w:gridSpan w:val="1"/>
            <w:vMerge w:val="continue"/>
          </w:tcPr>
          <w:p/>
        </w:tc>
      </w:tr>
    </w:tbl>
    <w:sectPr>
      <w:headerReference w:type="default" r:id="rId40"/>
      <w:footerReference w:type="default" r:id="rId41"/>
      <w:pgSz w:w="11906" w:h="16838" w:orient="portrait"/>
      <w:pgMar w:top="1440" w:right="1802" w:bottom="1440" w:left="1802" w:header="708" w:footer="708" w:gutter="0"/>
      <w:pgNumType w:start="18"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1</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1</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1</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1</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1</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1</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1</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4</w:t>
    </w:r>
    <w:r>
      <w:t xml:space="preserve">1</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image" Target="media/mo3e6gmkqcd-81wnyilbn.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2026-06-10T08:56:57.108Z</dcterms:created>
  <dcterms:modified xsi:type="dcterms:W3CDTF">2026-06-10T08:56:57.108Z</dcterms:modified>
</cp:coreProperties>
</file>

<file path=docProps/custom.xml><?xml version="1.0" encoding="utf-8"?>
<Properties xmlns="http://schemas.openxmlformats.org/officeDocument/2006/custom-properties" xmlns:vt="http://schemas.openxmlformats.org/officeDocument/2006/docPropsVTypes"/>
</file>