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本制度由科技创新部提出并起草。</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ARJ21项目零组部件的称重管理标准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本文件规定了批产阶段ARJ21项目的零件、组件、部件、成品件称重及重量检验要求。</w:t>
      </w:r>
    </w:p>
    <w:p>
      <w:pPr>
        <w:spacing w:before="0" w:after="0"/>
        <w:jc w:val="both"/>
      </w:pPr>
      <w:r>
        <w:rPr>
          <w:color w:val="000000"/>
          <w:sz w:val="28"/>
          <w:szCs w:val="28"/>
          <w:rFonts w:ascii="宋体" w:cs="宋体" w:eastAsia="宋体" w:hAnsi="宋体"/>
        </w:rPr>
        <w:t xml:space="preserve">本文件适用于ARJ21项目。</w:t>
      </w:r>
    </w:p>
    <w:p>
      <w:pPr>
        <w:spacing w:before="0" w:after="0"/>
        <w:jc w:val="both"/>
      </w:pPr>
      <w:r>
        <w:rPr>
          <w:color w:val="000000"/>
          <w:sz w:val="28"/>
          <w:szCs w:val="28"/>
          <w:rFonts w:ascii="宋体" w:cs="宋体" w:eastAsia="宋体" w:hAnsi="宋体"/>
        </w:rPr>
        <w:t xml:space="preserve">本文件依据114GD2003和GLC140506的要求制定。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114GD2003  ARJ21-700飞机批产阶段零组部件称重规定</w:t>
      </w:r>
    </w:p>
    <w:p>
      <w:pPr>
        <w:spacing w:before="0" w:after="0"/>
        <w:jc w:val="both"/>
      </w:pPr>
      <w:r>
        <w:rPr>
          <w:color w:val="000000"/>
          <w:sz w:val="28"/>
          <w:szCs w:val="28"/>
          <w:rFonts w:ascii="宋体" w:cs="宋体" w:eastAsia="宋体" w:hAnsi="宋体"/>
        </w:rPr>
        <w:t xml:space="preserve">GLC140506  工艺过程管控管理程序</w:t>
      </w:r>
    </w:p>
    <w:p>
      <w:pPr>
        <w:spacing w:before="0" w:after="0"/>
        <w:jc w:val="both"/>
      </w:pPr>
      <w:r>
        <w:rPr>
          <w:color w:val="000000"/>
          <w:sz w:val="28"/>
          <w:szCs w:val="28"/>
          <w:rFonts w:ascii="宋体" w:cs="宋体" w:eastAsia="宋体" w:hAnsi="宋体"/>
        </w:rPr>
        <w:t xml:space="preserve">GLC14080401  不合格品不合格品控制管理程序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称重范围</w:t>
      </w:r>
    </w:p>
    <w:p>
      <w:pPr>
        <w:spacing w:before="0" w:after="0"/>
        <w:jc w:val="both"/>
      </w:pPr>
      <w:r>
        <w:rPr>
          <w:color w:val="1b324f"/>
          <w:sz w:val="28"/>
          <w:szCs w:val="28"/>
          <w:rFonts w:ascii="宋体" w:cs="宋体" w:eastAsia="宋体" w:hAnsi="宋体"/>
        </w:rPr>
        <w:t xml:space="preserve">5.1.1  </w:t>
      </w:r>
      <w:r>
        <w:rPr>
          <w:color w:val="000000"/>
          <w:sz w:val="28"/>
          <w:szCs w:val="28"/>
          <w:rFonts w:ascii="宋体" w:cs="宋体" w:eastAsia="宋体" w:hAnsi="宋体"/>
        </w:rPr>
        <w:t xml:space="preserve">零件称重项目：所有理论重量不小于5kg的零件均需进行称重。</w:t>
      </w:r>
    </w:p>
    <w:p>
      <w:pPr>
        <w:spacing w:before="0" w:after="0"/>
        <w:jc w:val="both"/>
      </w:pPr>
      <w:r>
        <w:rPr>
          <w:color w:val="000000"/>
          <w:sz w:val="28"/>
          <w:szCs w:val="28"/>
          <w:rFonts w:ascii="宋体" w:cs="宋体" w:eastAsia="宋体" w:hAnsi="宋体"/>
        </w:rPr>
        <w:t xml:space="preserve">5.1.2  组、部件称重项目：按照114GD2003中的“称重项目清单”（设计组部件）进行称重，若该清单中存在现场无法开展称重工作的项目，可根据现场情况对实际的组、部件进行称重，明确称重状态并记录。组、部件重量基准来源于中国商飞IDEAL平台数据，可在114GD2003中的“称重项目清单”中进行查找，对于小于45g的设计更改可不对组、部件理论重量进行修正，在完成三维化后理论重量可见图纸WML；电缆线束组件称重项目的检验依据可见图纸WML。</w:t>
      </w:r>
    </w:p>
    <w:p>
      <w:pPr>
        <w:spacing w:before="0" w:after="0"/>
        <w:jc w:val="both"/>
      </w:pPr>
      <w:r>
        <w:rPr>
          <w:color w:val="000000"/>
          <w:sz w:val="28"/>
          <w:szCs w:val="28"/>
          <w:rFonts w:ascii="宋体" w:cs="宋体" w:eastAsia="宋体" w:hAnsi="宋体"/>
        </w:rPr>
        <w:t xml:space="preserve">5.1.3  除以上要求的称重项目外，制造单位可根据实际情况自行对其它产品进行抽查称重检验。</w:t>
      </w:r>
    </w:p>
    <w:p>
      <w:pPr>
        <w:spacing w:before="0" w:after="0"/>
        <w:jc w:val="both"/>
      </w:pPr>
      <w:r>
        <w:rPr>
          <w:color w:val="000000"/>
          <w:sz w:val="28"/>
          <w:szCs w:val="28"/>
          <w:rFonts w:ascii="黑体" w:cs="黑体" w:eastAsia="黑体" w:hAnsi="黑体"/>
        </w:rPr>
        <w:t xml:space="preserve">5.2  称重及检验要求</w:t>
      </w:r>
    </w:p>
    <w:p>
      <w:pPr>
        <w:spacing w:before="0" w:after="0"/>
        <w:jc w:val="both"/>
      </w:pPr>
      <w:r>
        <w:rPr>
          <w:color w:val="000000"/>
          <w:sz w:val="28"/>
          <w:szCs w:val="28"/>
          <w:rFonts w:ascii="宋体" w:cs="宋体" w:eastAsia="宋体" w:hAnsi="宋体"/>
        </w:rPr>
        <w:t xml:space="preserve">5.2.1  称重产品应在按图样技术文件要求的交付状态下进行称重。左、右件应分别称重，分别记录。</w:t>
      </w:r>
    </w:p>
    <w:p>
      <w:pPr>
        <w:spacing w:before="0" w:after="0"/>
        <w:jc w:val="both"/>
      </w:pPr>
      <w:r>
        <w:rPr>
          <w:color w:val="000000"/>
          <w:sz w:val="28"/>
          <w:szCs w:val="28"/>
          <w:rFonts w:ascii="黑体" w:cs="黑体" w:eastAsia="黑体" w:hAnsi="黑体"/>
        </w:rPr>
        <w:t xml:space="preserve">5.2.2  零件称重及检验要求</w:t>
      </w:r>
    </w:p>
    <w:p>
      <w:pPr>
        <w:spacing w:before="0" w:after="0"/>
        <w:jc w:val="both"/>
      </w:pPr>
      <w:r>
        <w:rPr>
          <w:color w:val="000000"/>
          <w:sz w:val="28"/>
          <w:szCs w:val="28"/>
          <w:rFonts w:ascii="宋体" w:cs="宋体" w:eastAsia="宋体" w:hAnsi="宋体"/>
        </w:rPr>
        <w:t xml:space="preserve">a)零件称重状态应符合图样技术文件要求的几何状态；</w:t>
      </w:r>
    </w:p>
    <w:p>
      <w:pPr>
        <w:spacing w:before="0" w:after="0"/>
        <w:jc w:val="both"/>
      </w:pPr>
      <w:r>
        <w:rPr>
          <w:color w:val="000000"/>
          <w:sz w:val="28"/>
          <w:szCs w:val="28"/>
          <w:rFonts w:ascii="宋体" w:cs="宋体" w:eastAsia="宋体" w:hAnsi="宋体"/>
        </w:rPr>
        <w:t xml:space="preserve">b)零件称重一般在表面处理前进行；</w:t>
      </w:r>
    </w:p>
    <w:p>
      <w:pPr>
        <w:spacing w:before="0" w:after="0"/>
        <w:jc w:val="both"/>
      </w:pPr>
      <w:r>
        <w:rPr>
          <w:color w:val="000000"/>
          <w:sz w:val="28"/>
          <w:szCs w:val="28"/>
          <w:rFonts w:ascii="宋体" w:cs="宋体" w:eastAsia="宋体" w:hAnsi="宋体"/>
        </w:rPr>
        <w:t xml:space="preserve">c)对某些材料经热处理后，很难进行机械加工的零件，应在热处理前进行，以便及时处理；</w:t>
      </w:r>
    </w:p>
    <w:p>
      <w:pPr>
        <w:spacing w:before="0" w:after="0"/>
        <w:jc w:val="both"/>
      </w:pPr>
      <w:r>
        <w:rPr>
          <w:color w:val="000000"/>
          <w:sz w:val="28"/>
          <w:szCs w:val="28"/>
          <w:rFonts w:ascii="宋体" w:cs="宋体" w:eastAsia="宋体" w:hAnsi="宋体"/>
        </w:rPr>
        <w:t xml:space="preserve">d) 零件称重后，称重单位将称重数据记录在《ARJ21-700飞机产品称重数据登记表》中，格式见附录A；如出现重量超差，称重单位需填写《ARJ21-700飞机产品重量超差处理单》并完成审签流程（按114GD2003），格式见附录A；</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e)如果存在用于装配的加工余量，记录时应扣除余量，并在工艺余量栏内注明余量数值；</w:t>
      </w:r>
    </w:p>
    <w:p>
      <w:pPr>
        <w:spacing w:before="0" w:after="0"/>
        <w:jc w:val="both"/>
      </w:pPr>
      <w:r>
        <w:rPr>
          <w:color w:val="000000"/>
          <w:sz w:val="28"/>
          <w:szCs w:val="28"/>
          <w:rFonts w:ascii="宋体" w:cs="宋体" w:eastAsia="宋体" w:hAnsi="宋体"/>
        </w:rPr>
        <w:t xml:space="preserve">f)各称重单位称重完成后及时将《ARJ21-700飞机产品称重数据登记表》一份在本单位质量工程室存档，一份移交项目部国内项目室，由国内项目室汇总后每月底前交付中国商飞归档。</w:t>
      </w:r>
    </w:p>
    <w:p>
      <w:pPr>
        <w:spacing w:before="0" w:after="0"/>
        <w:jc w:val="both"/>
      </w:pPr>
      <w:r>
        <w:rPr>
          <w:color w:val="000000"/>
          <w:sz w:val="28"/>
          <w:szCs w:val="28"/>
          <w:rFonts w:ascii="黑体" w:cs="黑体" w:eastAsia="黑体" w:hAnsi="黑体"/>
        </w:rPr>
        <w:t xml:space="preserve">5.2.3  组、部件称重及检验要求</w:t>
      </w:r>
    </w:p>
    <w:p>
      <w:pPr>
        <w:spacing w:before="0" w:after="0"/>
        <w:jc w:val="both"/>
      </w:pPr>
      <w:r>
        <w:rPr>
          <w:color w:val="000000"/>
          <w:sz w:val="28"/>
          <w:szCs w:val="28"/>
          <w:rFonts w:ascii="宋体" w:cs="宋体" w:eastAsia="宋体" w:hAnsi="宋体"/>
        </w:rPr>
        <w:t xml:space="preserve">a)组、部件称重后，无论是否重量超差，均需记录在《ARJ21-700飞机组部件称重验收审批单》中并完成审签流程（按114GD2003），格式见附录A。考虑现生产架次量较大，若制造单位可向中国商飞重量专业提供已有的称重数据以表明生产工艺的稳定性，经中国商飞重量专业评估同意后，对于未发生超差的称重审批单可不必提交重量专业审批，由制造单位保存，备中国商飞重量专业抽查；</w:t>
      </w:r>
    </w:p>
    <w:p>
      <w:pPr>
        <w:spacing w:before="0" w:after="0"/>
        <w:jc w:val="both"/>
      </w:pPr>
      <w:r>
        <w:rPr>
          <w:color w:val="000000"/>
          <w:sz w:val="28"/>
          <w:szCs w:val="28"/>
          <w:rFonts w:ascii="宋体" w:cs="宋体" w:eastAsia="宋体" w:hAnsi="宋体"/>
        </w:rPr>
        <w:t xml:space="preserve">b)电缆线束每隔3 架次进行一次称重，电缆线束组件称重后，需填写《ARJ21-700飞机组部件称重验收审批单》并完成审签流程（按114GD2003）。</w:t>
      </w:r>
    </w:p>
    <w:p>
      <w:pPr>
        <w:spacing w:before="0" w:after="0"/>
        <w:jc w:val="both"/>
      </w:pPr>
      <w:r>
        <w:rPr>
          <w:color w:val="000000"/>
          <w:sz w:val="28"/>
          <w:szCs w:val="28"/>
          <w:rFonts w:ascii="黑体" w:cs="黑体" w:eastAsia="黑体" w:hAnsi="黑体"/>
        </w:rPr>
        <w:t xml:space="preserve">5.2.4  成品件称重要求</w:t>
      </w:r>
    </w:p>
    <w:p>
      <w:pPr>
        <w:spacing w:before="0" w:after="0"/>
        <w:jc w:val="both"/>
      </w:pPr>
      <w:r>
        <w:rPr>
          <w:color w:val="000000"/>
          <w:sz w:val="28"/>
          <w:szCs w:val="28"/>
          <w:rFonts w:ascii="宋体" w:cs="宋体" w:eastAsia="宋体" w:hAnsi="宋体"/>
        </w:rPr>
        <w:t xml:space="preserve">物流仓储中心对成品件进行验收时，应对供应商提供的成品件称重数据进行存档，以备中国商飞上飞院重量工程室按需对称重数据进行检查和对成品件进行称重抽查。</w:t>
      </w:r>
    </w:p>
    <w:p>
      <w:pPr>
        <w:spacing w:before="0" w:after="0"/>
        <w:jc w:val="both"/>
      </w:pPr>
      <w:r>
        <w:rPr>
          <w:color w:val="000000"/>
          <w:sz w:val="28"/>
          <w:szCs w:val="28"/>
          <w:rFonts w:ascii="宋体" w:cs="宋体" w:eastAsia="宋体" w:hAnsi="宋体"/>
        </w:rPr>
        <w:t xml:space="preserve">5.2.5  称重表格编号规则按“表格类型-制造单位编号-车间编号-表格序号”顺序执行，其中：</w:t>
      </w:r>
    </w:p>
    <w:p>
      <w:pPr>
        <w:spacing w:before="0" w:after="0"/>
        <w:jc w:val="both"/>
      </w:pPr>
      <w:r>
        <w:rPr>
          <w:color w:val="000000"/>
          <w:sz w:val="28"/>
          <w:szCs w:val="28"/>
          <w:rFonts w:ascii="宋体" w:cs="宋体" w:eastAsia="宋体" w:hAnsi="宋体"/>
        </w:rPr>
        <w:t xml:space="preserve">a) 表格类型见表1；</w:t>
      </w:r>
    </w:p>
    <w:p>
      <w:pPr>
        <w:spacing w:before="0" w:after="0"/>
        <w:jc w:val="center"/>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center"/>
      </w:pPr>
      <w:r>
        <w:rPr>
          <w:color w:val="000000"/>
          <w:sz w:val="28"/>
          <w:szCs w:val="28"/>
          <w:rFonts w:ascii="黑体" w:cs="黑体" w:eastAsia="黑体" w:hAnsi="黑体"/>
        </w:rPr>
        <w:t xml:space="preserve">表1 称重表格类型代码</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3951684" cy="85211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951684" cy="852115"/>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a)按114GD2003，沈飞民机编号为04；</w:t>
      </w:r>
    </w:p>
    <w:p>
      <w:pPr>
        <w:spacing w:before="0" w:after="0"/>
        <w:jc w:val="both"/>
      </w:pPr>
      <w:r>
        <w:rPr>
          <w:color w:val="000000"/>
          <w:sz w:val="28"/>
          <w:szCs w:val="28"/>
          <w:rFonts w:ascii="宋体" w:cs="宋体" w:eastAsia="宋体" w:hAnsi="宋体"/>
        </w:rPr>
        <w:t xml:space="preserve">b)车间编号，如：35、LJ；</w:t>
      </w:r>
    </w:p>
    <w:p>
      <w:pPr>
        <w:spacing w:before="0" w:after="0"/>
        <w:jc w:val="both"/>
      </w:pPr>
      <w:r>
        <w:rPr>
          <w:color w:val="000000"/>
          <w:sz w:val="28"/>
          <w:szCs w:val="28"/>
          <w:rFonts w:ascii="宋体" w:cs="宋体" w:eastAsia="宋体" w:hAnsi="宋体"/>
        </w:rPr>
        <w:t xml:space="preserve">c)表格序号：从00001 开始，依次记录。</w:t>
      </w:r>
    </w:p>
    <w:p>
      <w:pPr>
        <w:spacing w:before="0" w:after="0"/>
        <w:jc w:val="both"/>
      </w:pPr>
      <w:r>
        <w:rPr>
          <w:color w:val="000000"/>
          <w:sz w:val="28"/>
          <w:szCs w:val="28"/>
          <w:rFonts w:ascii="宋体" w:cs="宋体" w:eastAsia="宋体" w:hAnsi="宋体"/>
        </w:rPr>
        <w:t xml:space="preserve">称重表格编号，举例如下：DJ-04-LJ-00001、YS-04-35-00003、CC-04-LJ-00005。</w:t>
      </w:r>
    </w:p>
    <w:p>
      <w:pPr>
        <w:spacing w:before="0" w:after="0"/>
        <w:jc w:val="both"/>
      </w:pPr>
      <w:r>
        <w:rPr>
          <w:color w:val="000000"/>
          <w:sz w:val="28"/>
          <w:szCs w:val="28"/>
          <w:rFonts w:ascii="宋体" w:cs="宋体" w:eastAsia="宋体" w:hAnsi="宋体"/>
        </w:rPr>
        <w:t xml:space="preserve">5.2.6  称重检验时，对于可划归不同零件类别的同一零件，应按最小公差的零件类别执行。</w:t>
      </w:r>
    </w:p>
    <w:p>
      <w:pPr>
        <w:spacing w:before="0" w:after="0"/>
        <w:jc w:val="both"/>
      </w:pPr>
      <w:r>
        <w:rPr>
          <w:color w:val="000000"/>
          <w:sz w:val="28"/>
          <w:szCs w:val="28"/>
          <w:rFonts w:ascii="黑体" w:cs="黑体" w:eastAsia="黑体" w:hAnsi="黑体"/>
        </w:rPr>
        <w:t xml:space="preserve">5.3  称重设备</w:t>
      </w:r>
    </w:p>
    <w:p>
      <w:pPr>
        <w:spacing w:before="0" w:after="0"/>
        <w:jc w:val="both"/>
      </w:pPr>
      <w:r>
        <w:rPr>
          <w:color w:val="000000"/>
          <w:sz w:val="28"/>
          <w:szCs w:val="28"/>
          <w:rFonts w:ascii="宋体" w:cs="宋体" w:eastAsia="宋体" w:hAnsi="宋体"/>
        </w:rPr>
        <w:t xml:space="preserve">5.3.1  称重量具应有计量单位出具的合格证明，符合国家现行标准，其精度应不低于0.1%FS，且在合格有效期内严格按称重设备使用规定操作。</w:t>
      </w:r>
    </w:p>
    <w:p>
      <w:pPr>
        <w:spacing w:before="0" w:after="0"/>
        <w:jc w:val="both"/>
      </w:pPr>
      <w:r>
        <w:rPr>
          <w:color w:val="000000"/>
          <w:sz w:val="28"/>
          <w:szCs w:val="28"/>
          <w:rFonts w:ascii="宋体" w:cs="宋体" w:eastAsia="宋体" w:hAnsi="宋体"/>
        </w:rPr>
        <w:t xml:space="preserve">5.3.2  根据制件重量选取不同量程的秤，并配齐称重所需的其它辅助设备。制造重量1kg以下的产品选取量程为2kg 的秤，1-5kg（含5kg）的产品选取量程不大于制造重量5倍的秤，5kg以上选取量程不大于制造重量5倍的秤。</w:t>
      </w:r>
    </w:p>
    <w:p>
      <w:pPr>
        <w:spacing w:before="0" w:after="0"/>
        <w:jc w:val="both"/>
      </w:pPr>
      <w:r>
        <w:rPr>
          <w:color w:val="000000"/>
          <w:sz w:val="28"/>
          <w:szCs w:val="28"/>
          <w:rFonts w:ascii="宋体" w:cs="宋体" w:eastAsia="宋体" w:hAnsi="宋体"/>
        </w:rPr>
        <w:t xml:space="preserve">5.3.3  如称重时加装了吊具等配合称重的工艺组件，制造单位可根据实际重量情况选取合适的秤。</w:t>
      </w:r>
    </w:p>
    <w:p>
      <w:pPr>
        <w:spacing w:before="0" w:after="0"/>
        <w:jc w:val="both"/>
      </w:pPr>
      <w:r>
        <w:rPr>
          <w:color w:val="000000"/>
          <w:sz w:val="28"/>
          <w:szCs w:val="28"/>
          <w:rFonts w:ascii="黑体" w:cs="黑体" w:eastAsia="黑体" w:hAnsi="黑体"/>
        </w:rPr>
        <w:t xml:space="preserve">5.4  重量读数及公差精度</w:t>
      </w:r>
    </w:p>
    <w:p>
      <w:pPr>
        <w:spacing w:before="0" w:after="0"/>
        <w:jc w:val="both"/>
      </w:pPr>
      <w:r>
        <w:rPr>
          <w:color w:val="000000"/>
          <w:sz w:val="28"/>
          <w:szCs w:val="28"/>
          <w:rFonts w:ascii="宋体" w:cs="宋体" w:eastAsia="宋体" w:hAnsi="宋体"/>
        </w:rPr>
        <w:t xml:space="preserve">5.4.1  重量读数以千克为单位，1kg以下的制件读数保留小数点后三位，大于1kg的制件保留四位有效数字。例如0.856kg，1.856kg，18.56kg，185.6kg，1856kg。</w:t>
      </w:r>
    </w:p>
    <w:p>
      <w:pPr>
        <w:spacing w:before="0" w:after="0"/>
        <w:jc w:val="both"/>
      </w:pPr>
      <w:r>
        <w:rPr>
          <w:color w:val="000000"/>
          <w:sz w:val="28"/>
          <w:szCs w:val="28"/>
          <w:rFonts w:ascii="宋体" w:cs="宋体" w:eastAsia="宋体" w:hAnsi="宋体"/>
        </w:rPr>
        <w:t xml:space="preserve">5.4.2  零、组、部件重量公差按114GD2003要求执行，如果图样上有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重量公差规定，则按图样上的规定执行。</w:t>
      </w:r>
    </w:p>
    <w:p>
      <w:pPr>
        <w:spacing w:before="0" w:after="0"/>
        <w:jc w:val="both"/>
      </w:pPr>
      <w:r>
        <w:rPr>
          <w:color w:val="000000"/>
          <w:sz w:val="28"/>
          <w:szCs w:val="28"/>
          <w:rFonts w:ascii="黑体" w:cs="黑体" w:eastAsia="黑体" w:hAnsi="黑体"/>
        </w:rPr>
        <w:t xml:space="preserve">5.5  称重后的标记</w:t>
      </w:r>
    </w:p>
    <w:p>
      <w:pPr>
        <w:spacing w:before="0" w:after="0"/>
        <w:jc w:val="both"/>
      </w:pPr>
      <w:r>
        <w:rPr>
          <w:color w:val="000000"/>
          <w:sz w:val="28"/>
          <w:szCs w:val="28"/>
          <w:rFonts w:ascii="宋体" w:cs="宋体" w:eastAsia="宋体" w:hAnsi="宋体"/>
        </w:rPr>
        <w:t xml:space="preserve">称重合格后的零组部件必须在产品合格证上盖“已称重”标记印章，印章形式如下：</w:t>
      </w:r>
    </w:p>
    <w:p>
      <w:pPr>
        <w:spacing w:before="0" w:after="0" w:line="280" w:lineRule="exact"/>
        <w:jc w:val="center"/>
      </w:pPr>
      <w:r>
        <w:rPr>
          <w:color w:val="000000"/>
          <w:sz w:val="28"/>
          <w:szCs w:val="28"/>
          <w:rFonts w:ascii="宋体" w:cs="宋体" w:eastAsia="宋体" w:hAnsi="宋体"/>
        </w:rPr>
      </w:r>
    </w:p>
    <w:p>
      <w:pPr>
        <w:spacing w:before="0" w:after="0"/>
        <w:jc w:val="center"/>
      </w:pPr>
      <w:r>
        <w:drawing>
          <wp:inline distT="0" distB="0" distL="0" distR="0">
            <wp:extent cx="198300" cy="10831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8300" cy="108315"/>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5.6  称重过程要求</w:t>
      </w:r>
    </w:p>
    <w:p>
      <w:pPr>
        <w:spacing w:before="0" w:after="0"/>
        <w:jc w:val="both"/>
      </w:pPr>
      <w:r>
        <w:rPr>
          <w:color w:val="000000"/>
          <w:sz w:val="28"/>
          <w:szCs w:val="28"/>
          <w:rFonts w:ascii="宋体" w:cs="宋体" w:eastAsia="宋体" w:hAnsi="宋体"/>
        </w:rPr>
        <w:t xml:space="preserve">5.6.1  称重应在室内平整及无风的情况下进行，并远离振源和磁场。</w:t>
      </w:r>
    </w:p>
    <w:p>
      <w:pPr>
        <w:spacing w:before="0" w:after="0"/>
        <w:jc w:val="both"/>
      </w:pPr>
      <w:r>
        <w:rPr>
          <w:color w:val="000000"/>
          <w:sz w:val="28"/>
          <w:szCs w:val="28"/>
          <w:rFonts w:ascii="宋体" w:cs="宋体" w:eastAsia="宋体" w:hAnsi="宋体"/>
        </w:rPr>
        <w:t xml:space="preserve">5.6.2  装配厂接收需称重的零组件、外购件前应检查入库件是否有称重记录，如是否有称重记录表、合格证上是否有已称重印章，如无记录、印章时，应通知称重单位补称重，否则不准发出装机。</w:t>
      </w:r>
    </w:p>
    <w:p>
      <w:pPr>
        <w:spacing w:before="0" w:after="0"/>
        <w:jc w:val="both"/>
      </w:pPr>
      <w:r>
        <w:rPr>
          <w:color w:val="000000"/>
          <w:sz w:val="28"/>
          <w:szCs w:val="28"/>
          <w:rFonts w:ascii="宋体" w:cs="宋体" w:eastAsia="宋体" w:hAnsi="宋体"/>
        </w:rPr>
        <w:t xml:space="preserve">5.6.3  称重如需要AAD、客户等有关人员到场时由国内项目室负责联系沟通。</w:t>
      </w:r>
    </w:p>
    <w:p>
      <w:pPr>
        <w:spacing w:before="0" w:after="0"/>
        <w:jc w:val="both"/>
      </w:pPr>
      <w:r>
        <w:rPr>
          <w:color w:val="000000"/>
          <w:sz w:val="28"/>
          <w:szCs w:val="28"/>
          <w:rFonts w:ascii="宋体" w:cs="宋体" w:eastAsia="宋体" w:hAnsi="宋体"/>
        </w:rPr>
        <w:t xml:space="preserve">5.6.4  称重其它要求，如安全、防火等措施应按国家有关法规规章执行。</w:t>
      </w:r>
    </w:p>
    <w:p>
      <w:pPr>
        <w:spacing w:before="0" w:after="0"/>
        <w:jc w:val="both"/>
      </w:pPr>
      <w:r>
        <w:rPr>
          <w:color w:val="000000"/>
          <w:sz w:val="28"/>
          <w:szCs w:val="28"/>
          <w:rFonts w:ascii="黑体" w:cs="黑体" w:eastAsia="黑体" w:hAnsi="黑体"/>
        </w:rPr>
        <w:t xml:space="preserve">5.7  称重超差处理</w:t>
      </w:r>
    </w:p>
    <w:p>
      <w:pPr>
        <w:spacing w:before="0" w:after="0"/>
        <w:jc w:val="both"/>
      </w:pPr>
      <w:r>
        <w:rPr>
          <w:color w:val="000000"/>
          <w:sz w:val="28"/>
          <w:szCs w:val="28"/>
          <w:rFonts w:ascii="宋体" w:cs="宋体" w:eastAsia="宋体" w:hAnsi="宋体"/>
        </w:rPr>
        <w:t xml:space="preserve">5.7.1  凡重量超差产品未经处理不准进入下道工序。</w:t>
      </w:r>
    </w:p>
    <w:p>
      <w:pPr>
        <w:spacing w:before="0" w:after="0"/>
        <w:jc w:val="both"/>
      </w:pPr>
      <w:r>
        <w:rPr>
          <w:color w:val="000000"/>
          <w:sz w:val="28"/>
          <w:szCs w:val="28"/>
          <w:rFonts w:ascii="宋体" w:cs="宋体" w:eastAsia="宋体" w:hAnsi="宋体"/>
        </w:rPr>
        <w:t xml:space="preserve">5.7.2  当零件称重结果超出设计图纸规定的重量及容差时，经检查材料、尺寸、配套等，确实符合图纸时，应填写《ARJ21-700飞机产品重量超差处理单》提交设计部门解答。</w:t>
      </w:r>
    </w:p>
    <w:p>
      <w:pPr>
        <w:spacing w:before="0" w:after="0"/>
        <w:jc w:val="both"/>
      </w:pPr>
      <w:r>
        <w:rPr>
          <w:color w:val="000000"/>
          <w:sz w:val="28"/>
          <w:szCs w:val="28"/>
          <w:rFonts w:ascii="宋体" w:cs="宋体" w:eastAsia="宋体" w:hAnsi="宋体"/>
        </w:rPr>
        <w:t xml:space="preserve">5.7.3  凡零件符合图样要求而出现的超差，由设计人员检查图样重量计算是否准确，如果有误，应更改图样重量。如图样计算无误或重新修正图样重量后零件仍然超重，则由设计更改产品图纸，按GLC14080401要求处理。</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7.1  相关记录的填写和维护按程序文件GLC231008要求执行。</w:t>
      </w:r>
    </w:p>
    <w:p>
      <w:pPr>
        <w:spacing w:before="0" w:after="0"/>
        <w:jc w:val="both"/>
      </w:pPr>
      <w:r>
        <w:rPr>
          <w:color w:val="000000"/>
          <w:sz w:val="28"/>
          <w:szCs w:val="28"/>
          <w:rFonts w:ascii="宋体" w:cs="宋体" w:eastAsia="宋体" w:hAnsi="宋体"/>
        </w:rPr>
        <w:t xml:space="preserve">7.2  称重厂质量工程室归档《ARJ21-700飞机产品称重数据登记表》、ARJ21-700飞机组部件称重验收审批单》、《ARJ21-700飞机产品重量超差处理单》。</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sz w:val="28"/>
          <w:szCs w:val="28"/>
          <w:rFonts w:ascii="黑体" w:cs="黑体" w:eastAsia="黑体" w:hAnsi="黑体"/>
        </w:rPr>
        <w:t xml:space="preserve">（规范性）</w:t>
      </w:r>
    </w:p>
    <w:p>
      <w:pPr>
        <w:spacing w:before="0" w:after="0"/>
        <w:jc w:val="left"/>
      </w:pPr>
      <w:r>
        <w:rPr>
          <w:color w:val="000000"/>
          <w:sz w:val="28"/>
          <w:szCs w:val="28"/>
          <w:rFonts w:ascii="黑体" w:cs="黑体" w:eastAsia="黑体" w:hAnsi="黑体"/>
        </w:rPr>
        <w:t xml:space="preserve">A.1  《ARJ21-700飞机产品称重数据登记表》格式</w:t>
      </w:r>
    </w:p>
    <w:p>
      <w:pPr>
        <w:spacing w:before="0" w:after="0" w:line="280" w:lineRule="exact"/>
        <w:jc w:val="center"/>
      </w:pPr>
      <w:r>
        <w:rPr>
          <w:color w:val="000000"/>
          <w:sz w:val="28"/>
          <w:szCs w:val="28"/>
          <w:rFonts w:ascii="宋体" w:cs="宋体" w:eastAsia="宋体" w:hAnsi="宋体"/>
        </w:rPr>
      </w:r>
    </w:p>
    <w:p>
      <w:pPr>
        <w:spacing w:before="0" w:after="0"/>
        <w:jc w:val="center"/>
      </w:pPr>
      <w:r>
        <w:rPr>
          <w:color w:val="000000"/>
          <w:sz w:val="28"/>
          <w:szCs w:val="28"/>
          <w:rFonts w:ascii="宋体" w:cs="宋体" w:eastAsia="宋体" w:hAnsi="宋体"/>
        </w:rPr>
        <w:t xml:space="preserve">ARJ21-700飞机产品称重数据登记表</w:t>
      </w:r>
    </w:p>
    <w:p>
      <w:pPr>
        <w:spacing w:before="0" w:after="0" w:line="280" w:lineRule="exact"/>
        <w:jc w:val="left"/>
      </w:pPr>
      <w:r>
        <w:rPr>
          <w:sz w:val="28"/>
          <w:szCs w:val="28"/>
          <w:rFonts w:ascii="宋体" w:cs="宋体" w:eastAsia="宋体" w:hAnsi="宋体"/>
        </w:rPr>
      </w:r>
    </w:p>
    <w:p>
      <w:pPr>
        <w:spacing w:before="0" w:after="0"/>
        <w:jc w:val="left"/>
      </w:pPr>
      <w:r>
        <w:drawing>
          <wp:inline distT="0" distB="0" distL="0" distR="0">
            <wp:extent cx="4565581" cy="183420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65581" cy="1834207"/>
                    </a:xfrm>
                    <a:prstGeom prst="rect">
                      <a:avLst/>
                    </a:prstGeom>
                  </pic:spPr>
                </pic:pic>
              </a:graphicData>
            </a:graphic>
          </wp:inline>
        </w:drawing>
      </w:r>
    </w:p>
    <w:p>
      <w:pPr>
        <w:spacing w:before="0" w:after="0" w:line="280" w:lineRule="exact"/>
        <w:jc w:val="lef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left"/>
      </w:pPr>
      <w:r>
        <w:rPr>
          <w:color w:val="000000"/>
          <w:sz w:val="28"/>
          <w:szCs w:val="28"/>
          <w:rFonts w:ascii="黑体" w:cs="黑体" w:eastAsia="黑体" w:hAnsi="黑体"/>
        </w:rPr>
        <w:t xml:space="preserve">A.2  《ARJ21-700飞机组部件称重验收审批单》格式</w:t>
      </w:r>
    </w:p>
    <w:p>
      <w:pPr>
        <w:spacing w:before="0" w:after="0" w:line="280" w:lineRule="exact"/>
        <w:jc w:val="center"/>
      </w:pPr>
      <w:r>
        <w:rPr>
          <w:color w:val="000000"/>
          <w:sz w:val="28"/>
          <w:szCs w:val="28"/>
          <w:rFonts w:ascii="宋体" w:cs="宋体" w:eastAsia="宋体" w:hAnsi="宋体"/>
        </w:rPr>
      </w:r>
    </w:p>
    <w:p>
      <w:pPr>
        <w:spacing w:before="0" w:after="0"/>
        <w:jc w:val="center"/>
      </w:pPr>
      <w:r>
        <w:rPr>
          <w:color w:val="000000"/>
          <w:sz w:val="28"/>
          <w:szCs w:val="28"/>
          <w:rFonts w:ascii="宋体" w:cs="宋体" w:eastAsia="宋体" w:hAnsi="宋体"/>
        </w:rPr>
        <w:t xml:space="preserve">ARJ21-700飞机组部件称重验收审批单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3573898" cy="48006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573898" cy="4800600"/>
                    </a:xfrm>
                    <a:prstGeom prst="rect">
                      <a:avLst/>
                    </a:prstGeom>
                  </pic:spPr>
                </pic:pic>
              </a:graphicData>
            </a:graphic>
          </wp:inline>
        </w:drawing>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drawing>
          <wp:inline distT="0" distB="0" distL="0" distR="0">
            <wp:extent cx="3571048" cy="48006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571048" cy="4800600"/>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left"/>
      </w:pPr>
      <w:r>
        <w:rPr>
          <w:color w:val="000000"/>
          <w:sz w:val="28"/>
          <w:szCs w:val="28"/>
          <w:rFonts w:ascii="黑体" w:cs="黑体" w:eastAsia="黑体" w:hAnsi="黑体"/>
        </w:rPr>
        <w:t xml:space="preserve">A.3  ARJ21-700飞机产品重量超差处理单》格式</w:t>
      </w:r>
    </w:p>
    <w:p>
      <w:pPr>
        <w:spacing w:before="0" w:after="0" w:line="280" w:lineRule="exact"/>
        <w:jc w:val="center"/>
      </w:pPr>
      <w:r>
        <w:rPr>
          <w:color w:val="000000"/>
          <w:sz w:val="28"/>
          <w:szCs w:val="28"/>
          <w:rFonts w:ascii="宋体" w:cs="宋体" w:eastAsia="宋体" w:hAnsi="宋体"/>
        </w:rPr>
      </w:r>
    </w:p>
    <w:p>
      <w:pPr>
        <w:spacing w:before="0" w:after="0"/>
        <w:jc w:val="center"/>
      </w:pPr>
      <w:r>
        <w:rPr>
          <w:color w:val="000000"/>
          <w:sz w:val="28"/>
          <w:szCs w:val="28"/>
          <w:rFonts w:ascii="宋体" w:cs="宋体" w:eastAsia="宋体" w:hAnsi="宋体"/>
        </w:rPr>
        <w:t xml:space="preserve">ARJ21-700飞机产品重量超差处理单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3768274" cy="48006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8274" cy="4800600"/>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8</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8</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8</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8</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8</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8</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8</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8</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8</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8</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8</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image" Target="media/8q5i0u7rkmnhbazfpmcyy.png"/><Relationship Id="rId29" Type="http://schemas.openxmlformats.org/officeDocument/2006/relationships/image" Target="media/9afcsdnl8jx1idfhqhlbo.png"/><Relationship Id="rId30" Type="http://schemas.openxmlformats.org/officeDocument/2006/relationships/image" Target="media/7_uwptttbntlswx93b-3g.png"/><Relationship Id="rId31" Type="http://schemas.openxmlformats.org/officeDocument/2006/relationships/image" Target="media/kzolprwqxfclczuh7mqux.png"/><Relationship Id="rId32" Type="http://schemas.openxmlformats.org/officeDocument/2006/relationships/image" Target="media/fswrp_qbnsh6oylxy_uja.png"/><Relationship Id="rId33" Type="http://schemas.openxmlformats.org/officeDocument/2006/relationships/image" Target="media/ijpb_3vfai6y8retq8pig.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2026-06-10T09:27:19.171Z</dcterms:created>
  <dcterms:modified xsi:type="dcterms:W3CDTF">2026-06-10T09:27:19.171Z</dcterms:modified>
</cp:coreProperties>
</file>

<file path=docProps/custom.xml><?xml version="1.0" encoding="utf-8"?>
<Properties xmlns="http://schemas.openxmlformats.org/officeDocument/2006/custom-properties" xmlns:vt="http://schemas.openxmlformats.org/officeDocument/2006/docPropsVTypes"/>
</file>