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宋体" w:cs="宋体" w:eastAsia="宋体" w:hAnsi="宋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本制度由质量安全部提出。</w:t>
      </w:r>
    </w:p>
    <w:p>
      <w:pPr>
        <w:spacing w:before="0" w:after="0"/>
        <w:jc w:val="both"/>
      </w:pPr>
      <w:r>
        <w:rPr>
          <w:color w:val="1b324f"/>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产品安全管理标准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本文件规定了航空器（含无人机系统）、航空器零部件或设备及其附件（软硬件）和相关服务（如操作维修所需的文件）等产品安全管理的内容和有关要求。</w:t>
      </w:r>
    </w:p>
    <w:p>
      <w:pPr>
        <w:spacing w:before="0" w:after="0"/>
        <w:jc w:val="both"/>
      </w:pPr>
      <w:r>
        <w:rPr>
          <w:color w:val="1b324f"/>
          <w:sz w:val="28"/>
          <w:szCs w:val="28"/>
          <w:rFonts w:ascii="宋体" w:cs="宋体" w:eastAsia="宋体" w:hAnsi="宋体"/>
        </w:rPr>
        <w:t xml:space="preserve">本文件适用于民机项目。</w:t>
      </w:r>
    </w:p>
    <w:p>
      <w:pPr>
        <w:spacing w:before="0" w:after="0"/>
        <w:jc w:val="both"/>
      </w:pPr>
      <w:r>
        <w:rPr>
          <w:color w:val="1b324f"/>
          <w:sz w:val="28"/>
          <w:szCs w:val="28"/>
          <w:rFonts w:ascii="宋体" w:cs="宋体" w:eastAsia="宋体" w:hAnsi="宋体"/>
        </w:rPr>
        <w:t xml:space="preserve">本文件依据GLC140506制定。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FM1405-134 </w:t>
      </w:r>
      <w:r>
        <w:rPr>
          <w:color w:val="1b324f"/>
          <w:sz w:val="28"/>
          <w:szCs w:val="28"/>
          <w:rFonts w:ascii="宋体" w:cs="宋体" w:eastAsia="宋体" w:hAnsi="宋体"/>
        </w:rPr>
        <w:t xml:space="preserve">产品安全危险源及风险管理单</w:t>
      </w:r>
    </w:p>
    <w:p>
      <w:pPr>
        <w:spacing w:before="0" w:after="0"/>
        <w:jc w:val="both"/>
      </w:pPr>
      <w:r>
        <w:rPr>
          <w:color w:val="1b324f"/>
          <w:sz w:val="28"/>
          <w:szCs w:val="28"/>
          <w:rFonts w:ascii="宋体" w:cs="宋体" w:eastAsia="宋体" w:hAnsi="宋体"/>
        </w:rPr>
        <w:t xml:space="preserve">FM1405-135 产品安全危险源数据库</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3.2  引用表格</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总体要求</w:t>
      </w:r>
    </w:p>
    <w:p>
      <w:pPr>
        <w:spacing w:before="0" w:after="0"/>
        <w:jc w:val="both"/>
      </w:pPr>
      <w:r>
        <w:rPr>
          <w:color w:val="1b324f"/>
          <w:sz w:val="28"/>
          <w:szCs w:val="28"/>
          <w:rFonts w:ascii="宋体" w:cs="宋体" w:eastAsia="宋体" w:hAnsi="宋体"/>
        </w:rPr>
        <w:t xml:space="preserve">5.1.1  安全信息管理</w:t>
      </w:r>
    </w:p>
    <w:p>
      <w:pPr>
        <w:spacing w:before="0" w:after="0"/>
        <w:jc w:val="both"/>
      </w:pPr>
      <w:r>
        <w:rPr>
          <w:color w:val="1b324f"/>
          <w:sz w:val="28"/>
          <w:szCs w:val="28"/>
          <w:rFonts w:ascii="宋体" w:cs="宋体" w:eastAsia="宋体" w:hAnsi="宋体"/>
        </w:rPr>
        <w:t xml:space="preserve">    质量安全部组织各产品安全责任部门建立制度和相应程序，明确安全信息、数据管理工作机制。根据民机公司的运营类型、规模、复杂程度、相应的安全管理需求，建立适宜的安全数据收集系统，在设计、生产制造、维护维修、使用保障等过程中，及时收集、判定、分析和处置安全数据。收集的安全数据应当用于识别危险源和安全缺陷，安全数据的来源包括但不限于：</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事故调查数据；</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强制报告数据；</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外场使用信息；</w:t>
      </w:r>
    </w:p>
    <w:p>
      <w:pPr>
        <w:spacing w:before="0" w:after="0"/>
        <w:jc w:val="both"/>
      </w:pPr>
      <w:r>
        <w:rPr>
          <w:color w:val="1b324f"/>
          <w:sz w:val="28"/>
          <w:szCs w:val="28"/>
          <w:rFonts w:ascii="宋体" w:cs="宋体" w:eastAsia="宋体" w:hAnsi="宋体"/>
        </w:rPr>
        <w:t xml:space="preserve">d)</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安全研究或相关检查数据；</w:t>
      </w:r>
    </w:p>
    <w:p>
      <w:pPr>
        <w:spacing w:before="0" w:after="0"/>
        <w:jc w:val="both"/>
      </w:pPr>
      <w:r>
        <w:rPr>
          <w:color w:val="1b324f"/>
          <w:sz w:val="28"/>
          <w:szCs w:val="28"/>
          <w:rFonts w:ascii="宋体" w:cs="宋体" w:eastAsia="宋体" w:hAnsi="宋体"/>
        </w:rPr>
        <w:t xml:space="preserve">e)</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安全管理的任何其他数据。</w:t>
      </w:r>
    </w:p>
    <w:p>
      <w:pPr>
        <w:spacing w:before="0" w:after="0"/>
        <w:jc w:val="both"/>
      </w:pPr>
      <w:r>
        <w:rPr>
          <w:color w:val="1b324f"/>
          <w:sz w:val="28"/>
          <w:szCs w:val="28"/>
          <w:rFonts w:ascii="宋体" w:cs="宋体" w:eastAsia="宋体" w:hAnsi="宋体"/>
        </w:rPr>
        <w:t xml:space="preserve">    各产品安全责任部门应按本程序要求，建立本部门产品危险源数据库，并于每季度除更新后提交质量安全部，质量安全部建立公司级产品危险源数据库。</w:t>
      </w:r>
    </w:p>
    <w:p>
      <w:pPr>
        <w:spacing w:before="0" w:after="0"/>
        <w:jc w:val="both"/>
      </w:pPr>
      <w:r>
        <w:rPr>
          <w:color w:val="1b324f"/>
          <w:sz w:val="28"/>
          <w:szCs w:val="28"/>
          <w:rFonts w:ascii="宋体" w:cs="宋体" w:eastAsia="宋体" w:hAnsi="宋体"/>
        </w:rPr>
        <w:t xml:space="preserve">安全数据的质量应当体现有效性、完整性、一致性、可用性、及时性、安全性、准确性的标准。</w:t>
      </w:r>
    </w:p>
    <w:p>
      <w:pPr>
        <w:spacing w:before="0" w:after="0"/>
        <w:jc w:val="both"/>
      </w:pPr>
      <w:r>
        <w:rPr>
          <w:color w:val="1b324f"/>
          <w:sz w:val="28"/>
          <w:szCs w:val="28"/>
          <w:rFonts w:ascii="宋体" w:cs="宋体" w:eastAsia="宋体" w:hAnsi="宋体"/>
        </w:rPr>
        <w:t xml:space="preserve">5.1.2  安全意识与沟通</w:t>
      </w:r>
    </w:p>
    <w:p>
      <w:pPr>
        <w:spacing w:before="0" w:after="0"/>
        <w:jc w:val="both"/>
      </w:pPr>
      <w:r>
        <w:rPr>
          <w:color w:val="1b324f"/>
          <w:sz w:val="28"/>
          <w:szCs w:val="28"/>
          <w:rFonts w:ascii="宋体" w:cs="宋体" w:eastAsia="宋体" w:hAnsi="宋体"/>
        </w:rPr>
        <w:t xml:space="preserve">   质量安全部定期开展安全文化教育，创建浓厚的产品安全文化，培训的策划与开展按GLC240601；质量安全部组织定期开展公司内部型号间安全信息分享，并组织各部门积极参加航空安全组织及活动。</w:t>
      </w:r>
    </w:p>
    <w:p>
      <w:pPr>
        <w:spacing w:before="0" w:after="0"/>
        <w:jc w:val="both"/>
      </w:pPr>
      <w:r>
        <w:rPr>
          <w:color w:val="1b324f"/>
          <w:sz w:val="28"/>
          <w:szCs w:val="28"/>
          <w:rFonts w:ascii="宋体" w:cs="宋体" w:eastAsia="宋体" w:hAnsi="宋体"/>
        </w:rPr>
        <w:t xml:space="preserve">5.2  产品安全管理流程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产品安全管理主要步骤包括风险管理的信息收集、危险源识别及风险评估管理、风险控制措施制定与验证、安全管理数据库的建立。</w:t>
      </w:r>
    </w:p>
    <w:p>
      <w:pPr>
        <w:spacing w:before="0" w:after="0"/>
        <w:jc w:val="both"/>
      </w:pPr>
      <w:r>
        <w:rPr>
          <w:color w:val="1b324f"/>
          <w:sz w:val="28"/>
          <w:szCs w:val="28"/>
          <w:rFonts w:ascii="宋体" w:cs="宋体" w:eastAsia="宋体" w:hAnsi="宋体"/>
        </w:rPr>
        <w:t xml:space="preserve">5.2.1  风险管理的信息收集</w:t>
      </w:r>
    </w:p>
    <w:p>
      <w:pPr>
        <w:spacing w:before="0" w:after="0"/>
        <w:jc w:val="both"/>
      </w:pPr>
      <w:r>
        <w:rPr>
          <w:color w:val="1b324f"/>
          <w:sz w:val="28"/>
          <w:szCs w:val="28"/>
          <w:rFonts w:ascii="宋体" w:cs="宋体" w:eastAsia="宋体" w:hAnsi="宋体"/>
        </w:rPr>
        <w:t xml:space="preserve">5.2.1.1  风险管理信息的来源包括：</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产品客户要求、需求；</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产品研制与使用中的技术及管理过程；</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组织体系、质量体系；</w:t>
      </w:r>
    </w:p>
    <w:p>
      <w:pPr>
        <w:spacing w:before="0" w:after="0"/>
        <w:jc w:val="both"/>
      </w:pPr>
      <w:r>
        <w:rPr>
          <w:color w:val="1b324f"/>
          <w:sz w:val="28"/>
          <w:szCs w:val="28"/>
          <w:rFonts w:ascii="宋体" w:cs="宋体" w:eastAsia="宋体" w:hAnsi="宋体"/>
        </w:rPr>
        <w:t xml:space="preserve">d)</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内外部审查、检查、调查及上报的相关信息。</w:t>
      </w:r>
    </w:p>
    <w:p>
      <w:pPr>
        <w:spacing w:before="0" w:after="0"/>
        <w:jc w:val="both"/>
      </w:pPr>
      <w:r>
        <w:rPr>
          <w:color w:val="1b324f"/>
          <w:sz w:val="28"/>
          <w:szCs w:val="28"/>
          <w:rFonts w:ascii="宋体" w:cs="宋体" w:eastAsia="宋体" w:hAnsi="宋体"/>
        </w:rPr>
        <w:t xml:space="preserve">5.2.1.2  质量安全部组织各相关部门梳理业务过程中可能影响产品安全的过程，并编制过程描述文件，作为识别、调整和更新危险源、风险等级和风险控制措施的基础。这些过程包括可以直接影响产品安全的过程和影响组织进行有效管理导致产品安全不能实现或保持的过程，包括但不限于：</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影响产品安全性的设计与验证过程；</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影响产品安全性实现的制造过程；</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影响产品安全使用的过程。</w:t>
      </w:r>
    </w:p>
    <w:p>
      <w:pPr>
        <w:spacing w:before="0" w:after="0"/>
        <w:jc w:val="both"/>
      </w:pPr>
      <w:r>
        <w:rPr>
          <w:color w:val="1b324f"/>
          <w:sz w:val="28"/>
          <w:szCs w:val="28"/>
          <w:rFonts w:ascii="宋体" w:cs="宋体" w:eastAsia="宋体" w:hAnsi="宋体"/>
        </w:rPr>
        <w:t xml:space="preserve">过程描述至少考虑以下内容：</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被评估过程的功能；</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支持该过程的子过程和程序；</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所需支撑的资源；</w:t>
      </w:r>
    </w:p>
    <w:p>
      <w:pPr>
        <w:spacing w:before="0" w:after="0"/>
        <w:jc w:val="both"/>
      </w:pPr>
      <w:r>
        <w:rPr>
          <w:color w:val="1b324f"/>
          <w:sz w:val="28"/>
          <w:szCs w:val="28"/>
          <w:rFonts w:ascii="宋体" w:cs="宋体" w:eastAsia="宋体" w:hAnsi="宋体"/>
        </w:rPr>
        <w:t xml:space="preserve">d)</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与其他过程的相互作用。</w:t>
      </w:r>
    </w:p>
    <w:p>
      <w:pPr>
        <w:spacing w:before="0" w:after="0"/>
        <w:jc w:val="both"/>
      </w:pPr>
      <w:r>
        <w:rPr>
          <w:color w:val="1b324f"/>
          <w:sz w:val="28"/>
          <w:szCs w:val="28"/>
          <w:rFonts w:ascii="宋体" w:cs="宋体" w:eastAsia="宋体" w:hAnsi="宋体"/>
        </w:rPr>
        <w:t xml:space="preserve">    产品安全性工作是产品安全管理的重要内容，包含产品安全性、关重特性等过程。</w:t>
      </w:r>
    </w:p>
    <w:p>
      <w:pPr>
        <w:spacing w:before="0" w:after="0"/>
        <w:jc w:val="both"/>
      </w:pPr>
      <w:r>
        <w:rPr>
          <w:color w:val="1b324f"/>
          <w:sz w:val="28"/>
          <w:szCs w:val="28"/>
          <w:rFonts w:ascii="宋体" w:cs="宋体" w:eastAsia="宋体" w:hAnsi="宋体"/>
        </w:rPr>
        <w:t xml:space="preserve">5.2.1.3  质量安全部组织各相关部门收集本单位实质性或重大变更信息，实质性或重大变更信息一般包括但不限于：</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可能影响产品安全性的实现及保持的组织变更，如所有权变更等，单位与产品安全业务相关的组织机构的变更、生产场所的变更、开始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一个新的生产设施等；</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职责变更，如组织领导的变更、影响相关产品安全的职责变更等；</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相关程序的变更，如与安全相关的质量体系程序文件的变更、新的质量体系、重大制造流程变更等；</w:t>
      </w:r>
    </w:p>
    <w:p>
      <w:pPr>
        <w:spacing w:before="0" w:after="0"/>
        <w:jc w:val="both"/>
      </w:pPr>
      <w:r>
        <w:rPr>
          <w:color w:val="1b324f"/>
          <w:sz w:val="28"/>
          <w:szCs w:val="28"/>
          <w:rFonts w:ascii="宋体" w:cs="宋体" w:eastAsia="宋体" w:hAnsi="宋体"/>
        </w:rPr>
        <w:t xml:space="preserve">d)</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资源变更，如人员数量、资质及专业水平显著削减等。</w:t>
      </w:r>
    </w:p>
    <w:p>
      <w:pPr>
        <w:spacing w:before="0" w:after="0"/>
        <w:jc w:val="both"/>
      </w:pPr>
      <w:r>
        <w:rPr>
          <w:color w:val="1b324f"/>
          <w:sz w:val="28"/>
          <w:szCs w:val="28"/>
          <w:rFonts w:ascii="宋体" w:cs="宋体" w:eastAsia="宋体" w:hAnsi="宋体"/>
        </w:rPr>
        <w:t xml:space="preserve">5.2.1.4  产品安全相关评估信息</w:t>
      </w:r>
    </w:p>
    <w:p>
      <w:pPr>
        <w:spacing w:before="0" w:after="0"/>
        <w:jc w:val="both"/>
      </w:pPr>
      <w:r>
        <w:rPr>
          <w:color w:val="1b324f"/>
          <w:sz w:val="28"/>
          <w:szCs w:val="28"/>
          <w:rFonts w:ascii="宋体" w:cs="宋体" w:eastAsia="宋体" w:hAnsi="宋体"/>
        </w:rPr>
        <w:t xml:space="preserve">质量安全部每季度向公司产品安全相关部门收集产品安全管理评估信息，这些信息包括但不限于：</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相关内外部审查/检查活动中发现与产品安全有关的问题与信息；</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事故调查发现的问题及信息、主动上报的信息等。</w:t>
      </w:r>
    </w:p>
    <w:p>
      <w:pPr>
        <w:spacing w:before="0" w:after="0"/>
        <w:jc w:val="both"/>
      </w:pPr>
      <w:r>
        <w:rPr>
          <w:color w:val="1b324f"/>
          <w:sz w:val="28"/>
          <w:szCs w:val="28"/>
          <w:rFonts w:ascii="宋体" w:cs="宋体" w:eastAsia="宋体" w:hAnsi="宋体"/>
        </w:rPr>
        <w:t xml:space="preserve">5.3  产品安全危险源识别及风险管理</w:t>
      </w:r>
    </w:p>
    <w:p>
      <w:pPr>
        <w:spacing w:before="0" w:after="0"/>
        <w:jc w:val="both"/>
      </w:pPr>
      <w:r>
        <w:rPr>
          <w:color w:val="1b324f"/>
          <w:sz w:val="28"/>
          <w:szCs w:val="28"/>
          <w:rFonts w:ascii="宋体" w:cs="宋体" w:eastAsia="宋体" w:hAnsi="宋体"/>
        </w:rPr>
        <w:t xml:space="preserve">5.3.1  质量安全部每年年初组织各相关部门开展产品安全危险源识别，各部门根据过程描述、实质性/重大变更信息和产品安全评估信息，分析并识别产品安全危险源，提交至质量安全部，由质量安全部进行评估及汇总。</w:t>
      </w:r>
    </w:p>
    <w:p>
      <w:pPr>
        <w:spacing w:before="0" w:after="0"/>
        <w:jc w:val="both"/>
      </w:pPr>
      <w:r>
        <w:rPr>
          <w:color w:val="1b324f"/>
          <w:sz w:val="28"/>
          <w:szCs w:val="28"/>
          <w:rFonts w:ascii="宋体" w:cs="宋体" w:eastAsia="宋体" w:hAnsi="宋体"/>
        </w:rPr>
        <w:t xml:space="preserve">5.3.2  产品安全危险源识别范围应覆盖产品的设计、制造、试验试飞、使用维护、服务保障等生命全周期，以及本单位地上、地下、场所区域作业环境、设备设施、生产工艺、危险物质、作业人员及作业活动；应考虑过去、现在和将来三种时态和正常、异常、紧急三种状态。</w:t>
      </w:r>
    </w:p>
    <w:p>
      <w:pPr>
        <w:spacing w:before="0" w:after="0"/>
        <w:jc w:val="both"/>
      </w:pPr>
      <w:r>
        <w:rPr>
          <w:color w:val="1b324f"/>
          <w:sz w:val="28"/>
          <w:szCs w:val="28"/>
          <w:rFonts w:ascii="宋体" w:cs="宋体" w:eastAsia="宋体" w:hAnsi="宋体"/>
        </w:rPr>
        <w:t xml:space="preserve">5.3.2  产品安全危险源识别过程中应当采取正向和反向分析法，实现对危险源全面、准确的识别。正向分析法可考虑系统和工作分析、安全检查费（SCL）、作业危害分析法（JHA）等。反向分析法主要考虑故障树分析、REASON模型等方法，可能的危险源包括但不限于：</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过程定义部不完整；</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产品偏离其设计；</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缺少或减少质量保证方面的检查；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d)</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过多的工程更改；</w:t>
      </w:r>
    </w:p>
    <w:p>
      <w:pPr>
        <w:spacing w:before="0" w:after="0"/>
        <w:jc w:val="both"/>
      </w:pPr>
      <w:r>
        <w:rPr>
          <w:color w:val="1b324f"/>
          <w:sz w:val="28"/>
          <w:szCs w:val="28"/>
          <w:rFonts w:ascii="宋体" w:cs="宋体" w:eastAsia="宋体" w:hAnsi="宋体"/>
        </w:rPr>
        <w:t xml:space="preserve">e)</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生产线迁移或外包给供应商；</w:t>
      </w:r>
    </w:p>
    <w:p>
      <w:pPr>
        <w:spacing w:before="0" w:after="0"/>
        <w:jc w:val="both"/>
      </w:pPr>
      <w:r>
        <w:rPr>
          <w:color w:val="1b324f"/>
          <w:sz w:val="28"/>
          <w:szCs w:val="28"/>
          <w:rFonts w:ascii="宋体" w:cs="宋体" w:eastAsia="宋体" w:hAnsi="宋体"/>
        </w:rPr>
        <w:t xml:space="preserve">f)</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作业人员不合格或能力不足导致工作不到位。</w:t>
      </w:r>
    </w:p>
    <w:p>
      <w:pPr>
        <w:spacing w:before="0" w:after="0"/>
        <w:jc w:val="both"/>
      </w:pPr>
      <w:r>
        <w:rPr>
          <w:color w:val="1b324f"/>
          <w:sz w:val="28"/>
          <w:szCs w:val="28"/>
          <w:rFonts w:ascii="宋体" w:cs="宋体" w:eastAsia="宋体" w:hAnsi="宋体"/>
        </w:rPr>
        <w:t xml:space="preserve">5.3.3  各产品安全相关部门应对采取合适的方法对识别出的每一项产品安全危险源开展安全风险评估，并确定风险等级。安全风险评估包括固有风险和残余风险评估。固有风险评估指根据产品安全风险源可能发生的每种事故类型的可能性和后果严重程度，在不考虑已采取的控制措施前提下，确定的风险等级。残余风险评估指在考虑控制措施的前提下，根据产品安全风险源可能发生的每种事故类型的可能性和后果严重程度，确定的风险等级。</w:t>
      </w:r>
    </w:p>
    <w:p>
      <w:pPr>
        <w:spacing w:before="0" w:after="0"/>
        <w:jc w:val="both"/>
      </w:pPr>
      <w:r>
        <w:rPr>
          <w:color w:val="1b324f"/>
          <w:sz w:val="28"/>
          <w:szCs w:val="28"/>
          <w:rFonts w:ascii="宋体" w:cs="宋体" w:eastAsia="宋体" w:hAnsi="宋体"/>
        </w:rPr>
        <w:t xml:space="preserve">5.3.4  产品安全风险评估的方法包括但不限于失效模式与影响分析（FEMA）、作业条件危险性分析（LEC）、风险矩阵法（LS）等。各相关部门应以风险矩阵为基础，其他方法为辅，对同一评估对象进行评估，互相补充、综合分析、相互验证，提高评估结果的正确性。风险矩阵法（LS）见附录A，各部门可以根据此方法细化本部门的风险评估标准。</w:t>
      </w:r>
    </w:p>
    <w:p>
      <w:pPr>
        <w:spacing w:before="0" w:after="0"/>
        <w:jc w:val="both"/>
      </w:pPr>
      <w:r>
        <w:rPr>
          <w:color w:val="1b324f"/>
          <w:sz w:val="28"/>
          <w:szCs w:val="28"/>
          <w:rFonts w:ascii="宋体" w:cs="宋体" w:eastAsia="宋体" w:hAnsi="宋体"/>
        </w:rPr>
        <w:t xml:space="preserve">5.3.5  质量安全部根据产品安全危险源的安全风险评估分级结果，按照“分级管控原则”建立健全风险管控工作机制，组织各产品安全责任部门制定安全风险管控措施。对于固有风险容忍度为不可接受的（A级或B级）产品安全危险源，由质量安全部组织相关部门制定风险管控措施，由各产品安全责任部门执行，各产品安全责任部门于每季度初报送上一季度风险防控措施实施结果，质量安全部根据各部门报送的结果组织开展专项评审和检查；对于固有风险容忍度为缓解后可接受的（C级）产品安全危险源，由各产品安全责任部门制定风险防控措施，每季度初报送上一季度风险防控措施实施结果，质量安全部根据各部门报送的结果进行监督检查；对于固有风险容忍度为可接受的（D级）产品安全危险源，仍认为需进一步提高安全性的，由各产品安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责任部门自行制定措施。可能的风险控制措施包括但不限于：</w:t>
      </w:r>
    </w:p>
    <w:p>
      <w:pPr>
        <w:spacing w:before="0" w:after="0"/>
        <w:jc w:val="both"/>
      </w:pPr>
      <w:r>
        <w:rPr>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通过方案改进消除危险源；</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利用不同的安全方式限制危险源；</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提供警告和提示；</w:t>
      </w:r>
    </w:p>
    <w:p>
      <w:pPr>
        <w:spacing w:before="0" w:after="0"/>
        <w:jc w:val="both"/>
      </w:pPr>
      <w:r>
        <w:rPr>
          <w:color w:val="1b324f"/>
          <w:sz w:val="28"/>
          <w:szCs w:val="28"/>
          <w:rFonts w:ascii="宋体" w:cs="宋体" w:eastAsia="宋体" w:hAnsi="宋体"/>
        </w:rPr>
        <w:t xml:space="preserve">d)</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通过培训提高人员技能水平。</w:t>
      </w:r>
    </w:p>
    <w:p>
      <w:pPr>
        <w:spacing w:before="0" w:after="0"/>
        <w:jc w:val="both"/>
      </w:pPr>
      <w:r>
        <w:rPr>
          <w:color w:val="1b324f"/>
          <w:sz w:val="28"/>
          <w:szCs w:val="28"/>
          <w:rFonts w:ascii="宋体" w:cs="宋体" w:eastAsia="宋体" w:hAnsi="宋体"/>
        </w:rPr>
        <w:t xml:space="preserve">5.3.6  根据风险评估结果，质量安全部负责批准红/橙危险源的控制措施，并填写FM1405-134进行归口管理。</w:t>
      </w:r>
    </w:p>
    <w:p>
      <w:pPr>
        <w:pStyle w:val="Heading1"/>
        <w:spacing w:before="0" w:after="0"/>
        <w:jc w:val="both"/>
      </w:pPr>
      <w:bookmarkStart w:name="_Toc1c45" w:id="1"/>
      <w:r>
        <w:rPr>
          <w:color w:val="1b324f"/>
          <w:sz w:val="28"/>
          <w:szCs w:val="28"/>
          <w:rFonts w:ascii="宋体" w:cs="宋体" w:eastAsia="宋体" w:hAnsi="宋体"/>
        </w:rPr>
        <w:t xml:space="preserve">5.4  风险措施的跟踪和验证</w:t>
      </w:r>
      <w:bookmarkEnd w:id="1"/>
    </w:p>
    <w:p>
      <w:pPr>
        <w:pStyle w:val="Heading1"/>
        <w:spacing w:before="0" w:after="0"/>
        <w:jc w:val="both"/>
      </w:pPr>
      <w:bookmarkStart w:name="_Toc970f" w:id="1"/>
      <w:r>
        <w:rPr>
          <w:color w:val="1b324f"/>
          <w:sz w:val="28"/>
          <w:szCs w:val="28"/>
          <w:rFonts w:ascii="宋体" w:cs="宋体" w:eastAsia="宋体" w:hAnsi="宋体"/>
        </w:rPr>
        <w:t xml:space="preserve">5.4.1  质量安全部根据产品安全危险源识别和风险评估分级结果，按照分级管控的原则组织开展控制措施的跟踪和验证工作：</w:t>
      </w:r>
      <w:bookmarkEnd w:id="1"/>
    </w:p>
    <w:p>
      <w:pPr>
        <w:spacing w:before="0" w:after="0"/>
        <w:jc w:val="left"/>
      </w:pPr>
      <w:r>
        <w:rPr>
          <w:color w:val="1b324f"/>
          <w:sz w:val="28"/>
          <w:szCs w:val="28"/>
          <w:rFonts w:ascii="宋体" w:cs="宋体" w:eastAsia="宋体" w:hAnsi="宋体"/>
        </w:rPr>
        <w:t xml:space="preserve">a)  黄/蓝色危险源：由各产品安全责任部门自行组织控制措施的跟踪和验证工作，质量安全部负责监督；</w:t>
      </w:r>
    </w:p>
    <w:p>
      <w:pPr>
        <w:spacing w:before="0" w:after="0"/>
        <w:jc w:val="left"/>
      </w:pPr>
      <w:r>
        <w:rPr>
          <w:color w:val="1b324f"/>
          <w:sz w:val="28"/>
          <w:szCs w:val="28"/>
          <w:rFonts w:ascii="宋体" w:cs="宋体" w:eastAsia="宋体" w:hAnsi="宋体"/>
        </w:rPr>
        <w:t xml:space="preserve">b)  红/橙色危险源：由质量安全部组织开展风险控制措施的跟踪和验证工作。</w:t>
      </w:r>
    </w:p>
    <w:p>
      <w:pPr>
        <w:spacing w:before="0" w:after="0"/>
        <w:jc w:val="both"/>
      </w:pPr>
      <w:r>
        <w:rPr>
          <w:color w:val="1b324f"/>
          <w:sz w:val="28"/>
          <w:szCs w:val="28"/>
          <w:rFonts w:ascii="宋体" w:cs="宋体" w:eastAsia="宋体" w:hAnsi="宋体"/>
        </w:rPr>
        <w:t xml:space="preserve">5.4.2  风险控制措施的跟踪和验证工作内容主要包括以下四个方面：</w:t>
      </w:r>
    </w:p>
    <w:p>
      <w:pPr>
        <w:spacing w:before="0" w:after="0"/>
        <w:jc w:val="both"/>
      </w:pPr>
      <w:r>
        <w:rPr>
          <w:color w:val="1b324f"/>
          <w:sz w:val="28"/>
          <w:szCs w:val="28"/>
          <w:rFonts w:ascii="宋体" w:cs="宋体" w:eastAsia="宋体" w:hAnsi="宋体"/>
        </w:rPr>
        <w:t xml:space="preserve">a)  检查风控措施是否按照计划落实；</w:t>
      </w:r>
    </w:p>
    <w:p>
      <w:pPr>
        <w:spacing w:before="0" w:after="0"/>
        <w:jc w:val="both"/>
      </w:pPr>
      <w:r>
        <w:rPr>
          <w:color w:val="1b324f"/>
          <w:sz w:val="28"/>
          <w:szCs w:val="28"/>
          <w:rFonts w:ascii="宋体" w:cs="宋体" w:eastAsia="宋体" w:hAnsi="宋体"/>
        </w:rPr>
        <w:t xml:space="preserve">b)</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确认风控措施的有效性；</w:t>
      </w:r>
    </w:p>
    <w:p>
      <w:pPr>
        <w:spacing w:before="0" w:after="0"/>
        <w:jc w:val="both"/>
      </w:pPr>
      <w:r>
        <w:rPr>
          <w:color w:val="1b324f"/>
          <w:sz w:val="28"/>
          <w:szCs w:val="28"/>
          <w:rFonts w:ascii="宋体" w:cs="宋体" w:eastAsia="宋体" w:hAnsi="宋体"/>
        </w:rPr>
        <w:t xml:space="preserve">c)</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确认风控措施落实后是否存在衍生风险和残余风险；</w:t>
      </w:r>
    </w:p>
    <w:p>
      <w:pPr>
        <w:spacing w:before="0" w:after="0"/>
        <w:jc w:val="both"/>
      </w:pPr>
      <w:r>
        <w:rPr>
          <w:color w:val="1b324f"/>
          <w:sz w:val="28"/>
          <w:szCs w:val="28"/>
          <w:rFonts w:ascii="宋体" w:cs="宋体" w:eastAsia="宋体" w:hAnsi="宋体"/>
        </w:rPr>
        <w:t xml:space="preserve">d)</w:t>
      </w:r>
      <w:r>
        <w:rPr>
          <w:color w:val="1b324f"/>
          <w:sz w:val="28"/>
          <w:szCs w:val="28"/>
          <w:rFonts w:ascii="宋体" w:cs="宋体" w:eastAsia="宋体" w:hAnsi="宋体"/>
        </w:rPr>
        <w:t xml:space="preserve">  </w:t>
      </w:r>
      <w:r>
        <w:rPr>
          <w:color w:val="1b324f"/>
          <w:sz w:val="28"/>
          <w:szCs w:val="28"/>
          <w:rFonts w:ascii="宋体" w:cs="宋体" w:eastAsia="宋体" w:hAnsi="宋体"/>
        </w:rPr>
        <w:t xml:space="preserve">确认衍生风险和残余风险是否可接受。</w:t>
      </w:r>
    </w:p>
    <w:p>
      <w:pPr>
        <w:spacing w:before="0" w:after="0"/>
        <w:jc w:val="both"/>
      </w:pPr>
      <w:r>
        <w:rPr>
          <w:color w:val="1b324f"/>
          <w:sz w:val="28"/>
          <w:szCs w:val="28"/>
          <w:rFonts w:ascii="宋体" w:cs="宋体" w:eastAsia="宋体" w:hAnsi="宋体"/>
        </w:rPr>
        <w:t xml:space="preserve">5.5  产品安全危险库的建立与维护</w:t>
      </w:r>
    </w:p>
    <w:p>
      <w:pPr>
        <w:spacing w:before="0" w:after="0"/>
        <w:jc w:val="both"/>
      </w:pPr>
      <w:r>
        <w:rPr>
          <w:color w:val="1b324f"/>
          <w:sz w:val="28"/>
          <w:szCs w:val="28"/>
          <w:rFonts w:ascii="宋体" w:cs="宋体" w:eastAsia="宋体" w:hAnsi="宋体"/>
        </w:rPr>
        <w:t xml:space="preserve">5.5.1  质量安全部将此项工作作为常态化工作机制，建立并维护BP1.3-02，包含各级产品安全危险源，产品安全危险源数据库管理作为公司安全信息管理的一部分。</w:t>
      </w:r>
    </w:p>
    <w:p>
      <w:pPr>
        <w:spacing w:before="0" w:after="0"/>
        <w:jc w:val="both"/>
      </w:pPr>
      <w:r>
        <w:rPr>
          <w:color w:val="1b324f"/>
          <w:sz w:val="28"/>
          <w:szCs w:val="28"/>
          <w:rFonts w:ascii="宋体" w:cs="宋体" w:eastAsia="宋体" w:hAnsi="宋体"/>
        </w:rPr>
        <w:t xml:space="preserve">5.5.2  各产品安全责任部门应建立本部门产品安全危险源数据库，须包含主责的各级产品安全危险源。</w:t>
      </w:r>
    </w:p>
    <w:p>
      <w:pPr>
        <w:spacing w:before="0" w:after="0"/>
        <w:jc w:val="both"/>
      </w:pPr>
      <w:r>
        <w:rPr>
          <w:color w:val="1b324f"/>
          <w:sz w:val="28"/>
          <w:szCs w:val="28"/>
          <w:rFonts w:ascii="宋体" w:cs="宋体" w:eastAsia="宋体" w:hAnsi="宋体"/>
        </w:rPr>
        <w:t xml:space="preserve">5.5.3  产品安全危险源数据库应包含BP1.3-01的基本要素，如危险源基本信息、风险等级、风险控制措施、残余风险、控制措施的跟踪验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证等。</w:t>
      </w:r>
    </w:p>
    <w:p>
      <w:pPr>
        <w:spacing w:before="0" w:after="0"/>
        <w:jc w:val="both"/>
      </w:pPr>
      <w:r>
        <w:rPr>
          <w:color w:val="1b324f"/>
          <w:sz w:val="28"/>
          <w:szCs w:val="28"/>
          <w:rFonts w:ascii="宋体" w:cs="宋体" w:eastAsia="宋体" w:hAnsi="宋体"/>
        </w:rPr>
        <w:t xml:space="preserve">5.5.4  每年年初质量安全部组织各相关部门开展产品安全危险源的识别与申报，对FM1405-135每年更新一次并报送集团。</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1b324f"/>
          <w:sz w:val="28"/>
          <w:szCs w:val="28"/>
          <w:rFonts w:ascii="华文宋体" w:cs="华文宋体" w:eastAsia="华文宋体" w:hAnsi="华文宋体"/>
        </w:rPr>
        <w:t xml:space="preserve"> </w:t>
      </w:r>
    </w:p>
    <w:p>
      <w:pPr>
        <w:spacing w:before="0" w:after="0"/>
        <w:jc w:val="both"/>
      </w:pPr>
      <w:r>
        <w:rPr>
          <w:color w:val="1b324f"/>
          <w:sz w:val="28"/>
          <w:szCs w:val="28"/>
          <w:rFonts w:ascii="宋体" w:cs="宋体" w:eastAsia="宋体" w:hAnsi="宋体"/>
        </w:rPr>
        <w:t xml:space="preserve">7.1 FM1405-134由质量安全部长期保存。</w:t>
      </w:r>
    </w:p>
    <w:p>
      <w:pPr>
        <w:spacing w:before="0" w:after="0"/>
        <w:jc w:val="both"/>
      </w:pPr>
      <w:r>
        <w:rPr>
          <w:color w:val="1b324f"/>
          <w:sz w:val="28"/>
          <w:szCs w:val="28"/>
          <w:rFonts w:ascii="宋体" w:cs="宋体" w:eastAsia="宋体" w:hAnsi="宋体"/>
        </w:rPr>
        <w:t xml:space="preserve">7.2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（规范性）</w:t>
      </w:r>
    </w:p>
    <w:p>
      <w:pPr>
        <w:spacing w:before="0" w:after="0"/>
        <w:jc w:val="center"/>
      </w:pPr>
      <w:r>
        <w:rPr>
          <w:color w:val="1b324f"/>
          <w:sz w:val="28"/>
          <w:szCs w:val="28"/>
          <w:rFonts w:ascii="宋体" w:cs="宋体" w:eastAsia="宋体" w:hAnsi="宋体"/>
        </w:rPr>
        <w:t xml:space="preserve">风险矩阵法</w:t>
      </w:r>
    </w:p>
    <w:p>
      <w:pPr>
        <w:spacing w:before="0" w:after="0" w:line="280" w:lineRule="exact"/>
        <w:jc w:val="left"/>
      </w:pPr>
      <w:r>
        <w:rPr>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A1 风险矩阵法（LS）</w:t>
      </w:r>
    </w:p>
    <w:p>
      <w:pPr>
        <w:spacing w:before="0" w:after="0"/>
        <w:jc w:val="left"/>
      </w:pPr>
      <w:r>
        <w:rPr>
          <w:color w:val="1b324f"/>
          <w:sz w:val="28"/>
          <w:szCs w:val="28"/>
          <w:rFonts w:ascii="宋体" w:cs="宋体" w:eastAsia="宋体" w:hAnsi="宋体"/>
        </w:rPr>
        <w:t xml:space="preserve">风险矩阵法（LS），R=S×L，其中R是风险值，事故发生可能性与后果严重性的结合，S是后果严重性，L是发生可能性；对于制造相关的风险，R=S×L×T，T为检测度。R值越大，说明该系统危险性越大、风险大。结合实践，以对飞机、机组、人员的影响为例，S和L标准可分别参考表A.1和表A.2。</w:t>
      </w:r>
    </w:p>
    <w:p>
      <w:pPr>
        <w:spacing w:before="0" w:after="0"/>
        <w:jc w:val="center"/>
      </w:pPr>
      <w:r>
        <w:rPr>
          <w:color w:val="1b324f"/>
          <w:sz w:val="28"/>
          <w:szCs w:val="28"/>
          <w:rFonts w:ascii="宋体" w:cs="宋体" w:eastAsia="宋体" w:hAnsi="宋体"/>
        </w:rPr>
        <w:t xml:space="preserve">表A.1后果严重性（S）等级对应表</w:t>
      </w:r>
    </w:p>
    <w:p>
      <w:pPr>
        <w:spacing w:before="0" w:after="0" w:line="280" w:lineRule="exact"/>
        <w:jc w:val="center"/>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2085"/>
        <w:gridCol w:w="2085"/>
        <w:gridCol w:w="205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严重等级</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对产品（飞机）的影响</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对飞行机组的影响</w:t>
            </w:r>
          </w:p>
        </w:tc>
        <w:tc>
          <w:tcPr>
            <w:tcW w:type="dxa" w:w="20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对人员的影响</w:t>
            </w:r>
          </w:p>
        </w:tc>
      </w:tr>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灾难的</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一般会损毁</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死亡或丧失（执行任务）的能力</w:t>
            </w:r>
          </w:p>
        </w:tc>
        <w:tc>
          <w:tcPr>
            <w:tcW w:type="dxa" w:w="20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绝大部分死亡</w:t>
            </w:r>
          </w:p>
        </w:tc>
      </w:tr>
      <w:tr>
        <w:trPr>
          <w:tblHeader w:val="false"/>
          <w:trHeight w:val="2070" w:hRule="atLeast"/>
        </w:trPr>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危险的</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极大降低功能能力或安全裕度</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身体不适或过分的工作负担削弱（执行任务）的能力</w:t>
            </w:r>
          </w:p>
        </w:tc>
        <w:tc>
          <w:tcPr>
            <w:tcW w:type="dxa" w:w="20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个别人员遭受严重伤害或死亡</w:t>
            </w:r>
          </w:p>
        </w:tc>
      </w:tr>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较大的</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明显地降低功能能力或安全裕度</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（身体不适）明显增加工作负担</w:t>
            </w:r>
          </w:p>
        </w:tc>
        <w:tc>
          <w:tcPr>
            <w:tcW w:type="dxa" w:w="20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身体不适，可能出现受伤</w:t>
            </w:r>
          </w:p>
        </w:tc>
      </w:tr>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较小的</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轻微地降低功能能力或安全裕度</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轻微地增加工作负担</w:t>
            </w:r>
          </w:p>
        </w:tc>
        <w:tc>
          <w:tcPr>
            <w:tcW w:type="dxa" w:w="20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身体不舒适</w:t>
            </w:r>
          </w:p>
        </w:tc>
      </w:tr>
      <w:tr>
        <w:trPr>
          <w:tblHeader w:val="false"/>
          <w:trHeight w:val="1065" w:hRule="atLeast"/>
        </w:trPr>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无安全影响</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对运行使用安全无影响</w:t>
            </w:r>
          </w:p>
        </w:tc>
        <w:tc>
          <w:tcPr>
            <w:tcW w:type="dxa" w:w="208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对飞机机组无影响</w:t>
            </w:r>
          </w:p>
        </w:tc>
        <w:tc>
          <w:tcPr>
            <w:tcW w:type="dxa" w:w="20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不便利</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表A.2发生可能性（L）概率对应表</w:t>
      </w:r>
    </w:p>
    <w:p>
      <w:pPr>
        <w:spacing w:before="0" w:after="0" w:line="280" w:lineRule="exact"/>
        <w:jc w:val="center"/>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序号</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定性概率</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定义</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定量概率</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Ⅰ</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频繁的</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在单个产品全寿命周期内，预计会不断发生</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10-3＜P</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Ⅱ</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不经常的</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在单个产品全寿命周期内，预计会发生一次或多次</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10-5＜P＜10-3</w:t>
            </w:r>
          </w:p>
        </w:tc>
      </w:tr>
      <w:tr>
        <w:trPr>
          <w:tblHeader w:val="false"/>
          <w:trHeight w:val="2565"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Ⅲ</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微小的</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在单个产品全寿命周期内不太可能发生，考虑一定数量的机群预计会发生几次</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10-7＜P＜10-5</w:t>
            </w:r>
          </w:p>
        </w:tc>
      </w:tr>
      <w:tr>
        <w:trPr>
          <w:tblHeader w:val="false"/>
          <w:trHeight w:val="2565"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Ⅳ</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不可能</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在单个产品全寿命周期内不会发生，考虑所有机群预计会发生很少几次</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10-9＜P＜10-7</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Ⅴ</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极不可能的</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在该产品所有机群全寿命周期内预计都不可能发生</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P＜10-9</w:t>
            </w:r>
          </w:p>
        </w:tc>
      </w:tr>
    </w:tbl>
    <w:p>
      <w:pPr>
        <w:spacing w:before="0" w:after="0"/>
        <w:jc w:val="center"/>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    根据潜在后果分析，对照潜在后果发生可能性及严重程度等级标</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left"/>
      </w:pPr>
      <w:r>
        <w:rPr>
          <w:color w:val="1b324f"/>
          <w:sz w:val="28"/>
          <w:szCs w:val="28"/>
          <w:rFonts w:ascii="宋体" w:cs="宋体" w:eastAsia="宋体" w:hAnsi="宋体"/>
        </w:rPr>
        <w:t xml:space="preserve">准，确定潜在后果发生可能性及严重程度等级，对照A.3安全风险矩阵，确定安全风险等级。</w:t>
      </w:r>
    </w:p>
    <w:p>
      <w:pPr>
        <w:spacing w:before="0" w:after="0" w:line="280" w:lineRule="exact"/>
        <w:jc w:val="center"/>
      </w:pPr>
      <w:r>
        <w:rPr>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表A.3安全风险值及安全风险等级对应表</w:t>
      </w:r>
    </w:p>
    <w:p>
      <w:pPr>
        <w:spacing w:before="0" w:after="0" w:line="280" w:lineRule="exact"/>
        <w:jc w:val="center"/>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380"/>
        <w:gridCol w:w="1380"/>
        <w:gridCol w:w="1380"/>
        <w:gridCol w:w="1380"/>
      </w:tblGrid>
      <w:tr>
        <w:trPr>
          <w:tblHeader w:val="false"/>
          <w:trHeight w:val="630" w:hRule="atLeast"/>
        </w:trPr>
        <w:tc>
          <w:tcPr>
            <w:tcW w:type="dxa" w:w="1380"/>
            <w:gridSpan w:val="1"/>
            <w:vMerge w:val="restart"/>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发生可能概率</w:t>
            </w:r>
          </w:p>
        </w:tc>
        <w:tc>
          <w:tcPr>
            <w:tcW w:type="dxa" w:w="6900"/>
            <w:gridSpan w:val="5"/>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后果严重等级</w:t>
            </w:r>
          </w:p>
        </w:tc>
      </w:tr>
      <w:tr>
        <w:trPr>
          <w:tblHeader w:val="false"/>
          <w:trHeight w:val="1485" w:hRule="atLeast"/>
        </w:trPr>
        <w:tc>
          <w:tcPr>
            <w:gridSpan w:val="1"/>
            <w:vMerge w:val="continue"/>
          </w:tcP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无安全影响       5  </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较小的              4</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较大的            3</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危险的            2</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灾难的                 1</w:t>
            </w:r>
          </w:p>
        </w:tc>
      </w:tr>
      <w:tr>
        <w:trPr>
          <w:tblHeader w:val="false"/>
          <w:trHeight w:val="1830" w:hRule="atLeast"/>
        </w:trPr>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Ⅰ                 10-3＜P</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5Ⅰ             </w:t>
            </w:r>
          </w:p>
          <w:p>
            <w:pPr>
              <w:spacing w:before="0" w:after="0"/>
              <w:jc w:val="center"/>
            </w:pPr>
            <w:r>
              <w:rPr>
                <w:color w:val="1b324f"/>
                <w:sz w:val="28"/>
                <w:szCs w:val="28"/>
                <w:rFonts w:ascii="宋体" w:cs="宋体" w:eastAsia="宋体" w:hAnsi="宋体"/>
              </w:rPr>
              <w:t xml:space="preserve">  （蓝色）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4Ⅰ        </w:t>
            </w:r>
          </w:p>
          <w:p>
            <w:pPr>
              <w:spacing w:before="0" w:after="0"/>
              <w:jc w:val="center"/>
            </w:pPr>
            <w:r>
              <w:rPr>
                <w:color w:val="1b324f"/>
                <w:sz w:val="28"/>
                <w:szCs w:val="28"/>
                <w:rFonts w:ascii="宋体" w:cs="宋体" w:eastAsia="宋体" w:hAnsi="宋体"/>
              </w:rPr>
              <w:t xml:space="preserve">       （黄色）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3Ⅰ             </w:t>
            </w:r>
          </w:p>
          <w:p>
            <w:pPr>
              <w:spacing w:before="0" w:after="0"/>
              <w:jc w:val="center"/>
            </w:pPr>
            <w:r>
              <w:rPr>
                <w:color w:val="1b324f"/>
                <w:sz w:val="28"/>
                <w:szCs w:val="28"/>
                <w:rFonts w:ascii="宋体" w:cs="宋体" w:eastAsia="宋体" w:hAnsi="宋体"/>
              </w:rPr>
              <w:t xml:space="preserve">  （橙色）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2Ⅰ             </w:t>
            </w:r>
          </w:p>
          <w:p>
            <w:pPr>
              <w:spacing w:before="0" w:after="0"/>
              <w:jc w:val="center"/>
            </w:pPr>
            <w:r>
              <w:rPr>
                <w:color w:val="1b324f"/>
                <w:sz w:val="28"/>
                <w:szCs w:val="28"/>
                <w:rFonts w:ascii="宋体" w:cs="宋体" w:eastAsia="宋体" w:hAnsi="宋体"/>
              </w:rPr>
              <w:t xml:space="preserve">  （红色）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1Ⅰ             </w:t>
            </w:r>
          </w:p>
          <w:p>
            <w:pPr>
              <w:spacing w:before="0" w:after="0"/>
              <w:jc w:val="center"/>
            </w:pPr>
            <w:r>
              <w:rPr>
                <w:color w:val="1b324f"/>
                <w:sz w:val="28"/>
                <w:szCs w:val="28"/>
                <w:rFonts w:ascii="宋体" w:cs="宋体" w:eastAsia="宋体" w:hAnsi="宋体"/>
              </w:rPr>
              <w:t xml:space="preserve">  （红色）</w:t>
            </w:r>
          </w:p>
        </w:tc>
      </w:tr>
      <w:tr>
        <w:trPr>
          <w:tblHeader w:val="false"/>
          <w:trHeight w:val="1785" w:hRule="atLeast"/>
        </w:trPr>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Ⅱ                10-5＜P＜10-3</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5Ⅱ             </w:t>
            </w:r>
          </w:p>
          <w:p>
            <w:pPr>
              <w:spacing w:before="0" w:after="0"/>
              <w:jc w:val="center"/>
            </w:pPr>
            <w:r>
              <w:rPr>
                <w:color w:val="1b324f"/>
                <w:sz w:val="28"/>
                <w:szCs w:val="28"/>
                <w:rFonts w:ascii="宋体" w:cs="宋体" w:eastAsia="宋体" w:hAnsi="宋体"/>
              </w:rPr>
              <w:t xml:space="preserve">  （蓝色）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4Ⅱ             </w:t>
            </w:r>
          </w:p>
          <w:p>
            <w:pPr>
              <w:spacing w:before="0" w:after="0"/>
              <w:jc w:val="center"/>
            </w:pPr>
            <w:r>
              <w:rPr>
                <w:color w:val="1b324f"/>
                <w:sz w:val="28"/>
                <w:szCs w:val="28"/>
                <w:rFonts w:ascii="宋体" w:cs="宋体" w:eastAsia="宋体" w:hAnsi="宋体"/>
              </w:rPr>
              <w:t xml:space="preserve">  （黄色）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3Ⅱ             </w:t>
            </w:r>
          </w:p>
          <w:p>
            <w:pPr>
              <w:spacing w:before="0" w:after="0"/>
              <w:jc w:val="center"/>
            </w:pPr>
            <w:r>
              <w:rPr>
                <w:color w:val="1b324f"/>
                <w:sz w:val="28"/>
                <w:szCs w:val="28"/>
                <w:rFonts w:ascii="宋体" w:cs="宋体" w:eastAsia="宋体" w:hAnsi="宋体"/>
              </w:rPr>
              <w:t xml:space="preserve">  （橙色）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2Ⅱ            </w:t>
            </w:r>
          </w:p>
          <w:p>
            <w:pPr>
              <w:spacing w:before="0" w:after="0"/>
              <w:jc w:val="center"/>
            </w:pPr>
            <w:r>
              <w:rPr>
                <w:color w:val="1b324f"/>
                <w:sz w:val="28"/>
                <w:szCs w:val="28"/>
                <w:rFonts w:ascii="宋体" w:cs="宋体" w:eastAsia="宋体" w:hAnsi="宋体"/>
              </w:rPr>
              <w:t xml:space="preserve">  （红色）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1Ⅱ             </w:t>
            </w:r>
          </w:p>
          <w:p>
            <w:pPr>
              <w:spacing w:before="0" w:after="0"/>
              <w:jc w:val="center"/>
            </w:pPr>
            <w:r>
              <w:rPr>
                <w:color w:val="1b324f"/>
                <w:sz w:val="28"/>
                <w:szCs w:val="28"/>
                <w:rFonts w:ascii="宋体" w:cs="宋体" w:eastAsia="宋体" w:hAnsi="宋体"/>
              </w:rPr>
              <w:t xml:space="preserve">  （红色）</w:t>
            </w:r>
          </w:p>
        </w:tc>
      </w:tr>
      <w:tr>
        <w:trPr>
          <w:tblHeader w:val="false"/>
          <w:trHeight w:val="1785" w:hRule="atLeast"/>
        </w:trPr>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Ⅲ                10-7＜P＜10-5</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5Ⅲ             </w:t>
            </w:r>
          </w:p>
          <w:p>
            <w:pPr>
              <w:spacing w:before="0" w:after="0"/>
              <w:jc w:val="center"/>
            </w:pPr>
            <w:r>
              <w:rPr>
                <w:color w:val="1b324f"/>
                <w:sz w:val="28"/>
                <w:szCs w:val="28"/>
                <w:rFonts w:ascii="宋体" w:cs="宋体" w:eastAsia="宋体" w:hAnsi="宋体"/>
              </w:rPr>
              <w:t xml:space="preserve">  （蓝色）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4Ⅲ             </w:t>
            </w:r>
          </w:p>
          <w:p>
            <w:pPr>
              <w:spacing w:before="0" w:after="0"/>
              <w:jc w:val="center"/>
            </w:pPr>
            <w:r>
              <w:rPr>
                <w:color w:val="1b324f"/>
                <w:sz w:val="28"/>
                <w:szCs w:val="28"/>
                <w:rFonts w:ascii="宋体" w:cs="宋体" w:eastAsia="宋体" w:hAnsi="宋体"/>
              </w:rPr>
              <w:t xml:space="preserve">  （黄色）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3Ⅲ             </w:t>
            </w:r>
          </w:p>
          <w:p>
            <w:pPr>
              <w:spacing w:before="0" w:after="0"/>
              <w:jc w:val="center"/>
            </w:pPr>
            <w:r>
              <w:rPr>
                <w:color w:val="1b324f"/>
                <w:sz w:val="28"/>
                <w:szCs w:val="28"/>
                <w:rFonts w:ascii="宋体" w:cs="宋体" w:eastAsia="宋体" w:hAnsi="宋体"/>
              </w:rPr>
              <w:t xml:space="preserve">  （橙色）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2Ⅲ            </w:t>
            </w:r>
          </w:p>
          <w:p>
            <w:pPr>
              <w:spacing w:before="0" w:after="0"/>
              <w:jc w:val="center"/>
            </w:pPr>
            <w:r>
              <w:rPr>
                <w:color w:val="1b324f"/>
                <w:sz w:val="28"/>
                <w:szCs w:val="28"/>
                <w:rFonts w:ascii="宋体" w:cs="宋体" w:eastAsia="宋体" w:hAnsi="宋体"/>
              </w:rPr>
              <w:t xml:space="preserve">  （红色）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1Ⅲ             </w:t>
            </w:r>
          </w:p>
          <w:p>
            <w:pPr>
              <w:spacing w:before="0" w:after="0"/>
              <w:jc w:val="center"/>
            </w:pPr>
            <w:r>
              <w:rPr>
                <w:color w:val="1b324f"/>
                <w:sz w:val="28"/>
                <w:szCs w:val="28"/>
                <w:rFonts w:ascii="宋体" w:cs="宋体" w:eastAsia="宋体" w:hAnsi="宋体"/>
              </w:rPr>
              <w:t xml:space="preserve">  （红色）</w:t>
            </w:r>
          </w:p>
        </w:tc>
      </w:tr>
      <w:tr>
        <w:trPr>
          <w:tblHeader w:val="false"/>
          <w:trHeight w:val="2085" w:hRule="atLeast"/>
        </w:trPr>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Ⅳ                       10-9＜P＜10-7</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5Ⅳ            </w:t>
            </w:r>
          </w:p>
          <w:p>
            <w:pPr>
              <w:spacing w:before="0" w:after="0"/>
              <w:jc w:val="center"/>
            </w:pPr>
            <w:r>
              <w:rPr>
                <w:color w:val="1b324f"/>
                <w:sz w:val="28"/>
                <w:szCs w:val="28"/>
                <w:rFonts w:ascii="宋体" w:cs="宋体" w:eastAsia="宋体" w:hAnsi="宋体"/>
              </w:rPr>
              <w:t xml:space="preserve">  （蓝色）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4Ⅳ             </w:t>
            </w:r>
          </w:p>
          <w:p>
            <w:pPr>
              <w:spacing w:before="0" w:after="0"/>
              <w:jc w:val="center"/>
            </w:pPr>
            <w:r>
              <w:rPr>
                <w:color w:val="1b324f"/>
                <w:sz w:val="28"/>
                <w:szCs w:val="28"/>
                <w:rFonts w:ascii="宋体" w:cs="宋体" w:eastAsia="宋体" w:hAnsi="宋体"/>
              </w:rPr>
              <w:t xml:space="preserve">  （黄色）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3Ⅳ             </w:t>
            </w:r>
          </w:p>
          <w:p>
            <w:pPr>
              <w:spacing w:before="0" w:after="0"/>
              <w:jc w:val="center"/>
            </w:pPr>
            <w:r>
              <w:rPr>
                <w:color w:val="1b324f"/>
                <w:sz w:val="28"/>
                <w:szCs w:val="28"/>
                <w:rFonts w:ascii="宋体" w:cs="宋体" w:eastAsia="宋体" w:hAnsi="宋体"/>
              </w:rPr>
              <w:t xml:space="preserve">  （橙色）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2Ⅳ            </w:t>
            </w:r>
          </w:p>
          <w:p>
            <w:pPr>
              <w:spacing w:before="0" w:after="0"/>
              <w:jc w:val="center"/>
            </w:pPr>
            <w:r>
              <w:rPr>
                <w:color w:val="1b324f"/>
                <w:sz w:val="28"/>
                <w:szCs w:val="28"/>
                <w:rFonts w:ascii="宋体" w:cs="宋体" w:eastAsia="宋体" w:hAnsi="宋体"/>
              </w:rPr>
              <w:t xml:space="preserve">  （红色）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1Ⅳ             </w:t>
            </w:r>
          </w:p>
          <w:p>
            <w:pPr>
              <w:spacing w:before="0" w:after="0"/>
              <w:jc w:val="center"/>
            </w:pPr>
            <w:r>
              <w:rPr>
                <w:color w:val="1b324f"/>
                <w:sz w:val="28"/>
                <w:szCs w:val="28"/>
                <w:rFonts w:ascii="宋体" w:cs="宋体" w:eastAsia="宋体" w:hAnsi="宋体"/>
              </w:rPr>
              <w:t xml:space="preserve">  （红色）</w:t>
            </w:r>
          </w:p>
        </w:tc>
      </w:tr>
      <w:tr>
        <w:trPr>
          <w:tblHeader w:val="false"/>
          <w:trHeight w:val="1260" w:hRule="atLeast"/>
        </w:trPr>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Ⅴ                    P＜10</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5Ⅴ             </w:t>
            </w:r>
          </w:p>
          <w:p>
            <w:pPr>
              <w:spacing w:before="0" w:after="0"/>
              <w:jc w:val="center"/>
            </w:pPr>
            <w:r>
              <w:rPr>
                <w:color w:val="1b324f"/>
                <w:sz w:val="28"/>
                <w:szCs w:val="28"/>
                <w:rFonts w:ascii="宋体" w:cs="宋体" w:eastAsia="宋体" w:hAnsi="宋体"/>
              </w:rPr>
              <w:t xml:space="preserve">  （蓝色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4Ⅴ             </w:t>
            </w:r>
          </w:p>
          <w:p>
            <w:pPr>
              <w:spacing w:before="0" w:after="0"/>
              <w:jc w:val="center"/>
            </w:pPr>
            <w:r>
              <w:rPr>
                <w:color w:val="1b324f"/>
                <w:sz w:val="28"/>
                <w:szCs w:val="28"/>
                <w:rFonts w:ascii="宋体" w:cs="宋体" w:eastAsia="宋体" w:hAnsi="宋体"/>
              </w:rPr>
              <w:t xml:space="preserve">  （黄色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3Ⅴ             </w:t>
            </w:r>
          </w:p>
          <w:p>
            <w:pPr>
              <w:spacing w:before="0" w:after="0"/>
              <w:jc w:val="center"/>
            </w:pPr>
            <w:r>
              <w:rPr>
                <w:color w:val="1b324f"/>
                <w:sz w:val="28"/>
                <w:szCs w:val="28"/>
                <w:rFonts w:ascii="宋体" w:cs="宋体" w:eastAsia="宋体" w:hAnsi="宋体"/>
              </w:rPr>
              <w:t xml:space="preserve">  （橙色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2Ⅴ            </w:t>
            </w:r>
          </w:p>
          <w:p>
            <w:pPr>
              <w:spacing w:before="0" w:after="0"/>
              <w:jc w:val="center"/>
            </w:pPr>
            <w:r>
              <w:rPr>
                <w:color w:val="1b324f"/>
                <w:sz w:val="28"/>
                <w:szCs w:val="28"/>
                <w:rFonts w:ascii="宋体" w:cs="宋体" w:eastAsia="宋体" w:hAnsi="宋体"/>
              </w:rPr>
              <w:t xml:space="preserve">  （红色</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1Ⅴ             </w:t>
            </w:r>
          </w:p>
          <w:p>
            <w:pPr>
              <w:spacing w:before="0" w:after="0"/>
              <w:jc w:val="center"/>
            </w:pPr>
            <w:r>
              <w:rPr>
                <w:color w:val="1b324f"/>
                <w:sz w:val="28"/>
                <w:szCs w:val="28"/>
                <w:rFonts w:ascii="宋体" w:cs="宋体" w:eastAsia="宋体" w:hAnsi="宋体"/>
              </w:rPr>
              <w:t xml:space="preserve">  （红色</w:t>
            </w:r>
          </w:p>
        </w:tc>
      </w:tr>
    </w:tbl>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380"/>
        <w:gridCol w:w="1380"/>
        <w:gridCol w:w="1380"/>
        <w:gridCol w:w="1380"/>
      </w:tblGrid>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-9</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w:t>
            </w:r>
          </w:p>
        </w:tc>
        <w:tc>
          <w:tcPr>
            <w:tcW w:type="dxa" w:w="138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w:t>
            </w:r>
          </w:p>
        </w:tc>
      </w:tr>
    </w:tbl>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表A.4 风险容忍程度对照表</w:t>
      </w:r>
    </w:p>
    <w:p>
      <w:pPr>
        <w:spacing w:before="0" w:after="0" w:line="280" w:lineRule="exact"/>
        <w:jc w:val="center"/>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风险等级</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风险级别</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颜色</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容忍度</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A</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重大</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红</w:t>
            </w:r>
          </w:p>
        </w:tc>
        <w:tc>
          <w:tcPr>
            <w:tcW w:type="dxa" w:w="2070"/>
            <w:gridSpan w:val="1"/>
            <w:vMerge w:val="restart"/>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不可接受</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B</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较大</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橙</w:t>
            </w:r>
          </w:p>
        </w:tc>
        <w:tc>
          <w:tcPr>
            <w:gridSpan w:val="1"/>
            <w:vMerge w:val="continue"/>
          </w:tcP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C</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一般</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黄</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缓解后可接受</w:t>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D</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低</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蓝</w:t>
            </w:r>
          </w:p>
        </w:tc>
        <w:tc>
          <w:tcPr>
            <w:tcW w:type="dxa" w:w="2070"/>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可接受</w:t>
            </w:r>
          </w:p>
        </w:tc>
      </w:tr>
    </w:tbl>
    <w:p>
      <w:pPr>
        <w:spacing w:before="0" w:after="0"/>
        <w:jc w:val="center"/>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GLB140506-25-A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2026-06-10T09:25:49.162Z</dcterms:created>
  <dcterms:modified xsi:type="dcterms:W3CDTF">2026-06-10T09:25:49.162Z</dcterms:modified>
</cp:coreProperties>
</file>

<file path=docProps/custom.xml><?xml version="1.0" encoding="utf-8"?>
<Properties xmlns="http://schemas.openxmlformats.org/officeDocument/2006/custom-properties" xmlns:vt="http://schemas.openxmlformats.org/officeDocument/2006/docPropsVTypes"/>
</file>