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  <Override ContentType="application/vnd.openxmlformats-officedocument.wordprocessingml.header+xml" PartName="/word/header11.xml"/>
  <Override ContentType="application/vnd.openxmlformats-officedocument.wordprocessingml.footer+xml" PartName="/word/footer1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  <w:jc w:val="center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前    言</w:t>
      </w:r>
    </w:p>
    <w:p>
      <w:pPr>
        <w:spacing w:before="0" w:after="0"/>
        <w:jc w:val="center"/>
      </w:pPr>
      <w:r>
        <w:rPr>
          <w:color w:val="1b324f"/>
          <w:sz w:val="21"/>
          <w:szCs w:val="21"/>
          <w:rFonts w:ascii="宋体" w:cs="宋体" w:eastAsia="宋体" w:hAnsi="宋体"/>
        </w:rPr>
        <w:t xml:space="preserve"> </w:t>
      </w:r>
    </w:p>
    <w:p>
      <w:pPr>
        <w:spacing w:before="0" w:after="0"/>
        <w:jc w:val="center"/>
      </w:pPr>
      <w:r>
        <w:rPr>
          <w:color w:val="1b324f"/>
          <w:sz w:val="21"/>
          <w:szCs w:val="21"/>
          <w:rFonts w:ascii="宋体" w:cs="宋体" w:eastAsia="宋体" w:hAnsi="宋体"/>
        </w:rPr>
        <w:t xml:space="preserve"> </w:t>
      </w:r>
    </w:p>
    <w:p>
      <w:pPr>
        <w:spacing w:before="0" w:after="0"/>
        <w:jc w:val="both"/>
      </w:pPr>
      <w:r>
        <w:rPr>
          <w:color w:val="1b324f"/>
          <w:sz w:val="21"/>
          <w:szCs w:val="21"/>
          <w:rFonts w:ascii="宋体" w:cs="宋体" w:eastAsia="宋体" w:hAnsi="宋体"/>
        </w:rPr>
        <w:t xml:space="preserve">本制度属于支撑类管理制度。</w:t>
      </w:r>
    </w:p>
    <w:p>
      <w:pPr>
        <w:spacing w:before="0" w:after="0"/>
        <w:jc w:val="both"/>
      </w:pPr>
      <w:r>
        <w:rPr>
          <w:color w:val="1b324f"/>
          <w:sz w:val="21"/>
          <w:szCs w:val="21"/>
          <w:rFonts w:ascii="宋体" w:cs="宋体" w:eastAsia="宋体" w:hAnsi="宋体"/>
        </w:rPr>
        <w:t xml:space="preserve">本制度由质量安全部提出。</w:t>
      </w:r>
    </w:p>
    <w:p>
      <w:pPr>
        <w:spacing w:before="0" w:after="0"/>
        <w:jc w:val="both"/>
      </w:pPr>
      <w:r>
        <w:rPr>
          <w:color w:val="1b324f"/>
          <w:sz w:val="21"/>
          <w:szCs w:val="21"/>
          <w:rFonts w:ascii="宋体" w:cs="宋体" w:eastAsia="宋体" w:hAnsi="宋体"/>
        </w:rPr>
        <w:t xml:space="preserve">本制度由质量安全部负责解释。</w:t>
      </w:r>
      <w:r>
        <w:rPr>
          <w:sz w:val="28"/>
          <w:szCs w:val="28"/>
          <w:rFonts w:ascii="宋体" w:cs="宋体" w:eastAsia="宋体" w:hAnsi="宋体"/>
        </w:rPr>
        <w:br/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6"/>
          <w:footerReference w:type="default" r:id="rId7"/>
          <w:pgSz w:w="11906" w:h="16838" w:orient="portrait"/>
          <w:pgMar w:top="1440" w:right="1802" w:bottom="1440" w:left="1802" w:header="708" w:footer="708" w:gutter="0"/>
          <w:pgNumType w:start="1" w:fmt="decimal"/>
          <w:docGrid w:linePitch="360"/>
        </w:sectPr>
      </w:pPr>
    </w:p>
    <w:p>
      <w:pPr>
        <w:spacing w:before="0" w:after="0"/>
        <w:jc w:val="center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质量编号的确定管理标准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1  范围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本文件规定了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器材和产品质量编号的制定、使用和管理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本文件适用于民机项目。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本文件依据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GLC140506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制定。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2  规范性引用文件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下列文件对于本文件的应用是必不可少的。凡是注日期或（和）版次的引用文件，仅注日期或（和）版次的版本适用于本文件。凡是不注日期或（和）版次的引用文件，其最新版本（包括所有的修改单）适用于本文件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GLC140506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 工艺过程管控管理程序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GLC231008 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质量记录管理程序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GLB140506-11 组、部件替代管理标准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3  表格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3.1  规定表格</w:t>
      </w:r>
    </w:p>
    <w:p>
      <w:pPr>
        <w:spacing w:before="0" w:after="0"/>
        <w:jc w:val="both"/>
      </w:pPr>
      <w:r>
        <w:rPr>
          <w:sz w:val="28"/>
          <w:szCs w:val="28"/>
          <w:rFonts w:ascii="宋体" w:cs="宋体" w:eastAsia="宋体" w:hAnsi="宋体"/>
        </w:rPr>
        <w:t xml:space="preserve">无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3.2  引用表格</w:t>
      </w:r>
    </w:p>
    <w:p>
      <w:pPr>
        <w:spacing w:before="0" w:after="0"/>
        <w:jc w:val="both"/>
      </w:pPr>
      <w:r>
        <w:rPr>
          <w:sz w:val="28"/>
          <w:szCs w:val="28"/>
          <w:rFonts w:ascii="宋体" w:cs="宋体" w:eastAsia="宋体" w:hAnsi="宋体"/>
        </w:rPr>
        <w:t xml:space="preserve">无</w:t>
      </w:r>
    </w:p>
    <w:p>
      <w:pPr>
        <w:spacing w:before="0" w:after="0" w:line="210" w:lineRule="exact"/>
      </w:pPr>
      <w:r>
        <w:rPr>
          <w:color w:val="0070c0"/>
          <w:sz w:val="21"/>
          <w:szCs w:val="21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4  术语和定义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8"/>
          <w:footerReference w:type="default" r:id="rId9"/>
          <w:pgSz w:w="11906" w:h="16838" w:orient="portrait"/>
          <w:pgMar w:top="1440" w:right="1802" w:bottom="1440" w:left="1802" w:header="708" w:footer="708" w:gutter="0"/>
          <w:pgNumType w:start="2" w:fmt="decimal"/>
          <w:docGrid w:linePitch="360"/>
        </w:sectPr>
      </w:pP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文件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中界定的以及下列术语和定义适用于本文件。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4.1  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质量编号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    质量编号是标印在器材、零件、特殊件、组合件、部件和/或其原始记录及质量证明文件上的特定编号，是可追溯性标识。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4.2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  制造批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    同一型号规格、同一原材料炉批号、同一工艺规程、同一设备/工装、同一连续生产时段，在完全相同且稳定的生产条件下，连续加工完成的一组产品的集合。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4.3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  制造批次号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    赋予制造批的唯一标识号。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5  规定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5.1  器材质量编号的确定原则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5.1.1  可以使用供方提供的批号或炉号作为器材质量编号，也可以自定义器材质量编号。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5.1.1.1  自定义的器材质量编号由三部分组成，形式为YYYYXXNN。如2010TB23表示2010年验收的第23号钛棒。其中：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（1） YYYY由四位数字组成，为验收器材的年代号。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（2）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  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XX由两位英文字母组成，为器材代码，具体信息见附录A。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（3） NN由两位数字组成，为按年份类别验收时编写的自然系列号。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5.1.2  有唯一序列号标识的外购件可以将序列号作为外购件的质量编号。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5.2  产品质量编号的确定原则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5.2.1  按批投产的产品质量编号为产品的制造批次号，产品的制造批次号由制造单位按其内部投产计划制定，采用三位数字和字母组成，对同一件号产品的不同制造批连续编号，形式为XXXN，如001A，其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10"/>
          <w:footerReference w:type="default" r:id="rId11"/>
          <w:pgSz w:w="11906" w:h="16838" w:orient="portrait"/>
          <w:pgMar w:top="1440" w:right="1802" w:bottom="1440" w:left="1802" w:header="708" w:footer="708" w:gutter="0"/>
          <w:pgNumType w:start="3" w:fmt="decimal"/>
          <w:docGrid w:linePitch="360"/>
        </w:sectPr>
      </w:pP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中：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（1） XXX是生产单位根据生产订单起始架次确定的生产流水号，从001开始，后续依次为002,003等；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（2） N为大写英文字母，表示同一生产流水号产品制造记录的发放次序号, 按英文字母顺序排序，首次发放为A，后续依次为B,C，... ...AA,AB等。禁止使用字母I、O、Q、S、X、Z。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5.2.2</w:t>
      </w:r>
      <w:r>
        <w:rPr>
          <w:sz w:val="28"/>
          <w:szCs w:val="28"/>
          <w:rFonts w:ascii="宋体" w:cs="宋体" w:eastAsia="宋体" w:hAnsi="宋体"/>
        </w:rPr>
        <w:t xml:space="preserve">  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特制件质量编号由三部分组成，形式为T-XXXNZ，如T-002A1其中：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（1） T为“特制件”代号。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（2）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  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XXXN为制造批次号，表示与特制件相对应的一般投产产品的质量编号。采用短横线连接号（-）与特制件代号连接。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（3）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  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Z为一位数字，表示特制件产品制造记录发放次数。同一制造批次累计排列, 按1、2、3……顺序编号。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（4）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  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当顾客在拒收解答中指定了特定的系列号时，需使用该系列号为质量编号。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5.2.3  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补制件质量编号由三部分组成，形式为B-XXXNZ，如B-002A1其中：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（1） B为“补制件”代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号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（2） XXXN为号制造批次，表示与补制件相对应的一般投产产品的质量编号。采用短横线连接号（-）与补制件代号连接。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（3）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  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Z为一位数字，表示补制件产品制造记录发放次数。同一制造批次累计排列, 按1、2、3……顺序编号。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5.2.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4  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返工/返修产品的质量编号由三部分组成，形式为F-XXXNZ，如F-002A1其中：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（1） F为“返工/返修”代号。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（2）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  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XXXN为制造批次号，表示与返工/返修件相对应的一般投产产品的质量编号。采用短横线连接号（-）与返工/返修件代号连接。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12"/>
          <w:footerReference w:type="default" r:id="rId13"/>
          <w:pgSz w:w="11906" w:h="16838" w:orient="portrait"/>
          <w:pgMar w:top="1440" w:right="1802" w:bottom="1440" w:left="1802" w:header="708" w:footer="708" w:gutter="0"/>
          <w:pgNumType w:start="4" w:fmt="decimal"/>
          <w:docGrid w:linePitch="360"/>
        </w:sectPr>
      </w:pP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（3） Z为一位数字，表示返工/返修产品制造记录发放次数，同一制造批次累计排列，按1、2、3……顺序编号。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5.2.5  按架次投产的装配件的质量编号即为该装配件的架次号，架次号依据项目指令执行，形式为SACCXXXXX，例如</w:t>
      </w:r>
      <w:r>
        <w:rPr>
          <w:sz w:val="28"/>
          <w:szCs w:val="28"/>
          <w:rFonts w:ascii="宋体" w:cs="宋体" w:eastAsia="宋体" w:hAnsi="宋体"/>
        </w:rPr>
        <w:t xml:space="preserve">SACC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00005。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（1）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  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作为备件使用的装配件质量编号在其架次号后面增加字母S，如：SACC00005S。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（2）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  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对于按架次管理的装配件或备件，如单机需有多件、同一件号的组件或备件，应单个组件或备件发放装配制造计划，其质量编号为其架次号后加序号。如：某一组件05架份的架次号为SACC00005，则该组件中的第二个组件的质量编号为SACC00005-2（备件为SACC00005S-2）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（3）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   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组、部件替代后的质量编号依据GLB140506-11执行。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5.2.6  分卡产品的质量编号是在原质量编号的后面增加-1、-2、-3等的顺序号。如001A-1表示由质量编号为001A的产品中分出的第一批产品，001A-1-1表示由质量编号为001A-1的产品中分出的第一批产品，T-002A1-1表示由质量编号为T-002A1的特制件产品中分出的第一批产品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5.2.7  当顾客有规定时,可以按顾客要求确定产品的质量编号。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5.2.8  可以使用顾客的订单号作为产品的质量编号。当同一顾客订单号同一件号需求多件时，如多件装配件按同一制造计划、同一批完成时，质量编号即为顾客的订单号；如多件装配件分不同批完成时，质量编号为其顾客订单后加序号，其中序号用数字表示，代表制造计划的发放次数，按1，2，3……顺序编号，与订单号之间用短横线连接号连接。如，某一装配件备件的顾客订单号为4500553147，制造计划为首次发放，则对应的质量编号为4500553147-1，如制造计划为第二次发放，则对应的质量编号为4500553147-2。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14"/>
          <w:footerReference w:type="default" r:id="rId15"/>
          <w:pgSz w:w="11906" w:h="16838" w:orient="portrait"/>
          <w:pgMar w:top="1440" w:right="1802" w:bottom="1440" w:left="1802" w:header="708" w:footer="708" w:gutter="0"/>
          <w:pgNumType w:start="5" w:fmt="decimal"/>
          <w:docGrid w:linePitch="360"/>
        </w:sectPr>
      </w:pP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5.3  每项器材/产品均应确定质量编号。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5.3.1  应由指定人员负责确定器材/产品的质量编号，其它人员不得给定或更改产品质量编号。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5.3.2  应对质量编号建账管理，记录内容须包括确定质量编号的日期、件号、质量编号、数量及对应的架次、采购订单号/生产订单等信息。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5.4  同一编号器材/产品的质量编号应保证其唯一性，即同一品名、规格的产品在不同承制单位制造时，或同一承制单位不同批制造时，不得出现二个或二个以上相同的质量编号，包括返工批。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5.4.1  不同承制单位提供的同一编号的器材/产品应有不同的质量编号。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5.5  对公司内存储和流转的器材/产品应使用质量编号进行管理，以确保其追溯性。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5.5.1  不同质量编号的同一编号器材/产品须进行有效区分和分开存放。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5.5.2  在器材/产品和/或其包装上标识产品质量编号。在产品合格证、标签、标志、记录等质量管理要求中规定有“质量编号”栏目的记录类文件，必须在生产质量活动中及时、清晰、真实、完整地标记器材/产品的质量编号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5.5.3  操作人员需对上道工序流转下来的产品实物、标识和记录中的质量编号进行核实，防止产品质量编号发生差错或混淆。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5.5.4  检验人员在验收器材/产品时应核对器材/产品和相应的质量记录中质量编号填写的完整性和准确性。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5.5.5  对有追溯性要求的器材，在装配件制造计划上也应记录器材的质量编号。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  标准图例说明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16"/>
          <w:footerReference w:type="default" r:id="rId17"/>
          <w:pgSz w:w="11906" w:h="16838" w:orient="portrait"/>
          <w:pgMar w:top="1440" w:right="1802" w:bottom="1440" w:left="1802" w:header="708" w:footer="708" w:gutter="0"/>
          <w:pgNumType w:start="6" w:fmt="decimal"/>
          <w:docGrid w:linePitch="360"/>
        </w:sectPr>
      </w:pP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无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7  记录控制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 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7.1  相关记录填写和维护按GLC231008的要求执行。</w:t>
      </w:r>
    </w:p>
    <w:p>
      <w:pPr>
        <w:spacing w:before="0" w:after="0"/>
        <w:jc w:val="both"/>
      </w:pPr>
      <w:r>
        <w:rPr>
          <w:sz w:val="28"/>
          <w:szCs w:val="28"/>
          <w:rFonts w:ascii="宋体" w:cs="宋体" w:eastAsia="宋体" w:hAnsi="宋体"/>
        </w:rPr>
        <w:br/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18"/>
          <w:footerReference w:type="default" r:id="rId19"/>
          <w:pgSz w:w="11906" w:h="16838" w:orient="portrait"/>
          <w:pgMar w:top="1440" w:right="1802" w:bottom="1440" w:left="1802" w:header="708" w:footer="708" w:gutter="0"/>
          <w:pgNumType w:start="7" w:fmt="decimal"/>
          <w:docGrid w:linePitch="360"/>
        </w:sectPr>
      </w:pPr>
    </w:p>
    <w:p>
      <w:pPr>
        <w:spacing w:before="0" w:after="0"/>
        <w:jc w:val="center"/>
      </w:pPr>
      <w:r>
        <w:rPr>
          <w:sz w:val="28"/>
          <w:szCs w:val="28"/>
          <w:rFonts w:ascii="黑体" w:cs="黑体" w:eastAsia="黑体" w:hAnsi="黑体"/>
        </w:rPr>
        <w:t xml:space="preserve">附录A</w:t>
      </w:r>
    </w:p>
    <w:p>
      <w:pPr>
        <w:spacing w:before="0" w:after="0"/>
        <w:jc w:val="center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（规范性）</w:t>
      </w:r>
    </w:p>
    <w:p>
      <w:pPr>
        <w:spacing w:before="0" w:after="0"/>
        <w:jc w:val="center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器材代码</w:t>
      </w:r>
    </w:p>
    <w:p>
      <w:pPr>
        <w:spacing w:before="0" w:after="0" w:line="280" w:lineRule="exact"/>
        <w:jc w:val="center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5"/>
        <w:gridCol w:w="2775"/>
        <w:gridCol w:w="2775"/>
      </w:tblGrid>
      <w:tr>
        <w:trPr>
          <w:tblHeader w:val="false"/>
          <w:trHeight w:val="630" w:hRule="atLeast"/>
        </w:trPr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 序号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名称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代码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钢料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S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1.1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钢棒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SB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1.2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钢板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SP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1.3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钢管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ST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1.4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钢型材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SE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1.5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钢丝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SW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2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铝料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2.1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铝棒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AB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2.2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铝板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AP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2.3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铝管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AT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2.4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铝型材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AE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2.5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铝丝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AW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3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铜料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C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3.1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铜棒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CB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3.2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铜板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CP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3.3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铜管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CT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3.4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铜型材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CE</w:t>
            </w:r>
          </w:p>
        </w:tc>
      </w:tr>
    </w:tbl>
    <w:p>
      <w:pPr>
        <w:sectPr>
          <w:headerReference w:type="default" r:id="rId20"/>
          <w:footerReference w:type="default" r:id="rId21"/>
          <w:pgSz w:w="11906" w:h="16838" w:orient="portrait"/>
          <w:pgMar w:top="1440" w:right="1802" w:bottom="1440" w:left="1802" w:header="708" w:footer="708" w:gutter="0"/>
          <w:pgNumType w:start="8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5"/>
        <w:gridCol w:w="2775"/>
        <w:gridCol w:w="2775"/>
      </w:tblGrid>
      <w:tr>
        <w:trPr>
          <w:tblHeader w:val="false"/>
          <w:trHeight w:val="630" w:hRule="atLeast"/>
        </w:trPr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3.5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铜丝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CW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4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镁料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M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4.1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镁棒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MB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4.2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镁板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MP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4.3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镁管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MT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4.4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镁型材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ME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4.5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镁丝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MW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5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钛料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T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5.1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钛棒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TB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5.2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钛板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TP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5.3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钛管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TT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5.4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钛型材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TE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5.5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钛丝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TW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6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锻件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Fo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6.1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钢锻件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SF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6.2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铝锻件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AF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6.3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镁锻件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MF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6.4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铜锻件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CF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铸件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Ca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7.1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钢铸件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SC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7.2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铝铸件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AC</w:t>
            </w:r>
          </w:p>
        </w:tc>
      </w:tr>
    </w:tbl>
    <w:p>
      <w:pPr>
        <w:sectPr>
          <w:headerReference w:type="default" r:id="rId22"/>
          <w:footerReference w:type="default" r:id="rId23"/>
          <w:pgSz w:w="11906" w:h="16838" w:orient="portrait"/>
          <w:pgMar w:top="1440" w:right="1802" w:bottom="1440" w:left="1802" w:header="708" w:footer="708" w:gutter="0"/>
          <w:pgNumType w:start="9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5"/>
        <w:gridCol w:w="2775"/>
        <w:gridCol w:w="2775"/>
      </w:tblGrid>
      <w:tr>
        <w:trPr>
          <w:tblHeader w:val="false"/>
          <w:trHeight w:val="630" w:hRule="atLeast"/>
        </w:trPr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3.5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铜丝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CW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4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镁料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M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4.1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镁棒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MB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4.2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镁板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MP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4.3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镁管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MT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4.4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镁型材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ME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4.5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镁丝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MW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5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钛料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T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5.1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钛棒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TB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5.2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钛板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TP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5.3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钛管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TT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5.4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钛型材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TE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5.5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钛丝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TW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6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锻件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Fo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6.1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钢锻件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SF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6.2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铝锻件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AF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6.3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镁锻件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MF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6.4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铜锻件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CF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铸件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Ca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7.1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钢铸件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SC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7.2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铝铸件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AC</w:t>
            </w:r>
          </w:p>
        </w:tc>
      </w:tr>
    </w:tbl>
    <w:p>
      <w:pPr>
        <w:sectPr>
          <w:headerReference w:type="default" r:id="rId24"/>
          <w:footerReference w:type="default" r:id="rId25"/>
          <w:pgSz w:w="11906" w:h="16838" w:orient="portrait"/>
          <w:pgMar w:top="1440" w:right="1802" w:bottom="1440" w:left="1802" w:header="708" w:footer="708" w:gutter="0"/>
          <w:pgNumType w:start="10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5"/>
        <w:gridCol w:w="2775"/>
        <w:gridCol w:w="2775"/>
      </w:tblGrid>
      <w:tr>
        <w:trPr>
          <w:tblHeader w:val="false"/>
          <w:trHeight w:val="630" w:hRule="atLeast"/>
        </w:trPr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7.3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镁铸件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MC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7.4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铜铸件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CC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8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非金属材料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NM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9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工艺材料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PM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10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其它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10.1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组合(装配)件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A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10.2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零件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P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10.3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标准件</w:t>
            </w:r>
          </w:p>
        </w:tc>
        <w:tc>
          <w:tcPr>
            <w:tcW w:type="dxa" w:w="277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1"/>
                <w:szCs w:val="21"/>
                <w:rFonts w:ascii="宋体" w:cs="宋体" w:eastAsia="宋体" w:hAnsi="宋体"/>
              </w:rPr>
              <w:t xml:space="preserve">S</w:t>
            </w:r>
          </w:p>
        </w:tc>
      </w:tr>
    </w:tbl>
    <w:sectPr>
      <w:headerReference w:type="default" r:id="rId26"/>
      <w:footerReference w:type="default" r:id="rId27"/>
      <w:pgSz w:w="11906" w:h="16838" w:orient="portrait"/>
      <w:pgMar w:top="1440" w:right="1802" w:bottom="1440" w:left="1802" w:header="708" w:footer="708" w:gutter="0"/>
      <w:pgNumType w:start="1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0</w:t>
    </w:r>
    <w:r>
      <w:t xml:space="preserve">6</w:t>
    </w:r>
    <w:r>
      <w:t xml:space="preserve">-</w:t>
    </w:r>
    <w:r>
      <w:t xml:space="preserve">2</w:t>
    </w:r>
    <w:r>
      <w:t xml:space="preserve">9</w:t>
    </w:r>
    <w:r>
      <w:t xml:space="preserve">-</w:t>
    </w:r>
    <w:r>
      <w:t xml:space="preserve">B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0</w:t>
    </w:r>
    <w:r>
      <w:t xml:space="preserve">6</w:t>
    </w:r>
    <w:r>
      <w:t xml:space="preserve">-</w:t>
    </w:r>
    <w:r>
      <w:t xml:space="preserve">2</w:t>
    </w:r>
    <w:r>
      <w:t xml:space="preserve">9</w:t>
    </w:r>
    <w:r>
      <w:t xml:space="preserve">-</w:t>
    </w:r>
    <w:r>
      <w:t xml:space="preserve">B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0</w:t>
    </w:r>
    <w:r>
      <w:t xml:space="preserve">6</w:t>
    </w:r>
    <w:r>
      <w:t xml:space="preserve">-</w:t>
    </w:r>
    <w:r>
      <w:t xml:space="preserve">2</w:t>
    </w:r>
    <w:r>
      <w:t xml:space="preserve">9</w:t>
    </w:r>
    <w:r>
      <w:t xml:space="preserve">-</w:t>
    </w:r>
    <w:r>
      <w:t xml:space="preserve">B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0</w:t>
    </w:r>
    <w:r>
      <w:t xml:space="preserve">6</w:t>
    </w:r>
    <w:r>
      <w:t xml:space="preserve">-</w:t>
    </w:r>
    <w:r>
      <w:t xml:space="preserve">2</w:t>
    </w:r>
    <w:r>
      <w:t xml:space="preserve">9</w:t>
    </w:r>
    <w:r>
      <w:t xml:space="preserve">-</w:t>
    </w:r>
    <w:r>
      <w:t xml:space="preserve">B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0</w:t>
    </w:r>
    <w:r>
      <w:t xml:space="preserve">6</w:t>
    </w:r>
    <w:r>
      <w:t xml:space="preserve">-</w:t>
    </w:r>
    <w:r>
      <w:t xml:space="preserve">2</w:t>
    </w:r>
    <w:r>
      <w:t xml:space="preserve">9</w:t>
    </w:r>
    <w:r>
      <w:t xml:space="preserve">-</w:t>
    </w:r>
    <w:r>
      <w:t xml:space="preserve">B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0</w:t>
    </w:r>
    <w:r>
      <w:t xml:space="preserve">6</w:t>
    </w:r>
    <w:r>
      <w:t xml:space="preserve">-</w:t>
    </w:r>
    <w:r>
      <w:t xml:space="preserve">2</w:t>
    </w:r>
    <w:r>
      <w:t xml:space="preserve">9</w:t>
    </w:r>
    <w:r>
      <w:t xml:space="preserve">-</w:t>
    </w:r>
    <w:r>
      <w:t xml:space="preserve">B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0</w:t>
    </w:r>
    <w:r>
      <w:t xml:space="preserve">6</w:t>
    </w:r>
    <w:r>
      <w:t xml:space="preserve">-</w:t>
    </w:r>
    <w:r>
      <w:t xml:space="preserve">2</w:t>
    </w:r>
    <w:r>
      <w:t xml:space="preserve">9</w:t>
    </w:r>
    <w:r>
      <w:t xml:space="preserve">-</w:t>
    </w:r>
    <w:r>
      <w:t xml:space="preserve">B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0</w:t>
    </w:r>
    <w:r>
      <w:t xml:space="preserve">6</w:t>
    </w:r>
    <w:r>
      <w:t xml:space="preserve">-</w:t>
    </w:r>
    <w:r>
      <w:t xml:space="preserve">2</w:t>
    </w:r>
    <w:r>
      <w:t xml:space="preserve">9</w:t>
    </w:r>
    <w:r>
      <w:t xml:space="preserve">-</w:t>
    </w:r>
    <w:r>
      <w:t xml:space="preserve">B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0</w:t>
    </w:r>
    <w:r>
      <w:t xml:space="preserve">6</w:t>
    </w:r>
    <w:r>
      <w:t xml:space="preserve">-</w:t>
    </w:r>
    <w:r>
      <w:t xml:space="preserve">2</w:t>
    </w:r>
    <w:r>
      <w:t xml:space="preserve">9</w:t>
    </w:r>
    <w:r>
      <w:t xml:space="preserve">-</w:t>
    </w:r>
    <w:r>
      <w:t xml:space="preserve">B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0</w:t>
    </w:r>
    <w:r>
      <w:t xml:space="preserve">6</w:t>
    </w:r>
    <w:r>
      <w:t xml:space="preserve">-</w:t>
    </w:r>
    <w:r>
      <w:t xml:space="preserve">2</w:t>
    </w:r>
    <w:r>
      <w:t xml:space="preserve">9</w:t>
    </w:r>
    <w:r>
      <w:t xml:space="preserve">-</w:t>
    </w:r>
    <w:r>
      <w:t xml:space="preserve">B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0</w:t>
    </w:r>
    <w:r>
      <w:t xml:space="preserve">6</w:t>
    </w:r>
    <w:r>
      <w:t xml:space="preserve">-</w:t>
    </w:r>
    <w:r>
      <w:t xml:space="preserve">2</w:t>
    </w:r>
    <w:r>
      <w:t xml:space="preserve">9</w:t>
    </w:r>
    <w:r>
      <w:t xml:space="preserve">-</w:t>
    </w:r>
    <w:r>
      <w:t xml:space="preserve">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  <w:doNotExpandShiftReturn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  <w:rFonts w:ascii="宋体" w:cs="宋体" w:eastAsia="宋体" w:hAnsi="宋体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40" w:after="330"/>
    </w:pPr>
    <w:rPr>
      <w:b/>
      <w:bCs/>
      <w:color w:val="000000"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260" w:after="260"/>
    </w:pPr>
    <w:rPr>
      <w:b/>
      <w:bCs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60" w:after="260"/>
    </w:pPr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pPr>
      <w:spacing w:before="280" w:after="290"/>
    </w:pPr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80" w:after="290"/>
    </w:pPr>
    <w:rPr>
      <w:b/>
      <w:bCs/>
      <w:color w:val="000000"/>
      <w:sz w:val="28"/>
      <w:szCs w:val="28"/>
    </w:rPr>
  </w:style>
  <w:style w:type="paragraph" w:styleId="Heading6">
    <w:name w:val="Heading 6"/>
    <w:basedOn w:val="Normal"/>
    <w:next w:val="Normal"/>
    <w:qFormat/>
    <w:pPr>
      <w:spacing w:before="240" w:after="64"/>
    </w:pPr>
    <w:rPr>
      <w:b/>
      <w:bCs/>
      <w:color w:val="000000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Relationship Id="rId14" Type="http://schemas.openxmlformats.org/officeDocument/2006/relationships/header" Target="header5.xml"/><Relationship Id="rId15" Type="http://schemas.openxmlformats.org/officeDocument/2006/relationships/footer" Target="footer5.xml"/><Relationship Id="rId16" Type="http://schemas.openxmlformats.org/officeDocument/2006/relationships/header" Target="header6.xml"/><Relationship Id="rId17" Type="http://schemas.openxmlformats.org/officeDocument/2006/relationships/footer" Target="footer6.xml"/><Relationship Id="rId18" Type="http://schemas.openxmlformats.org/officeDocument/2006/relationships/header" Target="header7.xml"/><Relationship Id="rId19" Type="http://schemas.openxmlformats.org/officeDocument/2006/relationships/footer" Target="footer7.xml"/><Relationship Id="rId20" Type="http://schemas.openxmlformats.org/officeDocument/2006/relationships/header" Target="header8.xml"/><Relationship Id="rId21" Type="http://schemas.openxmlformats.org/officeDocument/2006/relationships/footer" Target="footer8.xml"/><Relationship Id="rId22" Type="http://schemas.openxmlformats.org/officeDocument/2006/relationships/header" Target="header9.xml"/><Relationship Id="rId23" Type="http://schemas.openxmlformats.org/officeDocument/2006/relationships/footer" Target="footer9.xml"/><Relationship Id="rId24" Type="http://schemas.openxmlformats.org/officeDocument/2006/relationships/header" Target="header10.xml"/><Relationship Id="rId25" Type="http://schemas.openxmlformats.org/officeDocument/2006/relationships/footer" Target="footer10.xml"/><Relationship Id="rId26" Type="http://schemas.openxmlformats.org/officeDocument/2006/relationships/header" Target="header11.xml"/><Relationship Id="rId27" Type="http://schemas.openxmlformats.org/officeDocument/2006/relationships/footer" Target="footer11.xml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2026-06-10T09:16:19.378Z</dcterms:created>
  <dcterms:modified xsi:type="dcterms:W3CDTF">2026-06-10T09:16:19.378Z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