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b324f"/>
          <w:sz w:val="28"/>
          <w:szCs w:val="28"/>
          <w:rFonts w:ascii="黑体" w:cs="黑体" w:eastAsia="黑体" w:hAnsi="黑体"/>
        </w:rPr>
        <w:t xml:space="preserve">前    言</w:t>
      </w:r>
    </w:p>
    <w:p>
      <w:pPr>
        <w:spacing w:before="0" w:after="0"/>
        <w:jc w:val="center"/>
      </w:pPr>
      <w:r>
        <w:rPr>
          <w:color w:val="1b324f"/>
          <w:sz w:val="21"/>
          <w:szCs w:val="21"/>
          <w:rFonts w:ascii="宋体" w:cs="宋体" w:eastAsia="宋体" w:hAnsi="宋体"/>
        </w:rPr>
        <w:t xml:space="preserve"> </w:t>
      </w:r>
    </w:p>
    <w:p>
      <w:pPr>
        <w:spacing w:before="0" w:after="0"/>
        <w:jc w:val="center"/>
      </w:pPr>
      <w:r>
        <w:rPr>
          <w:color w:val="1b324f"/>
          <w:sz w:val="21"/>
          <w:szCs w:val="21"/>
          <w:rFonts w:ascii="宋体" w:cs="宋体" w:eastAsia="宋体" w:hAnsi="宋体"/>
        </w:rPr>
        <w:t xml:space="preserve"> </w:t>
      </w:r>
    </w:p>
    <w:p>
      <w:pPr>
        <w:spacing w:before="0" w:after="0"/>
        <w:jc w:val="both"/>
      </w:pPr>
      <w:r>
        <w:rPr>
          <w:color w:val="1b324f"/>
          <w:sz w:val="21"/>
          <w:szCs w:val="21"/>
          <w:rFonts w:ascii="宋体" w:cs="宋体" w:eastAsia="宋体" w:hAnsi="宋体"/>
        </w:rPr>
        <w:t xml:space="preserve">本制度属于支撑类管理制度。</w:t>
      </w:r>
    </w:p>
    <w:p>
      <w:pPr>
        <w:spacing w:before="0" w:after="0"/>
        <w:jc w:val="both"/>
      </w:pPr>
      <w:r>
        <w:rPr>
          <w:color w:val="1b324f"/>
          <w:sz w:val="21"/>
          <w:szCs w:val="21"/>
          <w:rFonts w:ascii="宋体" w:cs="宋体" w:eastAsia="宋体" w:hAnsi="宋体"/>
        </w:rPr>
        <w:t xml:space="preserve">本制度由科技创新部提出，40厂参与起草。</w:t>
      </w:r>
    </w:p>
    <w:p>
      <w:pPr>
        <w:spacing w:before="0" w:after="0"/>
        <w:jc w:val="both"/>
      </w:pPr>
      <w:r>
        <w:rPr>
          <w:color w:val="1b324f"/>
          <w:sz w:val="21"/>
          <w:szCs w:val="21"/>
          <w:rFonts w:ascii="宋体" w:cs="宋体" w:eastAsia="宋体" w:hAnsi="宋体"/>
        </w:rPr>
        <w:t xml:space="preserve">本制度由</w:t>
      </w:r>
      <w:r>
        <w:rPr>
          <w:color w:val="1b324f"/>
          <w:sz w:val="21"/>
          <w:szCs w:val="21"/>
          <w:rFonts w:ascii="宋体" w:cs="宋体" w:eastAsia="宋体" w:hAnsi="宋体"/>
        </w:rPr>
        <w:t xml:space="preserve">科技创新部</w:t>
      </w:r>
      <w:r>
        <w:rPr>
          <w:color w:val="1b324f"/>
          <w:sz w:val="21"/>
          <w:szCs w:val="21"/>
          <w:rFonts w:ascii="宋体" w:cs="宋体" w:eastAsia="宋体" w:hAnsi="宋体"/>
        </w:rPr>
        <w:t xml:space="preserve">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32"/>
          <w:szCs w:val="32"/>
          <w:rFonts w:ascii="黑体" w:cs="黑体" w:eastAsia="黑体" w:hAnsi="黑体"/>
        </w:rPr>
        <w:t xml:space="preserve">A220项目自动钻铆及自动制孔技术状态控制管理标准</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1  范围</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本管理标准规定了自动钻铆/制孔技术状态和数控程序控制的管理标准。</w:t>
      </w:r>
    </w:p>
    <w:p>
      <w:pPr>
        <w:spacing w:before="0" w:after="0"/>
        <w:jc w:val="both"/>
      </w:pPr>
      <w:r>
        <w:rPr>
          <w:color w:val="000000"/>
          <w:sz w:val="28"/>
          <w:szCs w:val="28"/>
          <w:rFonts w:ascii="宋体" w:cs="宋体" w:eastAsia="宋体" w:hAnsi="宋体"/>
        </w:rPr>
        <w:t xml:space="preserve">本管理标准适用于A220项目自动钻铆/制孔产品交接过程的状态管理业务。</w:t>
      </w:r>
    </w:p>
    <w:p>
      <w:pPr>
        <w:spacing w:before="0" w:after="0"/>
        <w:jc w:val="both"/>
      </w:pPr>
      <w:r>
        <w:rPr>
          <w:color w:val="000000"/>
          <w:sz w:val="28"/>
          <w:szCs w:val="28"/>
          <w:rFonts w:ascii="宋体" w:cs="宋体" w:eastAsia="宋体" w:hAnsi="宋体"/>
        </w:rPr>
        <w:t xml:space="preserve">本管理标准依据GLC140506的要求制定。</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2  规范性引用文件</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GLC140506 工艺过程管控</w:t>
      </w:r>
    </w:p>
    <w:p>
      <w:pPr>
        <w:spacing w:before="0" w:after="0"/>
        <w:jc w:val="both"/>
      </w:pPr>
      <w:r>
        <w:rPr>
          <w:color w:val="000000"/>
          <w:sz w:val="28"/>
          <w:szCs w:val="28"/>
          <w:rFonts w:ascii="宋体" w:cs="宋体" w:eastAsia="宋体" w:hAnsi="宋体"/>
        </w:rPr>
        <w:t xml:space="preserve">GLC14080401 不合格品控制管理程序</w:t>
      </w:r>
    </w:p>
    <w:p>
      <w:pPr>
        <w:spacing w:before="0" w:after="0"/>
        <w:jc w:val="both"/>
      </w:pPr>
      <w:r>
        <w:rPr>
          <w:color w:val="000000"/>
          <w:sz w:val="28"/>
          <w:szCs w:val="28"/>
          <w:rFonts w:ascii="宋体" w:cs="宋体" w:eastAsia="宋体" w:hAnsi="宋体"/>
        </w:rPr>
        <w:t xml:space="preserve">GLC14080302 产品检验管理程序</w:t>
      </w:r>
    </w:p>
    <w:p>
      <w:pPr>
        <w:spacing w:before="0" w:after="0"/>
        <w:jc w:val="both"/>
      </w:pPr>
      <w:r>
        <w:rPr>
          <w:color w:val="000000"/>
          <w:sz w:val="28"/>
          <w:szCs w:val="28"/>
          <w:rFonts w:ascii="宋体" w:cs="宋体" w:eastAsia="宋体" w:hAnsi="宋体"/>
        </w:rPr>
        <w:t xml:space="preserve">GLC231008 质量记录管理程序</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3  表格</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3.1 规定表格</w:t>
      </w:r>
    </w:p>
    <w:p>
      <w:pPr>
        <w:spacing w:before="0" w:after="0"/>
        <w:jc w:val="both"/>
      </w:pPr>
      <w:r>
        <w:rPr>
          <w:sz w:val="28"/>
          <w:szCs w:val="28"/>
          <w:rFonts w:ascii="宋体" w:cs="宋体" w:eastAsia="宋体" w:hAnsi="宋体"/>
        </w:rPr>
        <w:t xml:space="preserve">无</w:t>
      </w:r>
    </w:p>
    <w:p>
      <w:pPr>
        <w:spacing w:before="0" w:after="0"/>
        <w:jc w:val="both"/>
      </w:pPr>
      <w:r>
        <w:rPr>
          <w:color w:val="000000"/>
          <w:sz w:val="28"/>
          <w:szCs w:val="28"/>
          <w:rFonts w:ascii="黑体" w:cs="黑体" w:eastAsia="黑体" w:hAnsi="黑体"/>
        </w:rPr>
        <w:t xml:space="preserve">3.2 引用表格</w:t>
      </w:r>
    </w:p>
    <w:p>
      <w:pPr>
        <w:spacing w:before="0" w:after="0"/>
        <w:jc w:val="both"/>
      </w:pPr>
      <w:r>
        <w:rPr>
          <w:color w:val="000000"/>
          <w:sz w:val="28"/>
          <w:szCs w:val="28"/>
          <w:rFonts w:ascii="宋体" w:cs="宋体" w:eastAsia="宋体" w:hAnsi="宋体"/>
        </w:rPr>
        <w:t xml:space="preserve">FM1405-104 数控程序缺陷反馈单</w:t>
      </w:r>
    </w:p>
    <w:p>
      <w:pPr>
        <w:spacing w:before="0" w:after="0" w:line="210" w:lineRule="exact"/>
      </w:pPr>
      <w:r>
        <w:rPr>
          <w:color w:val="0070c0"/>
          <w:sz w:val="21"/>
          <w:szCs w:val="21"/>
          <w:rFonts w:ascii="宋体" w:cs="宋体" w:eastAsia="宋体" w:hAnsi="宋体"/>
        </w:rPr>
      </w:r>
    </w:p>
    <w:p>
      <w:pPr>
        <w:spacing w:before="0" w:after="0"/>
        <w:jc w:val="both"/>
      </w:pPr>
      <w:r>
        <w:rPr>
          <w:color w:val="000000"/>
          <w:sz w:val="28"/>
          <w:szCs w:val="28"/>
          <w:rFonts w:ascii="黑体" w:cs="黑体" w:eastAsia="黑体" w:hAnsi="黑体"/>
        </w:rPr>
        <w:t xml:space="preserve">4  术语和定义</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4.1 预铆</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000000"/>
          <w:sz w:val="28"/>
          <w:szCs w:val="28"/>
          <w:rFonts w:ascii="宋体" w:cs="宋体" w:eastAsia="宋体" w:hAnsi="宋体"/>
        </w:rPr>
        <w:t xml:space="preserve">预铆是指在自动钻铆/制孔工序之前，手工操作对零组件进行定位、制孔和安装少数紧固件或临时紧固件用以保证零组件间相对位置精度和连接稳定的工序。</w:t>
      </w:r>
    </w:p>
    <w:p>
      <w:pPr>
        <w:spacing w:before="0" w:after="0"/>
        <w:jc w:val="both"/>
      </w:pPr>
      <w:r>
        <w:rPr>
          <w:color w:val="000000"/>
          <w:sz w:val="28"/>
          <w:szCs w:val="28"/>
          <w:rFonts w:ascii="黑体" w:cs="黑体" w:eastAsia="黑体" w:hAnsi="黑体"/>
        </w:rPr>
        <w:t xml:space="preserve">4.2 补铆</w:t>
      </w:r>
    </w:p>
    <w:p>
      <w:pPr>
        <w:spacing w:before="0" w:after="0"/>
        <w:jc w:val="both"/>
      </w:pPr>
      <w:r>
        <w:rPr>
          <w:color w:val="000000"/>
          <w:sz w:val="28"/>
          <w:szCs w:val="28"/>
          <w:rFonts w:ascii="宋体" w:cs="宋体" w:eastAsia="宋体" w:hAnsi="宋体"/>
        </w:rPr>
        <w:t xml:space="preserve">补铆是指在自动钻铆/制孔工序之后，手工安装未在自动钻铆/制孔阶段安装的零组件及紧固件的工序。</w:t>
      </w:r>
    </w:p>
    <w:p>
      <w:pPr>
        <w:spacing w:before="0" w:after="0"/>
        <w:jc w:val="both"/>
      </w:pPr>
      <w:r>
        <w:rPr>
          <w:color w:val="000000"/>
          <w:sz w:val="28"/>
          <w:szCs w:val="28"/>
          <w:rFonts w:ascii="黑体" w:cs="黑体" w:eastAsia="黑体" w:hAnsi="黑体"/>
        </w:rPr>
        <w:t xml:space="preserve">4.3 自动钻铆交接状态</w:t>
      </w:r>
    </w:p>
    <w:p>
      <w:pPr>
        <w:spacing w:before="0" w:after="0"/>
        <w:jc w:val="both"/>
      </w:pPr>
      <w:r>
        <w:rPr>
          <w:color w:val="000000"/>
          <w:sz w:val="28"/>
          <w:szCs w:val="28"/>
          <w:rFonts w:ascii="宋体" w:cs="宋体" w:eastAsia="宋体" w:hAnsi="宋体"/>
        </w:rPr>
        <w:t xml:space="preserve">自动钻铆交接状态是指用于界定手铆（预铆+补铆）与自动钻铆/制孔紧固件及孔位状态的图纸文件，该文件作为手铆工艺规划和自动钻铆/制孔数控程序编制的依据。</w:t>
      </w:r>
    </w:p>
    <w:p>
      <w:pPr>
        <w:spacing w:before="0" w:after="0"/>
        <w:jc w:val="both"/>
      </w:pPr>
      <w:r>
        <w:rPr>
          <w:color w:val="000000"/>
          <w:sz w:val="28"/>
          <w:szCs w:val="28"/>
          <w:rFonts w:ascii="黑体" w:cs="黑体" w:eastAsia="黑体" w:hAnsi="黑体"/>
        </w:rPr>
        <w:t xml:space="preserve">4.4 状态偏离</w:t>
      </w:r>
    </w:p>
    <w:p>
      <w:pPr>
        <w:spacing w:before="0" w:after="0"/>
        <w:jc w:val="both"/>
      </w:pPr>
      <w:r>
        <w:rPr>
          <w:color w:val="000000"/>
          <w:sz w:val="28"/>
          <w:szCs w:val="28"/>
          <w:rFonts w:ascii="宋体" w:cs="宋体" w:eastAsia="宋体" w:hAnsi="宋体"/>
        </w:rPr>
        <w:t xml:space="preserve">状态偏离是指预铆产品实物或自动钻铆/制孔工序后产品实物与交接状态内容的差异，包括但不限于产品形状和尺寸精度的不足、组件的缺失和多余、点位加工位置和加工内容的错误。</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5  规定</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5.1 交接状态文件的管理</w:t>
      </w:r>
    </w:p>
    <w:p>
      <w:pPr>
        <w:spacing w:before="0" w:after="0"/>
        <w:jc w:val="both"/>
      </w:pPr>
      <w:r>
        <w:rPr>
          <w:color w:val="000000"/>
          <w:sz w:val="28"/>
          <w:szCs w:val="28"/>
          <w:rFonts w:ascii="宋体" w:cs="宋体" w:eastAsia="宋体" w:hAnsi="宋体"/>
        </w:rPr>
        <w:t xml:space="preserve">5.1.1 生产厂技术室的自动钻铆工艺员负责自动钻铆/制孔交接状态文件的编发和升版，使用附录A表格进行编发，使用附录B表格进行记录升版更改内容。生产厂技术室的手铆工艺员负责提供预铆和补铆工位内的加工内容信息。</w:t>
      </w:r>
    </w:p>
    <w:p>
      <w:pPr>
        <w:spacing w:before="0" w:after="0"/>
        <w:jc w:val="both"/>
      </w:pPr>
      <w:r>
        <w:rPr>
          <w:color w:val="000000"/>
          <w:sz w:val="28"/>
          <w:szCs w:val="28"/>
          <w:rFonts w:ascii="宋体" w:cs="宋体" w:eastAsia="宋体" w:hAnsi="宋体"/>
        </w:rPr>
        <w:t xml:space="preserve">5.1.2 生产厂资料室资料员负责交接状态文件纸质版和电子版的存档和建账。</w:t>
      </w:r>
    </w:p>
    <w:p>
      <w:pPr>
        <w:spacing w:before="0" w:after="0"/>
        <w:jc w:val="both"/>
      </w:pPr>
      <w:r>
        <w:rPr>
          <w:color w:val="000000"/>
          <w:sz w:val="28"/>
          <w:szCs w:val="28"/>
          <w:rFonts w:ascii="宋体" w:cs="宋体" w:eastAsia="宋体" w:hAnsi="宋体"/>
        </w:rPr>
        <w:t xml:space="preserve">5.1.3 对于生产单位现场的纸质交接状态的有效性做如下管理控制：交接状态文件编制或升版完成后，由技术室工艺员直接移交至资料室。资料员收到文件后，负责完成纸质版复制工作，并在3个工作日内</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000000"/>
          <w:sz w:val="28"/>
          <w:szCs w:val="28"/>
          <w:rFonts w:ascii="宋体" w:cs="宋体" w:eastAsia="宋体" w:hAnsi="宋体"/>
        </w:rPr>
        <w:t xml:space="preserve">将新版文件分发至相关工区，同时回收工区持有的旧版文件，统一归档或销毁，确保现场操作者使用的文件为最新有效版本。若工区持有的交接状态文件因破损、遗失等原因需补制，由工区相关人员直接向生产厂资料室提出需求，资料员核实文件有效性后，按要求打印并发放。</w:t>
      </w:r>
    </w:p>
    <w:p>
      <w:pPr>
        <w:spacing w:before="0" w:after="0"/>
        <w:jc w:val="both"/>
      </w:pPr>
      <w:r>
        <w:rPr>
          <w:color w:val="000000"/>
          <w:sz w:val="28"/>
          <w:szCs w:val="28"/>
          <w:rFonts w:ascii="黑体" w:cs="黑体" w:eastAsia="黑体" w:hAnsi="黑体"/>
        </w:rPr>
        <w:t xml:space="preserve">5.2 预铆、自动钻铆/制孔、补铆之间交接流程规定</w:t>
      </w:r>
    </w:p>
    <w:p>
      <w:pPr>
        <w:spacing w:before="0" w:after="0"/>
        <w:jc w:val="both"/>
      </w:pPr>
      <w:r>
        <w:rPr>
          <w:color w:val="000000"/>
          <w:sz w:val="28"/>
          <w:szCs w:val="28"/>
          <w:rFonts w:ascii="宋体" w:cs="宋体" w:eastAsia="宋体" w:hAnsi="宋体"/>
        </w:rPr>
        <w:t xml:space="preserve">5.2.1 预铆和自动钻铆/制孔、自动钻铆/制孔和补铆的两个交接环节使用附录C表格进行记录。</w:t>
      </w:r>
    </w:p>
    <w:p>
      <w:pPr>
        <w:spacing w:before="0" w:after="0"/>
        <w:jc w:val="both"/>
      </w:pPr>
      <w:r>
        <w:rPr>
          <w:color w:val="000000"/>
          <w:sz w:val="28"/>
          <w:szCs w:val="28"/>
          <w:rFonts w:ascii="宋体" w:cs="宋体" w:eastAsia="宋体" w:hAnsi="宋体"/>
        </w:rPr>
        <w:t xml:space="preserve">5.2.2 各生产单位预铆、自动钻铆/制孔、补铆工序的操作者需要按照工艺规程和交接状态完成生产，然后按照GLC14080302产品检验管理程序进行产品的检验，包括自检、互检、质检。若有质量不合格情况，则按GLC14080401不合格品控制管理程序进行返工处理。</w:t>
      </w:r>
    </w:p>
    <w:p>
      <w:pPr>
        <w:spacing w:before="0" w:after="0"/>
        <w:jc w:val="both"/>
      </w:pPr>
      <w:r>
        <w:rPr>
          <w:color w:val="000000"/>
          <w:sz w:val="28"/>
          <w:szCs w:val="28"/>
          <w:rFonts w:ascii="宋体" w:cs="宋体" w:eastAsia="宋体" w:hAnsi="宋体"/>
        </w:rPr>
        <w:t xml:space="preserve">5.2.3 各交接工序之间若存在不可避免的偏离项，须填写在附录C表格中，检验人员负责交接内容的核查，并记录入附录C表格。</w:t>
      </w:r>
    </w:p>
    <w:p>
      <w:pPr>
        <w:spacing w:before="0" w:after="0"/>
        <w:jc w:val="both"/>
      </w:pPr>
      <w:r>
        <w:rPr>
          <w:color w:val="000000"/>
          <w:sz w:val="28"/>
          <w:szCs w:val="28"/>
          <w:rFonts w:ascii="宋体" w:cs="宋体" w:eastAsia="宋体" w:hAnsi="宋体"/>
        </w:rPr>
        <w:t xml:space="preserve">5.2.4 自动钻铆/制孔程序运行过程中，由于预铆状态偏差导致无法加工的情况，由预铆人员负责返工。对于因设备问题导致无法加工的情况，由自动钻铆操作人员负责返工。</w:t>
      </w:r>
    </w:p>
    <w:p>
      <w:pPr>
        <w:spacing w:before="0" w:after="0"/>
        <w:jc w:val="both"/>
      </w:pPr>
      <w:r>
        <w:rPr>
          <w:color w:val="000000"/>
          <w:sz w:val="28"/>
          <w:szCs w:val="28"/>
          <w:rFonts w:ascii="宋体" w:cs="宋体" w:eastAsia="宋体" w:hAnsi="宋体"/>
        </w:rPr>
        <w:t xml:space="preserve">5.2.5 补铆工位在自动钻铆/制孔后产品接收之前，需要通过检验人员的质检。对于质检的内容做如下说明：因预铆工位的原因导致不满足质量的情况，由预铆操作者进行返修；因自动设备的原因导致不满足质量的情况，若错误数量不超过10钉或孔，则由补铆操作者进行返修，若超过10个钉或孔，则由自动钻铆/制孔工序人员进行返修；之后的下级工位发现的质量问题，将由当级工位负责返修。</w:t>
      </w:r>
    </w:p>
    <w:p>
      <w:pPr>
        <w:spacing w:before="0" w:after="0"/>
        <w:jc w:val="both"/>
      </w:pPr>
      <w:r>
        <w:rPr>
          <w:color w:val="000000"/>
          <w:sz w:val="28"/>
          <w:szCs w:val="28"/>
          <w:rFonts w:ascii="宋体" w:cs="宋体" w:eastAsia="宋体" w:hAnsi="宋体"/>
        </w:rPr>
        <w:t xml:space="preserve">5.2.6 生产单位计划员依据收到的附录C表格进行排产，对于交接环节的状态偏离，计划员负责通知本单位的工艺员，由工艺员进行指导处理，包括数控程序的微调发放和返修工艺文件的编制。的状态偏离，的状态偏离，计划员负责通知本单位的工艺员，由工艺员进行指导处</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000000"/>
          <w:sz w:val="28"/>
          <w:szCs w:val="28"/>
          <w:rFonts w:ascii="宋体" w:cs="宋体" w:eastAsia="宋体" w:hAnsi="宋体"/>
        </w:rPr>
        <w:t xml:space="preserve">理，包括数控程序的微调发放和返修工艺文件的编制。</w:t>
      </w:r>
    </w:p>
    <w:p>
      <w:pPr>
        <w:spacing w:before="0" w:after="0"/>
        <w:jc w:val="both"/>
      </w:pPr>
      <w:r>
        <w:rPr>
          <w:color w:val="000000"/>
          <w:sz w:val="28"/>
          <w:szCs w:val="28"/>
          <w:rFonts w:ascii="宋体" w:cs="宋体" w:eastAsia="宋体" w:hAnsi="宋体"/>
        </w:rPr>
        <w:t xml:space="preserve">5.2.7 生产单位自动钻铆操作者在设备运行过程发现程序方面的缺陷，须填写FM1405-104，传递给本单位工艺员。由自动钻铆工艺员按照GLB140506-04进行数控程序的升版和鉴定。在完成升版鉴定之前需要停止该程序的使用。</w:t>
      </w:r>
    </w:p>
    <w:p>
      <w:pPr>
        <w:spacing w:before="0" w:after="0"/>
        <w:jc w:val="both"/>
      </w:pPr>
      <w:r>
        <w:rPr>
          <w:color w:val="000000"/>
          <w:sz w:val="28"/>
          <w:szCs w:val="28"/>
          <w:rFonts w:ascii="黑体" w:cs="黑体" w:eastAsia="黑体" w:hAnsi="黑体"/>
        </w:rPr>
        <w:t xml:space="preserve">5.3 数控程序命名规则</w:t>
      </w:r>
    </w:p>
    <w:p>
      <w:pPr>
        <w:spacing w:before="0" w:after="0"/>
        <w:jc w:val="both"/>
      </w:pPr>
      <w:r>
        <w:rPr>
          <w:color w:val="000000"/>
          <w:sz w:val="28"/>
          <w:szCs w:val="28"/>
          <w:rFonts w:ascii="宋体" w:cs="宋体" w:eastAsia="宋体" w:hAnsi="宋体"/>
        </w:rPr>
        <w:t xml:space="preserve">5.3.1 对于A220项目，每个数控加工程序必须有唯一的编号。加工程序名称格式如下：</w:t>
      </w:r>
    </w:p>
    <w:p>
      <w:pPr>
        <w:spacing w:before="0" w:after="0"/>
        <w:jc w:val="both"/>
      </w:pPr>
      <w:r>
        <w:rPr>
          <w:u w:val="single"/>
          <w:color w:val="000000"/>
          <w:sz w:val="28"/>
          <w:szCs w:val="28"/>
          <w:rFonts w:ascii="宋体" w:cs="宋体" w:eastAsia="宋体" w:hAnsi="宋体"/>
        </w:rPr>
        <w:t xml:space="preserve">M</w:t>
      </w:r>
      <w:r>
        <w:rPr>
          <w:color w:val="000000"/>
          <w:sz w:val="28"/>
          <w:szCs w:val="28"/>
          <w:rFonts w:ascii="宋体" w:cs="宋体" w:eastAsia="宋体" w:hAnsi="宋体"/>
        </w:rPr>
        <w:t xml:space="preserve">  </w:t>
      </w:r>
      <w:r>
        <w:rPr>
          <w:u w:val="single"/>
          <w:color w:val="000000"/>
          <w:sz w:val="28"/>
          <w:szCs w:val="28"/>
          <w:rFonts w:ascii="宋体" w:cs="宋体" w:eastAsia="宋体" w:hAnsi="宋体"/>
        </w:rPr>
        <w:t xml:space="preserve">X</w:t>
      </w:r>
      <w:r>
        <w:rPr>
          <w:u w:val="single"/>
          <w:color w:val="000000"/>
          <w:sz w:val="28"/>
          <w:szCs w:val="28"/>
          <w:rFonts w:ascii="宋体" w:cs="宋体" w:eastAsia="宋体" w:hAnsi="宋体"/>
        </w:rPr>
        <w:t xml:space="preserve"> </w:t>
      </w:r>
      <w:r>
        <w:rPr>
          <w:u w:val="single"/>
          <w:color w:val="000000"/>
          <w:sz w:val="28"/>
          <w:szCs w:val="28"/>
          <w:rFonts w:ascii="宋体" w:cs="宋体" w:eastAsia="宋体" w:hAnsi="宋体"/>
        </w:rPr>
        <w:t xml:space="preserve">X</w:t>
      </w:r>
      <w:r>
        <w:rPr>
          <w:color w:val="000000"/>
          <w:sz w:val="28"/>
          <w:szCs w:val="28"/>
          <w:rFonts w:ascii="宋体" w:cs="宋体" w:eastAsia="宋体" w:hAnsi="宋体"/>
        </w:rPr>
        <w:t xml:space="preserve">   </w:t>
      </w:r>
      <w:r>
        <w:rPr>
          <w:u w:val="single"/>
          <w:color w:val="000000"/>
          <w:sz w:val="28"/>
          <w:szCs w:val="28"/>
          <w:rFonts w:ascii="宋体" w:cs="宋体" w:eastAsia="宋体" w:hAnsi="宋体"/>
        </w:rPr>
        <w:t xml:space="preserve">X</w:t>
      </w:r>
      <w:r>
        <w:rPr>
          <w:u w:val="single"/>
          <w:color w:val="000000"/>
          <w:sz w:val="28"/>
          <w:szCs w:val="28"/>
          <w:rFonts w:ascii="宋体" w:cs="宋体" w:eastAsia="宋体" w:hAnsi="宋体"/>
        </w:rPr>
        <w:t xml:space="preserve">X</w:t>
      </w:r>
      <w:r>
        <w:rPr>
          <w:u w:val="single"/>
          <w:color w:val="000000"/>
          <w:sz w:val="28"/>
          <w:szCs w:val="28"/>
          <w:rFonts w:ascii="宋体" w:cs="宋体" w:eastAsia="宋体" w:hAnsi="宋体"/>
        </w:rPr>
        <w:t xml:space="preserve">X</w:t>
      </w:r>
      <w:r>
        <w:rPr>
          <w:u w:val="single"/>
          <w:color w:val="000000"/>
          <w:sz w:val="28"/>
          <w:szCs w:val="28"/>
          <w:rFonts w:ascii="宋体" w:cs="宋体" w:eastAsia="宋体" w:hAnsi="宋体"/>
        </w:rPr>
        <w:t xml:space="preserve">X</w:t>
      </w:r>
      <w:r>
        <w:rPr>
          <w:color w:val="000000"/>
          <w:sz w:val="28"/>
          <w:szCs w:val="28"/>
          <w:rFonts w:ascii="宋体" w:cs="宋体" w:eastAsia="宋体" w:hAnsi="宋体"/>
        </w:rPr>
        <w:t xml:space="preserve">   </w:t>
      </w:r>
      <w:r>
        <w:rPr>
          <w:u w:val="single"/>
          <w:color w:val="000000"/>
          <w:sz w:val="28"/>
          <w:szCs w:val="28"/>
          <w:rFonts w:ascii="宋体" w:cs="宋体" w:eastAsia="宋体" w:hAnsi="宋体"/>
        </w:rPr>
        <w:t xml:space="preserve">X</w:t>
      </w:r>
    </w:p>
    <w:p>
      <w:pPr>
        <w:spacing w:before="0" w:after="0"/>
        <w:jc w:val="both"/>
      </w:pPr>
      <w:r>
        <w:rPr>
          <w:color w:val="000000"/>
          <w:sz w:val="28"/>
          <w:szCs w:val="28"/>
          <w:rFonts w:ascii="宋体" w:cs="宋体" w:eastAsia="宋体" w:hAnsi="宋体"/>
        </w:rPr>
        <w:t xml:space="preserve">    1     2     3</w:t>
      </w:r>
    </w:p>
    <w:p>
      <w:pPr>
        <w:spacing w:before="0" w:after="0"/>
        <w:jc w:val="both"/>
      </w:pPr>
      <w:r>
        <w:rPr>
          <w:color w:val="000000"/>
          <w:sz w:val="28"/>
          <w:szCs w:val="28"/>
          <w:rFonts w:ascii="宋体" w:cs="宋体" w:eastAsia="宋体" w:hAnsi="宋体"/>
        </w:rPr>
        <w:t xml:space="preserve">1-控制系统代码</w:t>
      </w:r>
    </w:p>
    <w:p>
      <w:pPr>
        <w:spacing w:before="0" w:after="0"/>
        <w:jc w:val="both"/>
      </w:pPr>
      <w:r>
        <w:rPr>
          <w:color w:val="000000"/>
          <w:sz w:val="28"/>
          <w:szCs w:val="28"/>
          <w:rFonts w:ascii="宋体" w:cs="宋体" w:eastAsia="宋体" w:hAnsi="宋体"/>
        </w:rPr>
        <w:t xml:space="preserve">2-程序识别码（0001-9999）</w:t>
      </w:r>
    </w:p>
    <w:p>
      <w:pPr>
        <w:spacing w:before="0" w:after="0"/>
        <w:jc w:val="both"/>
      </w:pPr>
      <w:r>
        <w:rPr>
          <w:color w:val="000000"/>
          <w:sz w:val="28"/>
          <w:szCs w:val="28"/>
          <w:rFonts w:ascii="宋体" w:cs="宋体" w:eastAsia="宋体" w:hAnsi="宋体"/>
        </w:rPr>
        <w:t xml:space="preserve">3-程序版次</w:t>
      </w:r>
    </w:p>
    <w:p>
      <w:pPr>
        <w:spacing w:before="0" w:after="0"/>
        <w:jc w:val="both"/>
      </w:pPr>
      <w:r>
        <w:rPr>
          <w:color w:val="000000"/>
          <w:sz w:val="28"/>
          <w:szCs w:val="28"/>
          <w:rFonts w:ascii="宋体" w:cs="宋体" w:eastAsia="宋体" w:hAnsi="宋体"/>
        </w:rPr>
        <w:t xml:space="preserve">5.3.2 控制系统代码：GEMCOR G2000-1378(S2)为A1，GEMCOR G2000-1422(S4)为A2，MPAC-20117为A3，RDS210-01为A4，RDS210-08为A5。</w:t>
      </w:r>
    </w:p>
    <w:p>
      <w:pPr>
        <w:spacing w:before="0" w:after="0"/>
        <w:jc w:val="both"/>
      </w:pPr>
      <w:r>
        <w:rPr>
          <w:color w:val="000000"/>
          <w:sz w:val="28"/>
          <w:szCs w:val="28"/>
          <w:rFonts w:ascii="宋体" w:cs="宋体" w:eastAsia="宋体" w:hAnsi="宋体"/>
        </w:rPr>
        <w:t xml:space="preserve">5.3.3程序识别码：是一组区别各零件加工程序的代码，初始为四位自然数。当所有4位自然数用完时，将第一位自然数改为字母，即一位字母加三位自然数。如程序识别码9999后的程序识别码为A001，A002，……A999，B001，B002等等（其中I、O、Q、S、X、Z不得使用）。</w:t>
      </w:r>
    </w:p>
    <w:p>
      <w:pPr>
        <w:spacing w:before="0" w:after="0"/>
        <w:jc w:val="both"/>
      </w:pPr>
      <w:r>
        <w:rPr>
          <w:color w:val="000000"/>
          <w:sz w:val="28"/>
          <w:szCs w:val="28"/>
          <w:rFonts w:ascii="宋体" w:cs="宋体" w:eastAsia="宋体" w:hAnsi="宋体"/>
        </w:rPr>
        <w:t xml:space="preserve">5.3.4 程序版次代码：程序初始版次为A，每更改一次版次升高一级，依次顺延。版次代号用A-Y表示（其中I、O、Q、S、X、Z不得使用）。</w:t>
      </w:r>
    </w:p>
    <w:p>
      <w:pPr>
        <w:spacing w:before="0" w:after="0"/>
        <w:jc w:val="both"/>
      </w:pPr>
      <w:r>
        <w:rPr>
          <w:color w:val="000000"/>
          <w:sz w:val="28"/>
          <w:szCs w:val="28"/>
          <w:rFonts w:ascii="宋体" w:cs="宋体" w:eastAsia="宋体" w:hAnsi="宋体"/>
        </w:rPr>
        <w:t xml:space="preserve">5.3.5 数控程序的鉴定和升版流程按GLB140506-04执行。首件加工前需空运行，并填写表FM1405-104，通过后方可进行首件加工。</w:t>
      </w:r>
    </w:p>
    <w:p>
      <w:pPr>
        <w:spacing w:before="0" w:after="0"/>
        <w:jc w:val="both"/>
      </w:pPr>
      <w:r>
        <w:rPr>
          <w:color w:val="000000"/>
          <w:sz w:val="28"/>
          <w:szCs w:val="28"/>
          <w:rFonts w:ascii="宋体" w:cs="宋体" w:eastAsia="宋体" w:hAnsi="宋体"/>
        </w:rPr>
        <w:t xml:space="preserve">5.3.6 自动钻铆/制孔数控程序需要建立电子登记账以便查阅。</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 标准图例说明</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000000"/>
          <w:sz w:val="28"/>
          <w:szCs w:val="28"/>
          <w:rFonts w:ascii="宋体" w:cs="宋体" w:eastAsia="宋体" w:hAnsi="宋体"/>
        </w:rPr>
        <w:t xml:space="preserve">无。</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7  记录控制</w:t>
      </w:r>
    </w:p>
    <w:p>
      <w:pPr>
        <w:spacing w:before="0" w:after="0"/>
        <w:jc w:val="both"/>
      </w:pPr>
      <w:r>
        <w:rPr>
          <w:color w:val="000000"/>
          <w:sz w:val="28"/>
          <w:szCs w:val="28"/>
          <w:rFonts w:ascii="宋体" w:cs="宋体" w:eastAsia="宋体" w:hAnsi="宋体"/>
        </w:rPr>
        <w:t xml:space="preserve"> </w:t>
      </w:r>
    </w:p>
    <w:p>
      <w:pPr>
        <w:spacing w:before="0" w:after="0"/>
        <w:jc w:val="both"/>
      </w:pPr>
      <w:r>
        <w:rPr>
          <w:color w:val="000000"/>
          <w:sz w:val="28"/>
          <w:szCs w:val="28"/>
          <w:rFonts w:ascii="宋体" w:cs="宋体" w:eastAsia="宋体" w:hAnsi="宋体"/>
        </w:rPr>
        <w:t xml:space="preserve">相关记录的填写和维护按程序文件GLC231008要求执行。</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center"/>
      </w:pPr>
      <w:r>
        <w:rPr>
          <w:color w:val="000000"/>
          <w:sz w:val="28"/>
          <w:szCs w:val="28"/>
          <w:rFonts w:ascii="黑体" w:cs="黑体" w:eastAsia="黑体" w:hAnsi="黑体"/>
        </w:rPr>
        <w:t xml:space="preserve">附录</w:t>
      </w:r>
      <w:r>
        <w:rPr>
          <w:b/>
          <w:bCs/>
          <w:color w:val="000000"/>
          <w:sz w:val="28"/>
          <w:szCs w:val="28"/>
          <w:rFonts w:ascii="黑体" w:cs="黑体" w:eastAsia="黑体" w:hAnsi="黑体"/>
        </w:rPr>
        <w:t xml:space="preserve">A</w:t>
      </w:r>
    </w:p>
    <w:p>
      <w:pPr>
        <w:spacing w:before="0" w:after="0"/>
        <w:jc w:val="center"/>
      </w:pPr>
      <w:r>
        <w:rPr>
          <w:color w:val="000000"/>
          <w:sz w:val="28"/>
          <w:szCs w:val="28"/>
          <w:rFonts w:ascii="黑体" w:cs="黑体" w:eastAsia="黑体" w:hAnsi="黑体"/>
        </w:rPr>
        <w:t xml:space="preserve">（规范性附录）</w:t>
      </w:r>
    </w:p>
    <w:p>
      <w:pPr>
        <w:spacing w:before="0" w:after="0"/>
        <w:jc w:val="center"/>
      </w:pPr>
      <w:r>
        <w:rPr>
          <w:color w:val="000000"/>
          <w:sz w:val="28"/>
          <w:szCs w:val="28"/>
          <w:rFonts w:ascii="黑体" w:cs="黑体" w:eastAsia="黑体" w:hAnsi="黑体"/>
        </w:rPr>
        <w:t xml:space="preserve">自动钻铆/制孔交接状态</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50"/>
        <w:gridCol w:w="1230"/>
        <w:gridCol w:w="1800"/>
        <w:gridCol w:w="885"/>
        <w:gridCol w:w="1455"/>
        <w:gridCol w:w="1860"/>
      </w:tblGrid>
      <w:tr>
        <w:trPr>
          <w:tblHeader w:val="false"/>
          <w:trHeight w:val="630" w:hRule="atLeast"/>
        </w:trPr>
        <w:tc>
          <w:tcPr>
            <w:tcW w:type="dxa" w:w="1050"/>
            <w:gridSpan w:val="1"/>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组件号</w:t>
            </w:r>
          </w:p>
        </w:tc>
        <w:tc>
          <w:tcPr>
            <w:tcW w:type="dxa" w:w="1230"/>
            <w:gridSpan w:val="1"/>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组件名称</w:t>
            </w:r>
          </w:p>
        </w:tc>
        <w:tc>
          <w:tcPr>
            <w:tcW w:type="dxa" w:w="1800"/>
            <w:gridSpan w:val="1"/>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交接状态编号</w:t>
            </w:r>
          </w:p>
        </w:tc>
        <w:tc>
          <w:tcPr>
            <w:tcW w:type="dxa" w:w="885"/>
            <w:gridSpan w:val="1"/>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版次</w:t>
            </w:r>
          </w:p>
        </w:tc>
        <w:tc>
          <w:tcPr>
            <w:tcW w:type="dxa" w:w="1455"/>
            <w:gridSpan w:val="1"/>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有效架次</w:t>
            </w:r>
          </w:p>
        </w:tc>
        <w:tc>
          <w:tcPr>
            <w:tcW w:type="dxa" w:w="1860"/>
            <w:gridSpan w:val="1"/>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更改单编号</w:t>
            </w:r>
          </w:p>
        </w:tc>
      </w:tr>
      <w:tr>
        <w:trPr>
          <w:tblHeader w:val="false"/>
          <w:trHeight w:val="630" w:hRule="atLeast"/>
        </w:trPr>
        <w:tc>
          <w:tcPr>
            <w:tcW w:type="dxa" w:w="1050"/>
            <w:gridSpan w:val="1"/>
            <w:tcMar>
              <w:top w:type="dxa" w:w="0"/>
              <w:left w:type="dxa" w:w="113"/>
              <w:bottom w:type="dxa" w:w="0"/>
              <w:right w:type="dxa" w:w="113"/>
            </w:tcMar>
            <w:vAlign w:val="center"/>
          </w:tcPr>
          <w:p>
            <w:pPr>
              <w:spacing w:before="0" w:after="0"/>
              <w:jc w:val="center"/>
            </w:pPr>
            <w:r>
              <w:rPr>
                <w:i/>
                <w:iCs/>
                <w:color w:val="0ddcf8"/>
                <w:sz w:val="24"/>
                <w:szCs w:val="24"/>
                <w:rFonts w:ascii="宋体" w:cs="宋体" w:eastAsia="宋体" w:hAnsi="宋体"/>
              </w:rPr>
              <w:t xml:space="preserve">（1）</w:t>
            </w:r>
          </w:p>
        </w:tc>
        <w:tc>
          <w:tcPr>
            <w:tcW w:type="dxa" w:w="1230"/>
            <w:gridSpan w:val="1"/>
            <w:tcMar>
              <w:top w:type="dxa" w:w="0"/>
              <w:left w:type="dxa" w:w="113"/>
              <w:bottom w:type="dxa" w:w="0"/>
              <w:right w:type="dxa" w:w="113"/>
            </w:tcMar>
            <w:vAlign w:val="center"/>
          </w:tcPr>
          <w:p>
            <w:pPr>
              <w:spacing w:before="0" w:after="0"/>
              <w:jc w:val="center"/>
            </w:pPr>
            <w:r>
              <w:rPr>
                <w:i/>
                <w:iCs/>
                <w:color w:val="0ddcf8"/>
                <w:sz w:val="24"/>
                <w:szCs w:val="24"/>
                <w:rFonts w:ascii="宋体" w:cs="宋体" w:eastAsia="宋体" w:hAnsi="宋体"/>
              </w:rPr>
              <w:t xml:space="preserve">（2）</w:t>
            </w:r>
          </w:p>
        </w:tc>
        <w:tc>
          <w:tcPr>
            <w:tcW w:type="dxa" w:w="1800"/>
            <w:gridSpan w:val="1"/>
            <w:tcMar>
              <w:top w:type="dxa" w:w="0"/>
              <w:left w:type="dxa" w:w="113"/>
              <w:bottom w:type="dxa" w:w="0"/>
              <w:right w:type="dxa" w:w="113"/>
            </w:tcMar>
            <w:vAlign w:val="center"/>
          </w:tcPr>
          <w:p>
            <w:pPr>
              <w:spacing w:before="0" w:after="0"/>
              <w:jc w:val="center"/>
            </w:pPr>
            <w:r>
              <w:rPr>
                <w:i/>
                <w:iCs/>
                <w:color w:val="0ddcf8"/>
                <w:sz w:val="24"/>
                <w:szCs w:val="24"/>
                <w:rFonts w:ascii="宋体" w:cs="宋体" w:eastAsia="宋体" w:hAnsi="宋体"/>
              </w:rPr>
              <w:t xml:space="preserve">（3）</w:t>
            </w:r>
          </w:p>
        </w:tc>
        <w:tc>
          <w:tcPr>
            <w:tcW w:type="dxa" w:w="885"/>
            <w:gridSpan w:val="1"/>
            <w:tcMar>
              <w:top w:type="dxa" w:w="0"/>
              <w:left w:type="dxa" w:w="113"/>
              <w:bottom w:type="dxa" w:w="0"/>
              <w:right w:type="dxa" w:w="113"/>
            </w:tcMar>
            <w:vAlign w:val="center"/>
          </w:tcPr>
          <w:p>
            <w:pPr>
              <w:spacing w:before="0" w:after="0"/>
              <w:jc w:val="center"/>
            </w:pPr>
            <w:r>
              <w:rPr>
                <w:i/>
                <w:iCs/>
                <w:color w:val="0ddcf8"/>
                <w:sz w:val="24"/>
                <w:szCs w:val="24"/>
                <w:rFonts w:ascii="宋体" w:cs="宋体" w:eastAsia="宋体" w:hAnsi="宋体"/>
              </w:rPr>
              <w:t xml:space="preserve">（4）</w:t>
            </w:r>
          </w:p>
        </w:tc>
        <w:tc>
          <w:tcPr>
            <w:tcW w:type="dxa" w:w="1455"/>
            <w:gridSpan w:val="1"/>
            <w:tcMar>
              <w:top w:type="dxa" w:w="0"/>
              <w:left w:type="dxa" w:w="113"/>
              <w:bottom w:type="dxa" w:w="0"/>
              <w:right w:type="dxa" w:w="113"/>
            </w:tcMar>
            <w:vAlign w:val="center"/>
          </w:tcPr>
          <w:p>
            <w:pPr>
              <w:spacing w:before="0" w:after="0"/>
              <w:jc w:val="center"/>
            </w:pPr>
            <w:r>
              <w:rPr>
                <w:i/>
                <w:iCs/>
                <w:color w:val="0ddcf8"/>
                <w:sz w:val="24"/>
                <w:szCs w:val="24"/>
                <w:rFonts w:ascii="宋体" w:cs="宋体" w:eastAsia="宋体" w:hAnsi="宋体"/>
              </w:rPr>
              <w:t xml:space="preserve">（5）</w:t>
            </w:r>
          </w:p>
        </w:tc>
        <w:tc>
          <w:tcPr>
            <w:tcW w:type="dxa" w:w="1860"/>
            <w:gridSpan w:val="1"/>
            <w:tcMar>
              <w:top w:type="dxa" w:w="0"/>
              <w:left w:type="dxa" w:w="113"/>
              <w:bottom w:type="dxa" w:w="0"/>
              <w:right w:type="dxa" w:w="113"/>
            </w:tcMar>
            <w:vAlign w:val="center"/>
          </w:tcPr>
          <w:p>
            <w:pPr>
              <w:spacing w:before="0" w:after="0"/>
              <w:jc w:val="center"/>
            </w:pPr>
            <w:r>
              <w:rPr>
                <w:i/>
                <w:iCs/>
                <w:color w:val="0ddcf8"/>
                <w:sz w:val="24"/>
                <w:szCs w:val="24"/>
                <w:rFonts w:ascii="宋体" w:cs="宋体" w:eastAsia="宋体" w:hAnsi="宋体"/>
              </w:rPr>
              <w:t xml:space="preserve">（6）</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310"/>
      </w:tblGrid>
      <w:tr>
        <w:trPr>
          <w:tblHeader w:val="false"/>
          <w:trHeight w:val="5325" w:hRule="atLeast"/>
        </w:trPr>
        <w:tc>
          <w:tcPr>
            <w:tcW w:type="dxa" w:w="8310"/>
            <w:gridSpan w:val="1"/>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图示区域</w:t>
            </w:r>
          </w:p>
          <w:p>
            <w:pPr>
              <w:spacing w:before="0" w:after="0"/>
              <w:jc w:val="center"/>
            </w:pPr>
            <w:r>
              <w:rPr>
                <w:i/>
                <w:iCs/>
                <w:color w:val="27c5ec"/>
                <w:sz w:val="24"/>
                <w:szCs w:val="24"/>
                <w:rFonts w:ascii="宋体" w:cs="宋体" w:eastAsia="宋体" w:hAnsi="宋体"/>
              </w:rPr>
              <w:t xml:space="preserve">（7）</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380"/>
        <w:gridCol w:w="1620"/>
        <w:gridCol w:w="1650"/>
        <w:gridCol w:w="1905"/>
        <w:gridCol w:w="1650"/>
      </w:tblGrid>
      <w:tr>
        <w:trPr>
          <w:tblHeader w:val="false"/>
          <w:trHeight w:val="630" w:hRule="atLeast"/>
        </w:trPr>
        <w:tc>
          <w:tcPr>
            <w:tcW w:type="dxa" w:w="1380"/>
            <w:gridSpan w:val="1"/>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编制
</w:t>
            </w:r>
          </w:p>
        </w:tc>
        <w:tc>
          <w:tcPr>
            <w:tcW w:type="dxa" w:w="1620"/>
            <w:gridSpan w:val="1"/>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
预铆工艺</w:t>
            </w:r>
          </w:p>
        </w:tc>
        <w:tc>
          <w:tcPr>
            <w:tcW w:type="dxa" w:w="1650"/>
            <w:gridSpan w:val="1"/>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预铆检验</w:t>
            </w:r>
          </w:p>
        </w:tc>
        <w:tc>
          <w:tcPr>
            <w:tcW w:type="dxa" w:w="1905"/>
            <w:gridSpan w:val="1"/>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自动钻铆检验</w:t>
            </w:r>
          </w:p>
        </w:tc>
        <w:tc>
          <w:tcPr>
            <w:tcW w:type="dxa" w:w="1650"/>
            <w:gridSpan w:val="1"/>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批准</w:t>
            </w:r>
          </w:p>
        </w:tc>
      </w:tr>
      <w:tr>
        <w:trPr>
          <w:tblHeader w:val="false"/>
          <w:trHeight w:val="630" w:hRule="atLeast"/>
        </w:trPr>
        <w:tc>
          <w:tcPr>
            <w:tcW w:type="dxa" w:w="1380"/>
            <w:gridSpan w:val="1"/>
            <w:tcMar>
              <w:top w:type="dxa" w:w="0"/>
              <w:left w:type="dxa" w:w="113"/>
              <w:bottom w:type="dxa" w:w="0"/>
              <w:right w:type="dxa" w:w="113"/>
            </w:tcMar>
            <w:vAlign w:val="center"/>
          </w:tcPr>
          <w:p>
            <w:pPr>
              <w:spacing w:before="0" w:after="0"/>
              <w:jc w:val="center"/>
            </w:pPr>
            <w:r>
              <w:rPr>
                <w:i/>
                <w:iCs/>
                <w:color w:val="27c5ec"/>
                <w:sz w:val="24"/>
                <w:szCs w:val="24"/>
                <w:rFonts w:ascii="宋体" w:cs="宋体" w:eastAsia="宋体" w:hAnsi="宋体"/>
              </w:rPr>
              <w:t xml:space="preserve">（8）</w:t>
            </w:r>
          </w:p>
        </w:tc>
        <w:tc>
          <w:tcPr>
            <w:tcW w:type="dxa" w:w="1620"/>
            <w:gridSpan w:val="1"/>
            <w:tcMar>
              <w:top w:type="dxa" w:w="0"/>
              <w:left w:type="dxa" w:w="113"/>
              <w:bottom w:type="dxa" w:w="0"/>
              <w:right w:type="dxa" w:w="113"/>
            </w:tcMar>
            <w:vAlign w:val="center"/>
          </w:tcPr>
          <w:p>
            <w:pPr>
              <w:spacing w:before="0" w:after="0"/>
              <w:jc w:val="center"/>
            </w:pPr>
            <w:r>
              <w:rPr>
                <w:i/>
                <w:iCs/>
                <w:color w:val="27c5ec"/>
                <w:sz w:val="24"/>
                <w:szCs w:val="24"/>
                <w:rFonts w:ascii="宋体" w:cs="宋体" w:eastAsia="宋体" w:hAnsi="宋体"/>
              </w:rPr>
              <w:t xml:space="preserve">（9）</w:t>
            </w:r>
          </w:p>
        </w:tc>
        <w:tc>
          <w:tcPr>
            <w:tcW w:type="dxa" w:w="1650"/>
            <w:gridSpan w:val="1"/>
            <w:tcMar>
              <w:top w:type="dxa" w:w="0"/>
              <w:left w:type="dxa" w:w="113"/>
              <w:bottom w:type="dxa" w:w="0"/>
              <w:right w:type="dxa" w:w="113"/>
            </w:tcMar>
            <w:vAlign w:val="center"/>
          </w:tcPr>
          <w:p>
            <w:pPr>
              <w:spacing w:before="0" w:after="0"/>
              <w:jc w:val="center"/>
            </w:pPr>
            <w:r>
              <w:rPr>
                <w:i/>
                <w:iCs/>
                <w:color w:val="27c5ec"/>
                <w:sz w:val="24"/>
                <w:szCs w:val="24"/>
                <w:rFonts w:ascii="宋体" w:cs="宋体" w:eastAsia="宋体" w:hAnsi="宋体"/>
              </w:rPr>
              <w:t xml:space="preserve">（10）</w:t>
            </w:r>
          </w:p>
        </w:tc>
        <w:tc>
          <w:tcPr>
            <w:tcW w:type="dxa" w:w="1905"/>
            <w:gridSpan w:val="1"/>
            <w:tcMar>
              <w:top w:type="dxa" w:w="0"/>
              <w:left w:type="dxa" w:w="113"/>
              <w:bottom w:type="dxa" w:w="0"/>
              <w:right w:type="dxa" w:w="113"/>
            </w:tcMar>
            <w:vAlign w:val="center"/>
          </w:tcPr>
          <w:p>
            <w:pPr>
              <w:spacing w:before="0" w:after="0"/>
              <w:jc w:val="center"/>
            </w:pPr>
            <w:r>
              <w:rPr>
                <w:i/>
                <w:iCs/>
                <w:color w:val="27c5ec"/>
                <w:sz w:val="24"/>
                <w:szCs w:val="24"/>
                <w:rFonts w:ascii="宋体" w:cs="宋体" w:eastAsia="宋体" w:hAnsi="宋体"/>
              </w:rPr>
              <w:t xml:space="preserve">（11）</w:t>
            </w:r>
          </w:p>
        </w:tc>
        <w:tc>
          <w:tcPr>
            <w:tcW w:type="dxa" w:w="1650"/>
            <w:gridSpan w:val="1"/>
            <w:tcMar>
              <w:top w:type="dxa" w:w="0"/>
              <w:left w:type="dxa" w:w="113"/>
              <w:bottom w:type="dxa" w:w="0"/>
              <w:right w:type="dxa" w:w="113"/>
            </w:tcMar>
            <w:vAlign w:val="center"/>
          </w:tcPr>
          <w:p>
            <w:pPr>
              <w:spacing w:before="0" w:after="0"/>
              <w:jc w:val="center"/>
            </w:pPr>
            <w:r>
              <w:rPr>
                <w:i/>
                <w:iCs/>
                <w:color w:val="27c5ec"/>
                <w:sz w:val="24"/>
                <w:szCs w:val="24"/>
                <w:rFonts w:ascii="宋体" w:cs="宋体" w:eastAsia="宋体" w:hAnsi="宋体"/>
              </w:rPr>
              <w:t xml:space="preserve">（12）</w:t>
            </w:r>
          </w:p>
        </w:tc>
      </w:tr>
    </w:tbl>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000000"/>
          <w:sz w:val="28"/>
          <w:szCs w:val="28"/>
          <w:rFonts w:ascii="黑体" w:cs="黑体" w:eastAsia="黑体" w:hAnsi="黑体"/>
        </w:rPr>
        <w:t xml:space="preserve">填写说明：</w:t>
      </w:r>
    </w:p>
    <w:p>
      <w:pPr>
        <w:spacing w:before="0" w:after="0"/>
        <w:jc w:val="both"/>
      </w:pPr>
      <w:r>
        <w:rPr>
          <w:color w:val="000000"/>
          <w:sz w:val="28"/>
          <w:szCs w:val="28"/>
          <w:rFonts w:ascii="宋体" w:cs="宋体" w:eastAsia="宋体" w:hAnsi="宋体"/>
        </w:rPr>
        <w:t xml:space="preserve">注：该文件可按需使用A4和A0之间任意尺寸，可以横向或竖向进行编制。</w:t>
      </w:r>
    </w:p>
    <w:p>
      <w:pPr>
        <w:spacing w:before="0" w:after="0"/>
        <w:jc w:val="both"/>
      </w:pPr>
      <w:r>
        <w:rPr>
          <w:color w:val="000000"/>
          <w:sz w:val="28"/>
          <w:szCs w:val="28"/>
          <w:rFonts w:ascii="宋体" w:cs="宋体" w:eastAsia="宋体" w:hAnsi="宋体"/>
        </w:rPr>
        <w:t xml:space="preserve">（1）填写适用A220项目内组件的编号。</w:t>
      </w:r>
    </w:p>
    <w:p>
      <w:pPr>
        <w:spacing w:before="0" w:after="0"/>
        <w:jc w:val="both"/>
      </w:pPr>
      <w:r>
        <w:rPr>
          <w:color w:val="000000"/>
          <w:sz w:val="28"/>
          <w:szCs w:val="28"/>
          <w:rFonts w:ascii="宋体" w:cs="宋体" w:eastAsia="宋体" w:hAnsi="宋体"/>
        </w:rPr>
        <w:t xml:space="preserve">（2）填写组件的名称。</w:t>
      </w:r>
    </w:p>
    <w:p>
      <w:pPr>
        <w:spacing w:before="0" w:after="0"/>
        <w:jc w:val="both"/>
      </w:pPr>
      <w:r>
        <w:rPr>
          <w:color w:val="000000"/>
          <w:sz w:val="28"/>
          <w:szCs w:val="28"/>
          <w:rFonts w:ascii="宋体" w:cs="宋体" w:eastAsia="宋体" w:hAnsi="宋体"/>
        </w:rPr>
        <w:t xml:space="preserve">（3）填写交接状态文件的编号。</w:t>
      </w:r>
    </w:p>
    <w:p>
      <w:pPr>
        <w:spacing w:before="0" w:after="0"/>
        <w:jc w:val="both"/>
      </w:pPr>
      <w:r>
        <w:rPr>
          <w:color w:val="000000"/>
          <w:sz w:val="28"/>
          <w:szCs w:val="28"/>
          <w:rFonts w:ascii="宋体" w:cs="宋体" w:eastAsia="宋体" w:hAnsi="宋体"/>
        </w:rPr>
        <w:t xml:space="preserve">（4）填写交接状态文件的版次。鉴定表版次以“A，B，…，AA，AB，…”顺序表示（其中I、O、Q、S、X、Z不得使用），初始版次为“A”。</w:t>
      </w:r>
    </w:p>
    <w:p>
      <w:pPr>
        <w:spacing w:before="0" w:after="0"/>
        <w:jc w:val="both"/>
      </w:pPr>
      <w:r>
        <w:rPr>
          <w:color w:val="000000"/>
          <w:sz w:val="28"/>
          <w:szCs w:val="28"/>
          <w:rFonts w:ascii="宋体" w:cs="宋体" w:eastAsia="宋体" w:hAnsi="宋体"/>
        </w:rPr>
        <w:t xml:space="preserve">（5）填写交接状态文件适用的有效架次。</w:t>
      </w:r>
    </w:p>
    <w:p>
      <w:pPr>
        <w:spacing w:before="0" w:after="0"/>
        <w:jc w:val="both"/>
      </w:pPr>
      <w:r>
        <w:rPr>
          <w:color w:val="000000"/>
          <w:sz w:val="28"/>
          <w:szCs w:val="28"/>
          <w:rFonts w:ascii="宋体" w:cs="宋体" w:eastAsia="宋体" w:hAnsi="宋体"/>
        </w:rPr>
        <w:t xml:space="preserve">（6）填写交接状态详细图纸，需明确区分手铆和自动钻铆/制孔的工作内容。</w:t>
      </w:r>
    </w:p>
    <w:p>
      <w:pPr>
        <w:spacing w:before="0" w:after="0"/>
        <w:jc w:val="both"/>
      </w:pPr>
      <w:r>
        <w:rPr>
          <w:color w:val="000000"/>
          <w:sz w:val="28"/>
          <w:szCs w:val="28"/>
          <w:rFonts w:ascii="宋体" w:cs="宋体" w:eastAsia="宋体" w:hAnsi="宋体"/>
        </w:rPr>
        <w:t xml:space="preserve">（7）填写更改单编号，如果没有，则填写N/A。</w:t>
      </w:r>
    </w:p>
    <w:p>
      <w:pPr>
        <w:spacing w:before="0" w:after="0"/>
        <w:jc w:val="both"/>
      </w:pPr>
      <w:r>
        <w:rPr>
          <w:color w:val="000000"/>
          <w:sz w:val="28"/>
          <w:szCs w:val="28"/>
          <w:rFonts w:ascii="宋体" w:cs="宋体" w:eastAsia="宋体" w:hAnsi="宋体"/>
        </w:rPr>
        <w:t xml:space="preserve">（8）编制的自动钻铆/制孔工艺员签字并标明日期。</w:t>
      </w:r>
    </w:p>
    <w:p>
      <w:pPr>
        <w:spacing w:before="0" w:after="0"/>
        <w:jc w:val="both"/>
      </w:pPr>
      <w:r>
        <w:rPr>
          <w:color w:val="000000"/>
          <w:sz w:val="28"/>
          <w:szCs w:val="28"/>
          <w:rFonts w:ascii="宋体" w:cs="宋体" w:eastAsia="宋体" w:hAnsi="宋体"/>
        </w:rPr>
        <w:t xml:space="preserve">（9）预铆工艺员签字并标明日期。</w:t>
      </w:r>
    </w:p>
    <w:p>
      <w:pPr>
        <w:spacing w:before="0" w:after="0"/>
        <w:jc w:val="both"/>
      </w:pPr>
      <w:r>
        <w:rPr>
          <w:color w:val="000000"/>
          <w:sz w:val="28"/>
          <w:szCs w:val="28"/>
          <w:rFonts w:ascii="宋体" w:cs="宋体" w:eastAsia="宋体" w:hAnsi="宋体"/>
        </w:rPr>
        <w:t xml:space="preserve">（10）预铆检验员盖章并标明日期。</w:t>
      </w:r>
    </w:p>
    <w:p>
      <w:pPr>
        <w:spacing w:before="0" w:after="0"/>
        <w:jc w:val="both"/>
      </w:pPr>
      <w:r>
        <w:rPr>
          <w:color w:val="000000"/>
          <w:sz w:val="28"/>
          <w:szCs w:val="28"/>
          <w:rFonts w:ascii="宋体" w:cs="宋体" w:eastAsia="宋体" w:hAnsi="宋体"/>
        </w:rPr>
        <w:t xml:space="preserve">（11）自动钻铆/制孔单元检验员盖章并标明日期。</w:t>
      </w:r>
    </w:p>
    <w:p>
      <w:pPr>
        <w:spacing w:before="0" w:after="0"/>
        <w:jc w:val="center"/>
      </w:pPr>
      <w:r>
        <w:rPr>
          <w:color w:val="000000"/>
          <w:sz w:val="28"/>
          <w:szCs w:val="28"/>
          <w:rFonts w:ascii="宋体" w:cs="宋体" w:eastAsia="宋体" w:hAnsi="宋体"/>
        </w:rPr>
        <w:t xml:space="preserve">（12）由生产厂技术负责人签字并标明日期。</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center"/>
      </w:pPr>
      <w:r>
        <w:rPr>
          <w:color w:val="000000"/>
          <w:sz w:val="28"/>
          <w:szCs w:val="28"/>
          <w:rFonts w:ascii="黑体" w:cs="黑体" w:eastAsia="黑体" w:hAnsi="黑体"/>
        </w:rPr>
        <w:t xml:space="preserve">附录B</w:t>
      </w:r>
    </w:p>
    <w:p>
      <w:pPr>
        <w:spacing w:before="0" w:after="0"/>
        <w:jc w:val="center"/>
      </w:pPr>
      <w:r>
        <w:rPr>
          <w:color w:val="000000"/>
          <w:sz w:val="28"/>
          <w:szCs w:val="28"/>
          <w:rFonts w:ascii="黑体" w:cs="黑体" w:eastAsia="黑体" w:hAnsi="黑体"/>
        </w:rPr>
        <w:t xml:space="preserve">（规范性附录）</w:t>
      </w:r>
    </w:p>
    <w:p>
      <w:pPr>
        <w:spacing w:before="0" w:after="0"/>
        <w:jc w:val="center"/>
      </w:pPr>
      <w:r>
        <w:rPr>
          <w:color w:val="000000"/>
          <w:sz w:val="28"/>
          <w:szCs w:val="28"/>
          <w:rFonts w:ascii="黑体" w:cs="黑体" w:eastAsia="黑体" w:hAnsi="黑体"/>
        </w:rPr>
        <w:t xml:space="preserve">自动钻铆/制孔交接状态更改单</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395"/>
        <w:gridCol w:w="1395"/>
        <w:gridCol w:w="1635"/>
        <w:gridCol w:w="1155"/>
        <w:gridCol w:w="1395"/>
        <w:gridCol w:w="1395"/>
      </w:tblGrid>
      <w:tr>
        <w:trPr>
          <w:tblHeader w:val="false"/>
          <w:trHeight w:val="630" w:hRule="atLeast"/>
        </w:trPr>
        <w:tc>
          <w:tcPr>
            <w:tcW w:type="dxa" w:w="139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组件号</w:t>
            </w:r>
          </w:p>
        </w:tc>
        <w:tc>
          <w:tcPr>
            <w:tcW w:type="dxa" w:w="139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组件名称</w:t>
            </w:r>
          </w:p>
        </w:tc>
        <w:tc>
          <w:tcPr>
            <w:tcW w:type="dxa" w:w="163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交接状态编号</w:t>
            </w:r>
          </w:p>
        </w:tc>
        <w:tc>
          <w:tcPr>
            <w:tcW w:type="dxa" w:w="115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版次</w:t>
            </w:r>
          </w:p>
        </w:tc>
        <w:tc>
          <w:tcPr>
            <w:tcW w:type="dxa" w:w="139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有效架次</w:t>
            </w:r>
          </w:p>
        </w:tc>
        <w:tc>
          <w:tcPr>
            <w:tcW w:type="dxa" w:w="139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更改单编号</w:t>
            </w:r>
          </w:p>
        </w:tc>
      </w:tr>
      <w:tr>
        <w:trPr>
          <w:tblHeader w:val="false"/>
          <w:trHeight w:val="630" w:hRule="atLeast"/>
        </w:trPr>
        <w:tc>
          <w:tcPr>
            <w:tcW w:type="dxa" w:w="1395"/>
            <w:gridSpan w:val="1"/>
            <w:tcMar>
              <w:top w:type="dxa" w:w="0"/>
              <w:left w:type="dxa" w:w="113"/>
              <w:bottom w:type="dxa" w:w="0"/>
              <w:right w:type="dxa" w:w="113"/>
            </w:tcMar>
            <w:vAlign w:val="center"/>
          </w:tcPr>
          <w:p>
            <w:pPr>
              <w:spacing w:before="0" w:after="0"/>
              <w:jc w:val="center"/>
            </w:pPr>
            <w:r>
              <w:rPr>
                <w:i/>
                <w:iCs/>
                <w:color w:val="00b0f0"/>
                <w:sz w:val="24"/>
                <w:szCs w:val="24"/>
                <w:rFonts w:ascii="宋体" w:cs="宋体" w:eastAsia="宋体" w:hAnsi="宋体"/>
              </w:rPr>
              <w:t xml:space="preserve">(1)</w:t>
            </w:r>
          </w:p>
        </w:tc>
        <w:tc>
          <w:tcPr>
            <w:tcW w:type="dxa" w:w="1395"/>
            <w:gridSpan w:val="1"/>
            <w:tcMar>
              <w:top w:type="dxa" w:w="0"/>
              <w:left w:type="dxa" w:w="113"/>
              <w:bottom w:type="dxa" w:w="0"/>
              <w:right w:type="dxa" w:w="113"/>
            </w:tcMar>
            <w:vAlign w:val="center"/>
          </w:tcPr>
          <w:p>
            <w:pPr>
              <w:spacing w:before="0" w:after="0"/>
              <w:jc w:val="center"/>
            </w:pPr>
            <w:r>
              <w:rPr>
                <w:i/>
                <w:iCs/>
                <w:color w:val="00b0f0"/>
                <w:sz w:val="24"/>
                <w:szCs w:val="24"/>
                <w:rFonts w:ascii="宋体" w:cs="宋体" w:eastAsia="宋体" w:hAnsi="宋体"/>
              </w:rPr>
              <w:t xml:space="preserve">(2)</w:t>
            </w:r>
          </w:p>
        </w:tc>
        <w:tc>
          <w:tcPr>
            <w:tcW w:type="dxa" w:w="1635"/>
            <w:gridSpan w:val="1"/>
            <w:tcMar>
              <w:top w:type="dxa" w:w="0"/>
              <w:left w:type="dxa" w:w="113"/>
              <w:bottom w:type="dxa" w:w="0"/>
              <w:right w:type="dxa" w:w="113"/>
            </w:tcMar>
            <w:vAlign w:val="center"/>
          </w:tcPr>
          <w:p>
            <w:pPr>
              <w:spacing w:before="0" w:after="0"/>
              <w:jc w:val="center"/>
            </w:pPr>
            <w:r>
              <w:rPr>
                <w:i/>
                <w:iCs/>
                <w:color w:val="00b0f0"/>
                <w:sz w:val="24"/>
                <w:szCs w:val="24"/>
                <w:rFonts w:ascii="宋体" w:cs="宋体" w:eastAsia="宋体" w:hAnsi="宋体"/>
              </w:rPr>
              <w:t xml:space="preserve">(3)</w:t>
            </w:r>
          </w:p>
        </w:tc>
        <w:tc>
          <w:tcPr>
            <w:tcW w:type="dxa" w:w="1155"/>
            <w:gridSpan w:val="1"/>
            <w:tcMar>
              <w:top w:type="dxa" w:w="0"/>
              <w:left w:type="dxa" w:w="113"/>
              <w:bottom w:type="dxa" w:w="0"/>
              <w:right w:type="dxa" w:w="113"/>
            </w:tcMar>
            <w:vAlign w:val="center"/>
          </w:tcPr>
          <w:p>
            <w:pPr>
              <w:spacing w:before="0" w:after="0"/>
              <w:jc w:val="center"/>
            </w:pPr>
            <w:r>
              <w:rPr>
                <w:i/>
                <w:iCs/>
                <w:color w:val="00b0f0"/>
                <w:sz w:val="24"/>
                <w:szCs w:val="24"/>
                <w:rFonts w:ascii="宋体" w:cs="宋体" w:eastAsia="宋体" w:hAnsi="宋体"/>
              </w:rPr>
              <w:t xml:space="preserve">(4)</w:t>
            </w:r>
          </w:p>
        </w:tc>
        <w:tc>
          <w:tcPr>
            <w:tcW w:type="dxa" w:w="1395"/>
            <w:gridSpan w:val="1"/>
            <w:tcMar>
              <w:top w:type="dxa" w:w="0"/>
              <w:left w:type="dxa" w:w="113"/>
              <w:bottom w:type="dxa" w:w="0"/>
              <w:right w:type="dxa" w:w="113"/>
            </w:tcMar>
            <w:vAlign w:val="center"/>
          </w:tcPr>
          <w:p>
            <w:pPr>
              <w:spacing w:before="0" w:after="0"/>
              <w:jc w:val="center"/>
            </w:pPr>
            <w:r>
              <w:rPr>
                <w:i/>
                <w:iCs/>
                <w:color w:val="00b0f0"/>
                <w:sz w:val="24"/>
                <w:szCs w:val="24"/>
                <w:rFonts w:ascii="宋体" w:cs="宋体" w:eastAsia="宋体" w:hAnsi="宋体"/>
              </w:rPr>
              <w:t xml:space="preserve">(5)</w:t>
            </w:r>
          </w:p>
        </w:tc>
        <w:tc>
          <w:tcPr>
            <w:tcW w:type="dxa" w:w="1395"/>
            <w:gridSpan w:val="1"/>
            <w:tcMar>
              <w:top w:type="dxa" w:w="0"/>
              <w:left w:type="dxa" w:w="113"/>
              <w:bottom w:type="dxa" w:w="0"/>
              <w:right w:type="dxa" w:w="113"/>
            </w:tcMar>
            <w:vAlign w:val="center"/>
          </w:tcPr>
          <w:p>
            <w:pPr>
              <w:spacing w:before="0" w:after="0"/>
              <w:jc w:val="center"/>
            </w:pPr>
            <w:r>
              <w:rPr>
                <w:i/>
                <w:iCs/>
                <w:color w:val="00b0f0"/>
                <w:sz w:val="24"/>
                <w:szCs w:val="24"/>
                <w:rFonts w:ascii="宋体" w:cs="宋体" w:eastAsia="宋体" w:hAnsi="宋体"/>
              </w:rPr>
              <w:t xml:space="preserve">(6)</w:t>
            </w:r>
          </w:p>
        </w:tc>
      </w:tr>
      <w:tr>
        <w:trPr>
          <w:tblHeader w:val="false"/>
          <w:trHeight w:val="630" w:hRule="atLeast"/>
        </w:trPr>
        <w:tc>
          <w:tcPr>
            <w:tcW w:type="dxa" w:w="8370"/>
            <w:gridSpan w:val="6"/>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更改原因               </w:t>
            </w:r>
            <w:r>
              <w:rPr>
                <w:i/>
                <w:iCs/>
                <w:color w:val="00b0f0"/>
                <w:sz w:val="24"/>
                <w:szCs w:val="24"/>
                <w:rFonts w:ascii="宋体" w:cs="宋体" w:eastAsia="宋体" w:hAnsi="宋体"/>
              </w:rPr>
              <w:t xml:space="preserve">(7)</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310"/>
      </w:tblGrid>
      <w:tr>
        <w:trPr>
          <w:tblHeader w:val="false"/>
          <w:trHeight w:val="6900" w:hRule="atLeast"/>
        </w:trPr>
        <w:tc>
          <w:tcPr>
            <w:tcW w:type="dxa" w:w="831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更改内容</w:t>
            </w:r>
          </w:p>
          <w:p>
            <w:pPr>
              <w:spacing w:before="0" w:after="0"/>
              <w:jc w:val="center"/>
            </w:pPr>
            <w:r>
              <w:rPr>
                <w:i/>
                <w:iCs/>
                <w:color w:val="00b0f0"/>
                <w:sz w:val="24"/>
                <w:szCs w:val="24"/>
                <w:rFonts w:ascii="宋体" w:cs="宋体" w:eastAsia="宋体" w:hAnsi="宋体"/>
              </w:rPr>
              <w:t xml:space="preserve">(8)</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75"/>
        <w:gridCol w:w="2775"/>
        <w:gridCol w:w="2775"/>
      </w:tblGrid>
      <w:tr>
        <w:trPr>
          <w:tblHeader w:val="false"/>
          <w:trHeight w:val="630" w:hRule="atLeast"/>
        </w:trPr>
        <w:tc>
          <w:tcPr>
            <w:tcW w:type="dxa" w:w="277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编制</w:t>
            </w:r>
          </w:p>
        </w:tc>
        <w:tc>
          <w:tcPr>
            <w:tcW w:type="dxa" w:w="277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预铆工艺</w:t>
            </w:r>
          </w:p>
        </w:tc>
        <w:tc>
          <w:tcPr>
            <w:tcW w:type="dxa" w:w="277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批准</w:t>
            </w:r>
          </w:p>
        </w:tc>
      </w:tr>
      <w:tr>
        <w:trPr>
          <w:tblHeader w:val="false"/>
          <w:trHeight w:val="630" w:hRule="atLeast"/>
        </w:trPr>
        <w:tc>
          <w:tcPr>
            <w:tcW w:type="dxa" w:w="2775"/>
            <w:gridSpan w:val="1"/>
            <w:tcMar>
              <w:top w:type="dxa" w:w="0"/>
              <w:left w:type="dxa" w:w="113"/>
              <w:bottom w:type="dxa" w:w="0"/>
              <w:right w:type="dxa" w:w="113"/>
            </w:tcMar>
            <w:vAlign w:val="center"/>
          </w:tcPr>
          <w:p>
            <w:pPr>
              <w:spacing w:before="0" w:after="0"/>
              <w:jc w:val="center"/>
            </w:pPr>
            <w:r>
              <w:rPr>
                <w:i/>
                <w:iCs/>
                <w:color w:val="00b0f0"/>
                <w:sz w:val="24"/>
                <w:szCs w:val="24"/>
                <w:rFonts w:ascii="宋体" w:cs="宋体" w:eastAsia="宋体" w:hAnsi="宋体"/>
              </w:rPr>
              <w:t xml:space="preserve">(9)</w:t>
            </w:r>
          </w:p>
        </w:tc>
        <w:tc>
          <w:tcPr>
            <w:tcW w:type="dxa" w:w="2775"/>
            <w:gridSpan w:val="1"/>
            <w:tcMar>
              <w:top w:type="dxa" w:w="0"/>
              <w:left w:type="dxa" w:w="113"/>
              <w:bottom w:type="dxa" w:w="0"/>
              <w:right w:type="dxa" w:w="113"/>
            </w:tcMar>
            <w:vAlign w:val="center"/>
          </w:tcPr>
          <w:p>
            <w:pPr>
              <w:spacing w:before="0" w:after="0"/>
              <w:jc w:val="center"/>
            </w:pPr>
            <w:r>
              <w:rPr>
                <w:i/>
                <w:iCs/>
                <w:color w:val="00b0f0"/>
                <w:sz w:val="24"/>
                <w:szCs w:val="24"/>
                <w:rFonts w:ascii="宋体" w:cs="宋体" w:eastAsia="宋体" w:hAnsi="宋体"/>
              </w:rPr>
              <w:t xml:space="preserve">(10)</w:t>
            </w:r>
          </w:p>
        </w:tc>
        <w:tc>
          <w:tcPr>
            <w:tcW w:type="dxa" w:w="2775"/>
            <w:gridSpan w:val="1"/>
            <w:tcMar>
              <w:top w:type="dxa" w:w="0"/>
              <w:left w:type="dxa" w:w="113"/>
              <w:bottom w:type="dxa" w:w="0"/>
              <w:right w:type="dxa" w:w="113"/>
            </w:tcMar>
            <w:vAlign w:val="center"/>
          </w:tcPr>
          <w:p>
            <w:pPr>
              <w:spacing w:before="0" w:after="0"/>
              <w:jc w:val="center"/>
            </w:pPr>
            <w:r>
              <w:rPr>
                <w:i/>
                <w:iCs/>
                <w:color w:val="00b0f0"/>
                <w:sz w:val="24"/>
                <w:szCs w:val="24"/>
                <w:rFonts w:ascii="宋体" w:cs="宋体" w:eastAsia="宋体" w:hAnsi="宋体"/>
              </w:rPr>
              <w:t xml:space="preserve">(11)</w:t>
            </w:r>
          </w:p>
        </w:tc>
      </w:tr>
    </w:tbl>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both"/>
      </w:pPr>
      <w:r>
        <w:rPr>
          <w:color w:val="000000"/>
          <w:sz w:val="28"/>
          <w:szCs w:val="28"/>
          <w:rFonts w:ascii="黑体" w:cs="黑体" w:eastAsia="黑体" w:hAnsi="黑体"/>
        </w:rPr>
        <w:t xml:space="preserve">填写说明</w:t>
      </w:r>
      <w:r>
        <w:rPr>
          <w:color w:val="000000"/>
          <w:sz w:val="24"/>
          <w:szCs w:val="24"/>
          <w:rFonts w:ascii="黑体" w:cs="黑体" w:eastAsia="黑体" w:hAnsi="黑体"/>
        </w:rPr>
        <w:t xml:space="preserve">：</w:t>
      </w:r>
    </w:p>
    <w:p>
      <w:pPr>
        <w:spacing w:before="0" w:after="0"/>
        <w:jc w:val="both"/>
      </w:pPr>
      <w:r>
        <w:rPr>
          <w:color w:val="000000"/>
          <w:sz w:val="28"/>
          <w:szCs w:val="28"/>
          <w:rFonts w:ascii="宋体" w:cs="宋体" w:eastAsia="宋体" w:hAnsi="宋体"/>
        </w:rPr>
        <w:t xml:space="preserve">注：该文件可按需使用A4和A0之间任意尺寸，可以横向或竖向进行编制。</w:t>
      </w:r>
    </w:p>
    <w:p>
      <w:pPr>
        <w:spacing w:before="0" w:after="0"/>
        <w:jc w:val="both"/>
      </w:pPr>
      <w:r>
        <w:rPr>
          <w:color w:val="000000"/>
          <w:sz w:val="28"/>
          <w:szCs w:val="28"/>
          <w:rFonts w:ascii="宋体" w:cs="宋体" w:eastAsia="宋体" w:hAnsi="宋体"/>
        </w:rPr>
        <w:t xml:space="preserve">（1）填写适用A220项目内组件的编号。</w:t>
      </w:r>
    </w:p>
    <w:p>
      <w:pPr>
        <w:spacing w:before="0" w:after="0"/>
        <w:jc w:val="both"/>
      </w:pPr>
      <w:r>
        <w:rPr>
          <w:color w:val="000000"/>
          <w:sz w:val="28"/>
          <w:szCs w:val="28"/>
          <w:rFonts w:ascii="宋体" w:cs="宋体" w:eastAsia="宋体" w:hAnsi="宋体"/>
        </w:rPr>
        <w:t xml:space="preserve">（2）填写组件的名称。</w:t>
      </w:r>
    </w:p>
    <w:p>
      <w:pPr>
        <w:spacing w:before="0" w:after="0"/>
        <w:jc w:val="both"/>
      </w:pPr>
      <w:r>
        <w:rPr>
          <w:color w:val="000000"/>
          <w:sz w:val="28"/>
          <w:szCs w:val="28"/>
          <w:rFonts w:ascii="宋体" w:cs="宋体" w:eastAsia="宋体" w:hAnsi="宋体"/>
        </w:rPr>
        <w:t xml:space="preserve">（3）填写交接状态文件的编号。</w:t>
      </w:r>
    </w:p>
    <w:p>
      <w:pPr>
        <w:spacing w:before="0" w:after="0"/>
        <w:jc w:val="both"/>
      </w:pPr>
      <w:r>
        <w:rPr>
          <w:color w:val="000000"/>
          <w:sz w:val="28"/>
          <w:szCs w:val="28"/>
          <w:rFonts w:ascii="宋体" w:cs="宋体" w:eastAsia="宋体" w:hAnsi="宋体"/>
        </w:rPr>
        <w:t xml:space="preserve">（4）填写交接状态文件的最新版次。版次以“A，B，…，AA，AB，…”顺序表示（其中I、O、Q、S、X、Z不得使用），初始版次为“A”。</w:t>
      </w:r>
    </w:p>
    <w:p>
      <w:pPr>
        <w:spacing w:before="0" w:after="0"/>
        <w:jc w:val="both"/>
      </w:pPr>
      <w:r>
        <w:rPr>
          <w:color w:val="000000"/>
          <w:sz w:val="28"/>
          <w:szCs w:val="28"/>
          <w:rFonts w:ascii="宋体" w:cs="宋体" w:eastAsia="宋体" w:hAnsi="宋体"/>
        </w:rPr>
        <w:t xml:space="preserve">（5）填写新交接状态文件适用的有效架次。</w:t>
      </w:r>
    </w:p>
    <w:p>
      <w:pPr>
        <w:spacing w:before="0" w:after="0"/>
        <w:jc w:val="both"/>
      </w:pPr>
      <w:r>
        <w:rPr>
          <w:color w:val="000000"/>
          <w:sz w:val="28"/>
          <w:szCs w:val="28"/>
          <w:rFonts w:ascii="宋体" w:cs="宋体" w:eastAsia="宋体" w:hAnsi="宋体"/>
        </w:rPr>
        <w:t xml:space="preserve">（6）填写更改单编号。</w:t>
      </w:r>
    </w:p>
    <w:p>
      <w:pPr>
        <w:spacing w:before="0" w:after="0"/>
        <w:jc w:val="both"/>
      </w:pPr>
      <w:r>
        <w:rPr>
          <w:color w:val="000000"/>
          <w:sz w:val="28"/>
          <w:szCs w:val="28"/>
          <w:rFonts w:ascii="宋体" w:cs="宋体" w:eastAsia="宋体" w:hAnsi="宋体"/>
        </w:rPr>
        <w:t xml:space="preserve">（7）填写交接状态更改的原因。</w:t>
      </w:r>
    </w:p>
    <w:p>
      <w:pPr>
        <w:spacing w:before="0" w:after="0"/>
        <w:jc w:val="both"/>
      </w:pPr>
      <w:r>
        <w:rPr>
          <w:color w:val="000000"/>
          <w:sz w:val="28"/>
          <w:szCs w:val="28"/>
          <w:rFonts w:ascii="宋体" w:cs="宋体" w:eastAsia="宋体" w:hAnsi="宋体"/>
        </w:rPr>
        <w:t xml:space="preserve">（8）填写交接状态的更改图纸，要求明确更改的内容。</w:t>
      </w:r>
    </w:p>
    <w:p>
      <w:pPr>
        <w:spacing w:before="0" w:after="0"/>
        <w:jc w:val="both"/>
      </w:pPr>
      <w:r>
        <w:rPr>
          <w:color w:val="000000"/>
          <w:sz w:val="28"/>
          <w:szCs w:val="28"/>
          <w:rFonts w:ascii="宋体" w:cs="宋体" w:eastAsia="宋体" w:hAnsi="宋体"/>
        </w:rPr>
        <w:t xml:space="preserve">（9）编制的自动钻铆/制孔工艺员签字并标明日期。</w:t>
      </w:r>
    </w:p>
    <w:p>
      <w:pPr>
        <w:spacing w:before="0" w:after="0"/>
        <w:jc w:val="both"/>
      </w:pPr>
      <w:r>
        <w:rPr>
          <w:color w:val="000000"/>
          <w:sz w:val="28"/>
          <w:szCs w:val="28"/>
          <w:rFonts w:ascii="宋体" w:cs="宋体" w:eastAsia="宋体" w:hAnsi="宋体"/>
        </w:rPr>
        <w:t xml:space="preserve">（10）预铆人员工艺员签字并标明日期。</w:t>
      </w:r>
    </w:p>
    <w:p>
      <w:pPr>
        <w:spacing w:before="0" w:after="0"/>
        <w:jc w:val="both"/>
      </w:pPr>
      <w:r>
        <w:rPr>
          <w:color w:val="000000"/>
          <w:sz w:val="28"/>
          <w:szCs w:val="28"/>
          <w:rFonts w:ascii="宋体" w:cs="宋体" w:eastAsia="宋体" w:hAnsi="宋体"/>
        </w:rPr>
        <w:t xml:space="preserve">（11）由生产厂技术负责人签字并标明日期。</w:t>
      </w:r>
    </w:p>
    <w:p>
      <w:pPr>
        <w:spacing w:before="0" w:after="0"/>
        <w:jc w:val="center"/>
      </w:pP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center"/>
      </w:pPr>
      <w:r>
        <w:rPr>
          <w:color w:val="000000"/>
          <w:sz w:val="28"/>
          <w:szCs w:val="28"/>
          <w:rFonts w:ascii="黑体" w:cs="黑体" w:eastAsia="黑体" w:hAnsi="黑体"/>
        </w:rPr>
        <w:t xml:space="preserve">附录C</w:t>
      </w:r>
    </w:p>
    <w:p>
      <w:pPr>
        <w:spacing w:before="0" w:after="0"/>
        <w:jc w:val="center"/>
      </w:pPr>
      <w:r>
        <w:rPr>
          <w:color w:val="000000"/>
          <w:sz w:val="28"/>
          <w:szCs w:val="28"/>
          <w:rFonts w:ascii="黑体" w:cs="黑体" w:eastAsia="黑体" w:hAnsi="黑体"/>
        </w:rPr>
        <w:t xml:space="preserve">（规范性附录）</w:t>
      </w:r>
    </w:p>
    <w:p>
      <w:pPr>
        <w:spacing w:before="0" w:after="0"/>
        <w:jc w:val="center"/>
      </w:pPr>
      <w:r>
        <w:rPr>
          <w:color w:val="000000"/>
          <w:sz w:val="28"/>
          <w:szCs w:val="28"/>
          <w:rFonts w:ascii="黑体" w:cs="黑体" w:eastAsia="黑体" w:hAnsi="黑体"/>
        </w:rPr>
        <w:t xml:space="preserve">自动钻铆/制孔产品交接单</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395"/>
        <w:gridCol w:w="1650"/>
        <w:gridCol w:w="795"/>
        <w:gridCol w:w="1305"/>
        <w:gridCol w:w="1530"/>
        <w:gridCol w:w="1695"/>
      </w:tblGrid>
      <w:tr>
        <w:trPr>
          <w:tblHeader w:val="false"/>
          <w:trHeight w:val="630" w:hRule="atLeast"/>
        </w:trPr>
        <w:tc>
          <w:tcPr>
            <w:tcW w:type="dxa" w:w="1395"/>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组件名称</w:t>
            </w:r>
          </w:p>
        </w:tc>
        <w:tc>
          <w:tcPr>
            <w:tcW w:type="dxa" w:w="165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交接状态编号</w:t>
            </w:r>
          </w:p>
        </w:tc>
        <w:tc>
          <w:tcPr>
            <w:tcW w:type="dxa" w:w="795"/>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版次</w:t>
            </w:r>
          </w:p>
        </w:tc>
        <w:tc>
          <w:tcPr>
            <w:tcW w:type="dxa" w:w="1305"/>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有效架次</w:t>
            </w:r>
          </w:p>
        </w:tc>
        <w:tc>
          <w:tcPr>
            <w:tcW w:type="dxa" w:w="153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生产架次</w:t>
            </w:r>
          </w:p>
        </w:tc>
        <w:tc>
          <w:tcPr>
            <w:tcW w:type="dxa" w:w="1695"/>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密封胶失效时间</w:t>
            </w:r>
          </w:p>
        </w:tc>
      </w:tr>
      <w:tr>
        <w:trPr>
          <w:tblHeader w:val="false"/>
          <w:trHeight w:val="630" w:hRule="atLeast"/>
        </w:trPr>
        <w:tc>
          <w:tcPr>
            <w:tcW w:type="dxa" w:w="1395"/>
            <w:gridSpan w:val="1"/>
            <w:tcMar>
              <w:top w:type="dxa" w:w="0"/>
              <w:left w:type="dxa" w:w="113"/>
              <w:bottom w:type="dxa" w:w="0"/>
              <w:right w:type="dxa" w:w="113"/>
            </w:tcMar>
            <w:vAlign w:val="center"/>
          </w:tcPr>
          <w:p>
            <w:pPr>
              <w:spacing w:before="0" w:after="0"/>
              <w:jc w:val="center"/>
            </w:pPr>
            <w:r>
              <w:rPr>
                <w:i/>
                <w:iCs/>
                <w:color w:val="00b0f0"/>
                <w:sz w:val="21"/>
                <w:szCs w:val="21"/>
                <w:rFonts w:ascii="宋体" w:cs="宋体" w:eastAsia="宋体" w:hAnsi="宋体"/>
              </w:rPr>
              <w:t xml:space="preserve">(1)</w:t>
            </w:r>
          </w:p>
        </w:tc>
        <w:tc>
          <w:tcPr>
            <w:tcW w:type="dxa" w:w="1650"/>
            <w:gridSpan w:val="1"/>
            <w:tcMar>
              <w:top w:type="dxa" w:w="0"/>
              <w:left w:type="dxa" w:w="113"/>
              <w:bottom w:type="dxa" w:w="0"/>
              <w:right w:type="dxa" w:w="113"/>
            </w:tcMar>
            <w:vAlign w:val="center"/>
          </w:tcPr>
          <w:p>
            <w:pPr>
              <w:spacing w:before="0" w:after="0"/>
              <w:jc w:val="center"/>
            </w:pPr>
            <w:r>
              <w:rPr>
                <w:i/>
                <w:iCs/>
                <w:color w:val="00b0f0"/>
                <w:sz w:val="21"/>
                <w:szCs w:val="21"/>
                <w:rFonts w:ascii="宋体" w:cs="宋体" w:eastAsia="宋体" w:hAnsi="宋体"/>
              </w:rPr>
              <w:t xml:space="preserve">(2)</w:t>
            </w:r>
          </w:p>
        </w:tc>
        <w:tc>
          <w:tcPr>
            <w:tcW w:type="dxa" w:w="795"/>
            <w:gridSpan w:val="1"/>
            <w:tcMar>
              <w:top w:type="dxa" w:w="0"/>
              <w:left w:type="dxa" w:w="113"/>
              <w:bottom w:type="dxa" w:w="0"/>
              <w:right w:type="dxa" w:w="113"/>
            </w:tcMar>
            <w:vAlign w:val="center"/>
          </w:tcPr>
          <w:p>
            <w:pPr>
              <w:spacing w:before="0" w:after="0"/>
              <w:jc w:val="center"/>
            </w:pPr>
            <w:r>
              <w:rPr>
                <w:i/>
                <w:iCs/>
                <w:color w:val="00b0f0"/>
                <w:sz w:val="21"/>
                <w:szCs w:val="21"/>
                <w:rFonts w:ascii="宋体" w:cs="宋体" w:eastAsia="宋体" w:hAnsi="宋体"/>
              </w:rPr>
              <w:t xml:space="preserve">(3)</w:t>
            </w:r>
          </w:p>
        </w:tc>
        <w:tc>
          <w:tcPr>
            <w:tcW w:type="dxa" w:w="1305"/>
            <w:gridSpan w:val="1"/>
            <w:tcMar>
              <w:top w:type="dxa" w:w="0"/>
              <w:left w:type="dxa" w:w="113"/>
              <w:bottom w:type="dxa" w:w="0"/>
              <w:right w:type="dxa" w:w="113"/>
            </w:tcMar>
            <w:vAlign w:val="center"/>
          </w:tcPr>
          <w:p>
            <w:pPr>
              <w:spacing w:before="0" w:after="0"/>
              <w:jc w:val="center"/>
            </w:pPr>
            <w:r>
              <w:rPr>
                <w:i/>
                <w:iCs/>
                <w:color w:val="00b0f0"/>
                <w:sz w:val="21"/>
                <w:szCs w:val="21"/>
                <w:rFonts w:ascii="宋体" w:cs="宋体" w:eastAsia="宋体" w:hAnsi="宋体"/>
              </w:rPr>
              <w:t xml:space="preserve">(4)</w:t>
            </w:r>
          </w:p>
        </w:tc>
        <w:tc>
          <w:tcPr>
            <w:tcW w:type="dxa" w:w="1530"/>
            <w:gridSpan w:val="1"/>
            <w:tcMar>
              <w:top w:type="dxa" w:w="0"/>
              <w:left w:type="dxa" w:w="113"/>
              <w:bottom w:type="dxa" w:w="0"/>
              <w:right w:type="dxa" w:w="113"/>
            </w:tcMar>
            <w:vAlign w:val="center"/>
          </w:tcPr>
          <w:p>
            <w:pPr>
              <w:spacing w:before="0" w:after="0"/>
              <w:jc w:val="center"/>
            </w:pPr>
            <w:r>
              <w:rPr>
                <w:i/>
                <w:iCs/>
                <w:color w:val="00b0f0"/>
                <w:sz w:val="21"/>
                <w:szCs w:val="21"/>
                <w:rFonts w:ascii="宋体" w:cs="宋体" w:eastAsia="宋体" w:hAnsi="宋体"/>
              </w:rPr>
              <w:t xml:space="preserve">(5)</w:t>
            </w:r>
          </w:p>
        </w:tc>
        <w:tc>
          <w:tcPr>
            <w:tcW w:type="dxa" w:w="1695"/>
            <w:gridSpan w:val="1"/>
            <w:tcMar>
              <w:top w:type="dxa" w:w="0"/>
              <w:left w:type="dxa" w:w="113"/>
              <w:bottom w:type="dxa" w:w="0"/>
              <w:right w:type="dxa" w:w="113"/>
            </w:tcMar>
            <w:vAlign w:val="center"/>
          </w:tcPr>
          <w:p>
            <w:pPr>
              <w:spacing w:before="0" w:after="0"/>
              <w:jc w:val="center"/>
            </w:pPr>
            <w:r>
              <w:rPr>
                <w:i/>
                <w:iCs/>
                <w:color w:val="00b0f0"/>
                <w:sz w:val="21"/>
                <w:szCs w:val="21"/>
                <w:rFonts w:ascii="宋体" w:cs="宋体" w:eastAsia="宋体" w:hAnsi="宋体"/>
              </w:rPr>
              <w:t xml:space="preserve">(6)</w:t>
            </w:r>
          </w:p>
        </w:tc>
      </w:tr>
      <w:tr>
        <w:trPr>
          <w:tblHeader w:val="false"/>
          <w:trHeight w:val="630" w:hRule="atLeast"/>
        </w:trPr>
        <w:tc>
          <w:tcPr>
            <w:tcW w:type="dxa" w:w="5580"/>
            <w:gridSpan w:val="4"/>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预铆是否有偏离</w:t>
            </w:r>
          </w:p>
        </w:tc>
        <w:tc>
          <w:tcPr>
            <w:tcW w:type="dxa" w:w="3300"/>
            <w:gridSpan w:val="2"/>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是 □   否 □</w:t>
            </w:r>
            <w:r>
              <w:rPr>
                <w:i/>
                <w:iCs/>
                <w:color w:val="00b0f0"/>
                <w:sz w:val="21"/>
                <w:szCs w:val="21"/>
                <w:rFonts w:ascii="宋体" w:cs="宋体" w:eastAsia="宋体" w:hAnsi="宋体"/>
              </w:rPr>
              <w:t xml:space="preserve">(7)</w:t>
            </w:r>
          </w:p>
        </w:tc>
      </w:tr>
      <w:tr>
        <w:trPr>
          <w:tblHeader w:val="false"/>
          <w:trHeight w:val="2160" w:hRule="atLeast"/>
        </w:trPr>
        <w:tc>
          <w:tcPr>
            <w:tcW w:type="dxa" w:w="8370"/>
            <w:gridSpan w:val="6"/>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预铆偏离内容</w:t>
            </w:r>
          </w:p>
          <w:p>
            <w:pPr>
              <w:spacing w:before="0" w:after="0"/>
              <w:jc w:val="left"/>
            </w:pPr>
          </w:p>
        </w:tc>
      </w:tr>
      <w:tr>
        <w:trPr>
          <w:tblHeader w:val="false"/>
          <w:trHeight w:val="7935" w:hRule="atLeast"/>
        </w:trPr>
        <w:tc>
          <w:tcPr>
            <w:tcW w:type="dxa" w:w="8370"/>
            <w:gridSpan w:val="6"/>
            <w:tcMar>
              <w:top w:type="dxa" w:w="0"/>
              <w:left w:type="dxa" w:w="113"/>
              <w:bottom w:type="dxa" w:w="0"/>
              <w:right w:type="dxa" w:w="113"/>
            </w:tcMar>
            <w:vAlign w:val="center"/>
          </w:tcPr>
          <w:p>
            <w:pPr>
              <w:spacing w:before="0" w:after="0"/>
              <w:jc w:val="left"/>
            </w:pPr>
          </w:p>
          <w:p>
            <w:pPr>
              <w:spacing w:before="0" w:after="0"/>
              <w:jc w:val="left"/>
            </w:pPr>
          </w:p>
          <w:p>
            <w:pPr>
              <w:spacing w:before="0" w:after="0"/>
              <w:jc w:val="left"/>
            </w:pPr>
            <w:r>
              <w:rPr>
                <w:color w:val="1b324f"/>
                <w:sz w:val="21"/>
                <w:szCs w:val="21"/>
                <w:rFonts w:ascii="宋体" w:cs="宋体" w:eastAsia="宋体" w:hAnsi="宋体"/>
              </w:rPr>
              <w:t xml:space="preserve">自动钻铆制孔偏离内容 </w:t>
            </w:r>
          </w:p>
          <w:p>
            <w:pPr>
              <w:spacing w:before="0" w:after="0"/>
              <w:jc w:val="left"/>
            </w:pPr>
          </w:p>
          <w:p>
            <w:pPr>
              <w:spacing w:before="0" w:after="0"/>
              <w:jc w:val="left"/>
            </w:pPr>
          </w:p>
          <w:p>
            <w:pPr>
              <w:spacing w:before="0" w:after="0"/>
              <w:jc w:val="left"/>
            </w:pPr>
          </w:p>
          <w:p>
            <w:pPr>
              <w:spacing w:before="0" w:after="0"/>
              <w:jc w:val="left"/>
            </w:pPr>
          </w:p>
        </w:tc>
      </w:tr>
    </w:tbl>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p>
      <w:pPr>
        <w:spacing w:before="0" w:after="0"/>
        <w:jc w:val="left"/>
      </w:pPr>
      <w:r>
        <w:rPr>
          <w:color w:val="000000"/>
          <w:sz w:val="28"/>
          <w:szCs w:val="28"/>
          <w:rFonts w:ascii="黑体" w:cs="黑体" w:eastAsia="黑体" w:hAnsi="黑体"/>
        </w:rPr>
        <w:t xml:space="preserve">填写说明：</w:t>
      </w:r>
    </w:p>
    <w:p>
      <w:pPr>
        <w:spacing w:before="0" w:after="0"/>
        <w:jc w:val="left"/>
      </w:pPr>
      <w:r>
        <w:rPr>
          <w:color w:val="000000"/>
          <w:sz w:val="28"/>
          <w:szCs w:val="28"/>
          <w:rFonts w:ascii="宋体" w:cs="宋体" w:eastAsia="宋体" w:hAnsi="宋体"/>
        </w:rPr>
        <w:t xml:space="preserve">（1）填写组件的名称。</w:t>
      </w:r>
    </w:p>
    <w:p>
      <w:pPr>
        <w:spacing w:before="0" w:after="0"/>
        <w:jc w:val="left"/>
      </w:pPr>
      <w:r>
        <w:rPr>
          <w:color w:val="000000"/>
          <w:sz w:val="28"/>
          <w:szCs w:val="28"/>
          <w:rFonts w:ascii="宋体" w:cs="宋体" w:eastAsia="宋体" w:hAnsi="宋体"/>
        </w:rPr>
        <w:t xml:space="preserve">（2）填写交接状态文件的编号。</w:t>
      </w:r>
    </w:p>
    <w:p>
      <w:pPr>
        <w:spacing w:before="0" w:after="0"/>
        <w:jc w:val="left"/>
      </w:pPr>
      <w:r>
        <w:rPr>
          <w:color w:val="000000"/>
          <w:sz w:val="28"/>
          <w:szCs w:val="28"/>
          <w:rFonts w:ascii="宋体" w:cs="宋体" w:eastAsia="宋体" w:hAnsi="宋体"/>
        </w:rPr>
        <w:t xml:space="preserve">（3）填写交接状态文件的最新版次。</w:t>
      </w:r>
    </w:p>
    <w:p>
      <w:pPr>
        <w:spacing w:before="0" w:after="0"/>
        <w:jc w:val="left"/>
      </w:pPr>
      <w:r>
        <w:rPr>
          <w:color w:val="000000"/>
          <w:sz w:val="28"/>
          <w:szCs w:val="28"/>
          <w:rFonts w:ascii="宋体" w:cs="宋体" w:eastAsia="宋体" w:hAnsi="宋体"/>
        </w:rPr>
        <w:t xml:space="preserve">（4）填写交接状态文件适用的有效架次。</w:t>
      </w:r>
    </w:p>
    <w:p>
      <w:pPr>
        <w:spacing w:before="0" w:after="0"/>
        <w:jc w:val="left"/>
      </w:pPr>
      <w:r>
        <w:rPr>
          <w:color w:val="000000"/>
          <w:sz w:val="28"/>
          <w:szCs w:val="28"/>
          <w:rFonts w:ascii="宋体" w:cs="宋体" w:eastAsia="宋体" w:hAnsi="宋体"/>
        </w:rPr>
        <w:t xml:space="preserve">（5）填写在生产的架次。</w:t>
      </w:r>
    </w:p>
    <w:p>
      <w:pPr>
        <w:spacing w:before="0" w:after="0"/>
        <w:jc w:val="left"/>
      </w:pPr>
      <w:r>
        <w:rPr>
          <w:color w:val="000000"/>
          <w:sz w:val="28"/>
          <w:szCs w:val="28"/>
          <w:rFonts w:ascii="宋体" w:cs="宋体" w:eastAsia="宋体" w:hAnsi="宋体"/>
        </w:rPr>
        <w:t xml:space="preserve">（6）填写密封胶的最后失效的时间，需要详细到小时，供计划员的排产。</w:t>
      </w:r>
    </w:p>
    <w:p>
      <w:pPr>
        <w:spacing w:before="0" w:after="0"/>
        <w:jc w:val="left"/>
      </w:pPr>
      <w:r>
        <w:rPr>
          <w:color w:val="000000"/>
          <w:sz w:val="28"/>
          <w:szCs w:val="28"/>
          <w:rFonts w:ascii="宋体" w:cs="宋体" w:eastAsia="宋体" w:hAnsi="宋体"/>
        </w:rPr>
        <w:t xml:space="preserve">（7）记录预铆结果是否具有偏离，如果有偏离则选择“是”，否则选择“否”。</w:t>
      </w:r>
    </w:p>
    <w:p>
      <w:pPr>
        <w:spacing w:before="0" w:after="0"/>
        <w:jc w:val="left"/>
      </w:pPr>
      <w:r>
        <w:rPr>
          <w:color w:val="000000"/>
          <w:sz w:val="28"/>
          <w:szCs w:val="28"/>
          <w:rFonts w:ascii="宋体" w:cs="宋体" w:eastAsia="宋体" w:hAnsi="宋体"/>
        </w:rPr>
        <w:t xml:space="preserve">（8）填写偏离项的序号，如果没有偏离，则填写N/A。</w:t>
      </w:r>
    </w:p>
    <w:p>
      <w:pPr>
        <w:spacing w:before="0" w:after="0"/>
        <w:jc w:val="left"/>
      </w:pPr>
      <w:r>
        <w:rPr>
          <w:color w:val="000000"/>
          <w:sz w:val="28"/>
          <w:szCs w:val="28"/>
          <w:rFonts w:ascii="宋体" w:cs="宋体" w:eastAsia="宋体" w:hAnsi="宋体"/>
        </w:rPr>
        <w:t xml:space="preserve">（9）填写偏离位置，需要记录准确，包括长桁和框的名称，例如：“STR 36R，FRM 32”。如果没有偏离，可以不填。</w:t>
      </w:r>
    </w:p>
    <w:p>
      <w:pPr>
        <w:spacing w:before="0" w:after="0"/>
        <w:jc w:val="left"/>
      </w:pPr>
      <w:r>
        <w:rPr>
          <w:color w:val="000000"/>
          <w:sz w:val="28"/>
          <w:szCs w:val="28"/>
          <w:rFonts w:ascii="宋体" w:cs="宋体" w:eastAsia="宋体" w:hAnsi="宋体"/>
        </w:rPr>
        <w:t xml:space="preserve">（10）填写错误的点位的编号，例如“1K”。如果没有偏离，可以不填。</w:t>
      </w:r>
    </w:p>
    <w:p>
      <w:pPr>
        <w:spacing w:before="0" w:after="0"/>
        <w:jc w:val="left"/>
      </w:pPr>
      <w:r>
        <w:rPr>
          <w:color w:val="000000"/>
          <w:sz w:val="28"/>
          <w:szCs w:val="28"/>
          <w:rFonts w:ascii="宋体" w:cs="宋体" w:eastAsia="宋体" w:hAnsi="宋体"/>
        </w:rPr>
        <w:t xml:space="preserve">（11）填写交接文件要求的原始状态。如果没有偏离，可以不填。</w:t>
      </w:r>
    </w:p>
    <w:p>
      <w:pPr>
        <w:spacing w:before="0" w:after="0"/>
        <w:jc w:val="left"/>
      </w:pPr>
      <w:r>
        <w:rPr>
          <w:color w:val="000000"/>
          <w:sz w:val="28"/>
          <w:szCs w:val="28"/>
          <w:rFonts w:ascii="宋体" w:cs="宋体" w:eastAsia="宋体" w:hAnsi="宋体"/>
        </w:rPr>
        <w:t xml:space="preserve">（12）填写与交接文件要求不符合的现在错误的状态。如果没有偏离，可以不填。</w:t>
      </w:r>
    </w:p>
    <w:p>
      <w:pPr>
        <w:spacing w:before="0" w:after="0"/>
        <w:jc w:val="left"/>
      </w:pPr>
      <w:r>
        <w:rPr>
          <w:color w:val="000000"/>
          <w:sz w:val="28"/>
          <w:szCs w:val="28"/>
          <w:rFonts w:ascii="宋体" w:cs="宋体" w:eastAsia="宋体" w:hAnsi="宋体"/>
        </w:rPr>
        <w:t xml:space="preserve">（13）按需填写补充说明的情况，如果没有偏离，可以不填。</w:t>
      </w:r>
    </w:p>
    <w:p>
      <w:pPr>
        <w:spacing w:before="0" w:after="0"/>
        <w:jc w:val="left"/>
      </w:pPr>
      <w:r>
        <w:rPr>
          <w:color w:val="000000"/>
          <w:sz w:val="28"/>
          <w:szCs w:val="28"/>
          <w:rFonts w:ascii="宋体" w:cs="宋体" w:eastAsia="宋体" w:hAnsi="宋体"/>
        </w:rPr>
        <w:t xml:space="preserve">（14）预铆操作者填写（1）至（13）的信息，并签字并标明日期。</w:t>
      </w:r>
    </w:p>
    <w:p>
      <w:pPr>
        <w:spacing w:before="0" w:after="0"/>
        <w:jc w:val="left"/>
      </w:pPr>
      <w:r>
        <w:rPr>
          <w:color w:val="000000"/>
          <w:sz w:val="28"/>
          <w:szCs w:val="28"/>
          <w:rFonts w:ascii="宋体" w:cs="宋体" w:eastAsia="宋体" w:hAnsi="宋体"/>
        </w:rPr>
        <w:t xml:space="preserve">（15）预铆检验员盖章并标明日期。</w:t>
      </w:r>
    </w:p>
    <w:p>
      <w:pPr>
        <w:spacing w:before="0" w:after="0"/>
        <w:jc w:val="left"/>
      </w:pPr>
      <w:r>
        <w:rPr>
          <w:color w:val="000000"/>
          <w:sz w:val="28"/>
          <w:szCs w:val="28"/>
          <w:rFonts w:ascii="宋体" w:cs="宋体" w:eastAsia="宋体" w:hAnsi="宋体"/>
        </w:rPr>
        <w:t xml:space="preserve">（16）预铆计划员签字并标明日期。如果没有偏离，可以不填。</w:t>
      </w:r>
    </w:p>
    <w:p>
      <w:pPr>
        <w:spacing w:before="0" w:after="0"/>
        <w:jc w:val="left"/>
      </w:pPr>
      <w:r>
        <w:rPr>
          <w:color w:val="000000"/>
          <w:sz w:val="28"/>
          <w:szCs w:val="28"/>
          <w:rFonts w:ascii="宋体" w:cs="宋体" w:eastAsia="宋体" w:hAnsi="宋体"/>
        </w:rPr>
        <w:t xml:space="preserve">（17）自动钻铆计划员签字并标明日期。如果没有偏离，可以不填。</w:t>
      </w:r>
    </w:p>
    <w:p>
      <w:pPr>
        <w:spacing w:before="0" w:after="0"/>
        <w:jc w:val="left"/>
      </w:pPr>
      <w:r>
        <w:rPr>
          <w:color w:val="000000"/>
          <w:sz w:val="28"/>
          <w:szCs w:val="28"/>
          <w:rFonts w:ascii="宋体" w:cs="宋体" w:eastAsia="宋体" w:hAnsi="宋体"/>
        </w:rPr>
        <w:t xml:space="preserve">（18）由自动钻铆工艺员进行程序处理，记录是否处理完成，若处理完成，选择“是”，未处理完成，选择“否”。如果没有偏离，可以不填。</w:t>
      </w:r>
    </w:p>
    <w:p>
      <w:pPr>
        <w:spacing w:before="0" w:after="0"/>
        <w:jc w:val="left"/>
      </w:pPr>
      <w:r>
        <w:rPr>
          <w:color w:val="000000"/>
          <w:sz w:val="28"/>
          <w:szCs w:val="28"/>
          <w:rFonts w:ascii="宋体" w:cs="宋体" w:eastAsia="宋体" w:hAnsi="宋体"/>
        </w:rPr>
        <w:t xml:space="preserve">（19）自动钻铆工艺员签字并标明日期。如果没有偏离，可以不填。</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p>
      <w:pPr>
        <w:spacing w:before="0" w:after="0"/>
        <w:jc w:val="left"/>
      </w:pPr>
      <w:r>
        <w:rPr>
          <w:color w:val="000000"/>
          <w:sz w:val="28"/>
          <w:szCs w:val="28"/>
          <w:rFonts w:ascii="宋体" w:cs="宋体" w:eastAsia="宋体" w:hAnsi="宋体"/>
        </w:rPr>
        <w:t xml:space="preserve">（20）记录自动钻铆结果是否具有偏离，如有偏离选择“是”，否则选择“否”。</w:t>
      </w:r>
    </w:p>
    <w:p>
      <w:pPr>
        <w:spacing w:before="0" w:after="0"/>
        <w:jc w:val="left"/>
      </w:pPr>
      <w:r>
        <w:rPr>
          <w:color w:val="000000"/>
          <w:sz w:val="28"/>
          <w:szCs w:val="28"/>
          <w:rFonts w:ascii="宋体" w:cs="宋体" w:eastAsia="宋体" w:hAnsi="宋体"/>
        </w:rPr>
        <w:t xml:space="preserve">（21）填写偏离项的序号，如果没有偏离，则填写N/A。</w:t>
      </w:r>
    </w:p>
    <w:p>
      <w:pPr>
        <w:spacing w:before="0" w:after="0"/>
        <w:jc w:val="left"/>
      </w:pPr>
      <w:r>
        <w:rPr>
          <w:color w:val="000000"/>
          <w:sz w:val="28"/>
          <w:szCs w:val="28"/>
          <w:rFonts w:ascii="宋体" w:cs="宋体" w:eastAsia="宋体" w:hAnsi="宋体"/>
        </w:rPr>
        <w:t xml:space="preserve">（22）填写偏离位置，需要记录准确，包括长桁和框的名称，例如：“STR 36R，FRM 32”。如果没有偏离，可以不填。</w:t>
      </w:r>
    </w:p>
    <w:p>
      <w:pPr>
        <w:spacing w:before="0" w:after="0"/>
        <w:jc w:val="left"/>
      </w:pPr>
      <w:r>
        <w:rPr>
          <w:color w:val="000000"/>
          <w:sz w:val="28"/>
          <w:szCs w:val="28"/>
          <w:rFonts w:ascii="宋体" w:cs="宋体" w:eastAsia="宋体" w:hAnsi="宋体"/>
        </w:rPr>
        <w:t xml:space="preserve">（23）填写这个偏离位置的错误点位数量。如果没有偏离，可以不填。</w:t>
      </w:r>
    </w:p>
    <w:p>
      <w:pPr>
        <w:spacing w:before="0" w:after="0"/>
        <w:jc w:val="left"/>
      </w:pPr>
      <w:r>
        <w:rPr>
          <w:color w:val="000000"/>
          <w:sz w:val="28"/>
          <w:szCs w:val="28"/>
          <w:rFonts w:ascii="宋体" w:cs="宋体" w:eastAsia="宋体" w:hAnsi="宋体"/>
        </w:rPr>
        <w:t xml:space="preserve">（24）填写交接状态内要求的原始状态。如果没有偏离，可以不填。</w:t>
      </w:r>
    </w:p>
    <w:p>
      <w:pPr>
        <w:spacing w:before="0" w:after="0"/>
        <w:jc w:val="left"/>
      </w:pPr>
      <w:r>
        <w:rPr>
          <w:color w:val="000000"/>
          <w:sz w:val="28"/>
          <w:szCs w:val="28"/>
          <w:rFonts w:ascii="宋体" w:cs="宋体" w:eastAsia="宋体" w:hAnsi="宋体"/>
        </w:rPr>
        <w:t xml:space="preserve">（25）填写与交接文件要求不符合的现在错误的状态。如果没有偏离，可以不填。</w:t>
      </w:r>
    </w:p>
    <w:p>
      <w:pPr>
        <w:spacing w:before="0" w:after="0"/>
        <w:jc w:val="left"/>
      </w:pPr>
      <w:r>
        <w:rPr>
          <w:color w:val="000000"/>
          <w:sz w:val="28"/>
          <w:szCs w:val="28"/>
          <w:rFonts w:ascii="宋体" w:cs="宋体" w:eastAsia="宋体" w:hAnsi="宋体"/>
        </w:rPr>
        <w:t xml:space="preserve">（26）按需填写补充说明的情况。如果没有偏离，可以不填。</w:t>
      </w:r>
    </w:p>
    <w:p>
      <w:pPr>
        <w:spacing w:before="0" w:after="0"/>
        <w:jc w:val="left"/>
      </w:pPr>
      <w:r>
        <w:rPr>
          <w:color w:val="000000"/>
          <w:sz w:val="28"/>
          <w:szCs w:val="28"/>
          <w:rFonts w:ascii="宋体" w:cs="宋体" w:eastAsia="宋体" w:hAnsi="宋体"/>
        </w:rPr>
        <w:t xml:space="preserve">（27）自动钻铆操作者填写（20）至（26）的信息，并签字并标明日期。</w:t>
      </w:r>
    </w:p>
    <w:p>
      <w:pPr>
        <w:spacing w:before="0" w:after="0"/>
        <w:jc w:val="left"/>
      </w:pPr>
      <w:r>
        <w:rPr>
          <w:color w:val="000000"/>
          <w:sz w:val="28"/>
          <w:szCs w:val="28"/>
          <w:rFonts w:ascii="宋体" w:cs="宋体" w:eastAsia="宋体" w:hAnsi="宋体"/>
        </w:rPr>
        <w:t xml:space="preserve">（28）自动钻铆检验员盖章并标明日期。</w:t>
      </w:r>
    </w:p>
    <w:p>
      <w:pPr>
        <w:spacing w:before="0" w:after="0"/>
        <w:jc w:val="left"/>
      </w:pPr>
      <w:r>
        <w:rPr>
          <w:color w:val="000000"/>
          <w:sz w:val="28"/>
          <w:szCs w:val="28"/>
          <w:rFonts w:ascii="宋体" w:cs="宋体" w:eastAsia="宋体" w:hAnsi="宋体"/>
        </w:rPr>
        <w:t xml:space="preserve">（29）补铆检验员盖章并标明日期。</w:t>
      </w:r>
    </w:p>
    <w:p>
      <w:pPr>
        <w:spacing w:before="0" w:after="0"/>
        <w:jc w:val="left"/>
      </w:pPr>
      <w:r>
        <w:rPr>
          <w:color w:val="000000"/>
          <w:sz w:val="28"/>
          <w:szCs w:val="28"/>
          <w:rFonts w:ascii="宋体" w:cs="宋体" w:eastAsia="宋体" w:hAnsi="宋体"/>
        </w:rPr>
        <w:t xml:space="preserve">（30）补铆计划员签字并标明日期。如果没有偏离，可以不填。</w:t>
      </w:r>
    </w:p>
    <w:p>
      <w:pPr>
        <w:spacing w:before="0" w:after="0"/>
        <w:jc w:val="left"/>
      </w:pPr>
      <w:r>
        <w:rPr>
          <w:color w:val="000000"/>
          <w:sz w:val="28"/>
          <w:szCs w:val="28"/>
          <w:rFonts w:ascii="宋体" w:cs="宋体" w:eastAsia="宋体" w:hAnsi="宋体"/>
        </w:rPr>
        <w:t xml:space="preserve">（31）由补铆工艺员进行提供偏离的处理方法，记录是否处理完成，若处理完成，选择“是”，未处理完成，选择“否”。如果没有偏离，可以不填。</w:t>
      </w:r>
    </w:p>
    <w:p>
      <w:pPr>
        <w:spacing w:before="0" w:after="0"/>
        <w:jc w:val="left"/>
      </w:pPr>
      <w:r>
        <w:rPr>
          <w:color w:val="000000"/>
          <w:sz w:val="28"/>
          <w:szCs w:val="28"/>
          <w:rFonts w:ascii="宋体" w:cs="宋体" w:eastAsia="宋体" w:hAnsi="宋体"/>
        </w:rPr>
        <w:t xml:space="preserve">（32）补铆工艺员签字和标明日期。如果没有偏离，可以不填。</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30"/>
      <w:footerReference w:type="default" r:id="rId31"/>
      <w:pgSz w:w="11906" w:h="16838" w:orient="portrait"/>
      <w:pgMar w:top="1440" w:right="1802" w:bottom="1440" w:left="1802" w:header="708" w:footer="708" w:gutter="0"/>
      <w:pgNumType w:start="13"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3</w:t>
    </w:r>
    <w:r>
      <w:t xml:space="preserve">0</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3</w:t>
    </w:r>
    <w:r>
      <w:t xml:space="preserve">0</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3</w:t>
    </w:r>
    <w:r>
      <w:t xml:space="preserve">0</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3</w:t>
    </w:r>
    <w:r>
      <w:t xml:space="preserve">0</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3</w:t>
    </w:r>
    <w:r>
      <w:t xml:space="preserve">0</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3</w:t>
    </w:r>
    <w:r>
      <w:t xml:space="preserve">0</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3</w:t>
    </w:r>
    <w:r>
      <w:t xml:space="preserve">0</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3</w:t>
    </w:r>
    <w:r>
      <w:t xml:space="preserve">0</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3</w:t>
    </w:r>
    <w:r>
      <w:t xml:space="preserve">0</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3</w:t>
    </w:r>
    <w:r>
      <w:t xml:space="preserve">0</w:t>
    </w:r>
    <w:r>
      <w:t xml:space="preserve">-</w:t>
    </w:r>
    <w:r>
      <w:t xml:space="preserve">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3</w:t>
    </w:r>
    <w:r>
      <w:t xml:space="preserve">0</w:t>
    </w:r>
    <w:r>
      <w:t xml:space="preserve">-</w:t>
    </w:r>
    <w:r>
      <w:t xml:space="preserve">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3</w:t>
    </w:r>
    <w:r>
      <w:t xml:space="preserve">0</w:t>
    </w:r>
    <w:r>
      <w:t xml:space="preserve">-</w:t>
    </w:r>
    <w:r>
      <w:t xml:space="preserve">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3</w:t>
    </w:r>
    <w:r>
      <w:t xml:space="preserve">0</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2026-06-10T09:17:28.921Z</dcterms:created>
  <dcterms:modified xsi:type="dcterms:W3CDTF">2026-06-10T09:17:28.921Z</dcterms:modified>
</cp:coreProperties>
</file>

<file path=docProps/custom.xml><?xml version="1.0" encoding="utf-8"?>
<Properties xmlns="http://schemas.openxmlformats.org/officeDocument/2006/custom-properties" xmlns:vt="http://schemas.openxmlformats.org/officeDocument/2006/docPropsVTypes"/>
</file>