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sz w:val="28"/>
          <w:szCs w:val="28"/>
          <w:rFonts w:ascii="宋体" w:cs="宋体" w:eastAsia="宋体" w:hAnsi="宋体"/>
        </w:rPr>
        <w:t xml:space="preserve">前    言</w:t>
      </w:r>
    </w:p>
    <w:p>
      <w:pPr>
        <w:spacing w:before="0" w:after="0"/>
        <w:jc w:val="center"/>
      </w:pPr>
      <w:r>
        <w:rPr>
          <w:sz w:val="28"/>
          <w:szCs w:val="28"/>
          <w:rFonts w:ascii="宋体" w:cs="宋体" w:eastAsia="宋体" w:hAnsi="宋体"/>
        </w:rPr>
        <w:t xml:space="preserve"> </w:t>
      </w:r>
    </w:p>
    <w:p>
      <w:pPr>
        <w:spacing w:before="0" w:after="0"/>
        <w:jc w:val="center"/>
      </w:pPr>
      <w:r>
        <w:rPr>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本制度属于支撑类管理制度。</w:t>
      </w:r>
    </w:p>
    <w:p>
      <w:pPr>
        <w:spacing w:before="0" w:after="0"/>
        <w:jc w:val="both"/>
      </w:pPr>
      <w:r>
        <w:rPr>
          <w:sz w:val="28"/>
          <w:szCs w:val="28"/>
          <w:rFonts w:ascii="宋体" w:cs="宋体" w:eastAsia="宋体" w:hAnsi="宋体"/>
        </w:rPr>
        <w:t xml:space="preserve">本制度由数字工程部提出。</w:t>
      </w:r>
    </w:p>
    <w:p>
      <w:pPr>
        <w:spacing w:before="0" w:after="0"/>
        <w:jc w:val="both"/>
      </w:pPr>
      <w:r>
        <w:rPr>
          <w:sz w:val="28"/>
          <w:szCs w:val="28"/>
          <w:rFonts w:ascii="宋体" w:cs="宋体" w:eastAsia="宋体" w:hAnsi="宋体"/>
        </w:rPr>
        <w:t xml:space="preserve">本制度由数字工程部负责解释。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宋体" w:cs="宋体" w:eastAsia="宋体" w:hAnsi="宋体"/>
        </w:rPr>
        <w:t xml:space="preserve">材料定额管理标准</w:t>
      </w:r>
    </w:p>
    <w:p>
      <w:pPr>
        <w:spacing w:before="0" w:after="0" w:line="280" w:lineRule="exact"/>
      </w:pPr>
      <w:r>
        <w:rPr>
          <w:sz w:val="28"/>
          <w:szCs w:val="28"/>
          <w:rFonts w:ascii="宋体" w:cs="宋体" w:eastAsia="宋体" w:hAnsi="宋体"/>
        </w:rPr>
      </w:r>
    </w:p>
    <w:p>
      <w:pPr>
        <w:pStyle w:val="Heading4"/>
        <w:spacing w:before="0" w:after="0"/>
        <w:jc w:val="both"/>
      </w:pPr>
      <w:bookmarkStart w:name="_Toc8ee2" w:id="1"/>
      <w:r>
        <w:rPr>
          <w:b/>
          <w:bCs/>
          <w:sz w:val="28"/>
          <w:szCs w:val="28"/>
          <w:rFonts w:ascii="宋体" w:cs="宋体" w:eastAsia="宋体" w:hAnsi="宋体"/>
        </w:rPr>
        <w:t xml:space="preserve">1  范围</w:t>
      </w:r>
      <w:bookmarkEnd w:id="1"/>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本文件规定了材料定额编制、变更、审批、考核等管理要求。</w:t>
      </w:r>
    </w:p>
    <w:p>
      <w:pPr>
        <w:spacing w:before="0" w:after="0"/>
        <w:jc w:val="both"/>
      </w:pPr>
      <w:r>
        <w:rPr>
          <w:sz w:val="28"/>
          <w:szCs w:val="28"/>
          <w:rFonts w:ascii="宋体" w:cs="宋体" w:eastAsia="宋体" w:hAnsi="宋体"/>
        </w:rPr>
        <w:t xml:space="preserve">本文件适用于公司各项目材料定额业务的执行。</w:t>
      </w:r>
    </w:p>
    <w:p>
      <w:pPr>
        <w:spacing w:before="0" w:after="0"/>
        <w:jc w:val="both"/>
      </w:pPr>
      <w:r>
        <w:rPr>
          <w:sz w:val="28"/>
          <w:szCs w:val="28"/>
          <w:rFonts w:ascii="宋体" w:cs="宋体" w:eastAsia="宋体" w:hAnsi="宋体"/>
        </w:rPr>
        <w:t xml:space="preserve">本文件依据GLC140509制定。</w:t>
      </w:r>
    </w:p>
    <w:p>
      <w:pPr>
        <w:spacing w:before="0" w:after="0" w:line="280" w:lineRule="exact"/>
      </w:pPr>
      <w:r>
        <w:rPr>
          <w:sz w:val="28"/>
          <w:szCs w:val="28"/>
          <w:rFonts w:ascii="宋体" w:cs="宋体" w:eastAsia="宋体" w:hAnsi="宋体"/>
        </w:rPr>
      </w:r>
    </w:p>
    <w:p>
      <w:pPr>
        <w:pStyle w:val="Heading4"/>
        <w:spacing w:before="0" w:after="0"/>
        <w:jc w:val="both"/>
      </w:pPr>
      <w:bookmarkStart w:name="_Toc3221" w:id="1"/>
      <w:r>
        <w:rPr>
          <w:b/>
          <w:bCs/>
          <w:sz w:val="28"/>
          <w:szCs w:val="28"/>
          <w:rFonts w:ascii="宋体" w:cs="宋体" w:eastAsia="宋体" w:hAnsi="宋体"/>
        </w:rPr>
        <w:t xml:space="preserve">2  规范性引用文件</w:t>
      </w:r>
      <w:bookmarkEnd w:id="1"/>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sz w:val="28"/>
          <w:szCs w:val="28"/>
          <w:rFonts w:ascii="宋体" w:cs="宋体" w:eastAsia="宋体" w:hAnsi="宋体"/>
        </w:rPr>
        <w:t xml:space="preserve">S-T2050-001通用材料规范替代关系</w:t>
      </w:r>
    </w:p>
    <w:p>
      <w:pPr>
        <w:spacing w:before="0" w:after="0" w:line="280" w:lineRule="exact"/>
      </w:pPr>
      <w:r>
        <w:rPr>
          <w:sz w:val="28"/>
          <w:szCs w:val="28"/>
          <w:rFonts w:ascii="宋体" w:cs="宋体" w:eastAsia="宋体" w:hAnsi="宋体"/>
        </w:rPr>
      </w:r>
    </w:p>
    <w:p>
      <w:pPr>
        <w:pStyle w:val="Heading4"/>
        <w:spacing w:before="0" w:after="0"/>
        <w:jc w:val="both"/>
      </w:pPr>
      <w:bookmarkStart w:name="_Toc85f9" w:id="1"/>
      <w:r>
        <w:rPr>
          <w:b/>
          <w:bCs/>
          <w:sz w:val="28"/>
          <w:szCs w:val="28"/>
          <w:rFonts w:ascii="宋体" w:cs="宋体" w:eastAsia="宋体" w:hAnsi="宋体"/>
        </w:rPr>
        <w:t xml:space="preserve">3  表格</w:t>
      </w:r>
      <w:bookmarkEnd w:id="1"/>
    </w:p>
    <w:p>
      <w:pPr>
        <w:spacing w:before="0" w:after="0" w:line="280" w:lineRule="exact"/>
      </w:pPr>
      <w:r>
        <w:rPr>
          <w:sz w:val="28"/>
          <w:szCs w:val="28"/>
          <w:rFonts w:ascii="宋体" w:cs="宋体" w:eastAsia="宋体" w:hAnsi="宋体"/>
        </w:rPr>
      </w:r>
    </w:p>
    <w:p>
      <w:pPr>
        <w:pStyle w:val="Heading5"/>
        <w:spacing w:before="0" w:after="0"/>
        <w:jc w:val="both"/>
      </w:pPr>
      <w:bookmarkStart w:name="_Toce6d0" w:id="1"/>
      <w:r>
        <w:rPr>
          <w:b/>
          <w:bCs/>
          <w:sz w:val="28"/>
          <w:szCs w:val="28"/>
          <w:rFonts w:ascii="宋体" w:cs="宋体" w:eastAsia="宋体" w:hAnsi="宋体"/>
        </w:rPr>
        <w:t xml:space="preserve">3.1规定表格</w:t>
      </w:r>
      <w:bookmarkEnd w:id="1"/>
    </w:p>
    <w:p>
      <w:pPr>
        <w:spacing w:before="0" w:after="0"/>
        <w:jc w:val="both"/>
      </w:pPr>
      <w:r>
        <w:rPr>
          <w:sz w:val="28"/>
          <w:szCs w:val="28"/>
          <w:rFonts w:ascii="宋体" w:cs="宋体" w:eastAsia="宋体" w:hAnsi="宋体"/>
        </w:rPr>
        <w:t xml:space="preserve">FM1405-113 材料定额申请单封面</w:t>
      </w:r>
    </w:p>
    <w:p>
      <w:pPr>
        <w:spacing w:before="0" w:after="0"/>
        <w:jc w:val="both"/>
      </w:pPr>
      <w:r>
        <w:rPr>
          <w:sz w:val="28"/>
          <w:szCs w:val="28"/>
          <w:rFonts w:ascii="宋体" w:cs="宋体" w:eastAsia="宋体" w:hAnsi="宋体"/>
        </w:rPr>
        <w:t xml:space="preserve">FM1405-114 材料定额更改单封面</w:t>
      </w:r>
    </w:p>
    <w:p>
      <w:pPr>
        <w:spacing w:before="0" w:after="0"/>
        <w:jc w:val="both"/>
      </w:pPr>
      <w:r>
        <w:rPr>
          <w:sz w:val="28"/>
          <w:szCs w:val="28"/>
          <w:rFonts w:ascii="宋体" w:cs="宋体" w:eastAsia="宋体" w:hAnsi="宋体"/>
        </w:rPr>
        <w:t xml:space="preserve">FM1405-115 机上材料定额申请/更改单</w:t>
      </w:r>
    </w:p>
    <w:p>
      <w:pPr>
        <w:spacing w:before="0" w:after="0"/>
        <w:jc w:val="both"/>
      </w:pPr>
      <w:r>
        <w:rPr>
          <w:sz w:val="28"/>
          <w:szCs w:val="28"/>
          <w:rFonts w:ascii="宋体" w:cs="宋体" w:eastAsia="宋体" w:hAnsi="宋体"/>
        </w:rPr>
        <w:t xml:space="preserve">FM1405-116 非上机材料定额申请/更改单</w:t>
      </w:r>
    </w:p>
    <w:p>
      <w:pPr>
        <w:spacing w:before="0" w:after="0"/>
        <w:jc w:val="both"/>
      </w:pPr>
      <w:r>
        <w:rPr>
          <w:sz w:val="28"/>
          <w:szCs w:val="28"/>
          <w:rFonts w:ascii="宋体" w:cs="宋体" w:eastAsia="宋体" w:hAnsi="宋体"/>
        </w:rPr>
        <w:t xml:space="preserve">FM1405-117 供应商定额问题反馈表</w:t>
      </w:r>
    </w:p>
    <w:p>
      <w:pPr>
        <w:spacing w:before="0" w:after="0"/>
        <w:jc w:val="both"/>
      </w:pPr>
      <w:r>
        <w:rPr>
          <w:sz w:val="28"/>
          <w:szCs w:val="28"/>
          <w:rFonts w:ascii="宋体" w:cs="宋体" w:eastAsia="宋体" w:hAnsi="宋体"/>
        </w:rPr>
        <w:t xml:space="preserve">FM1405-118 非ERP管理项目标准件定额申请/更改单</w:t>
      </w:r>
    </w:p>
    <w:p>
      <w:pPr>
        <w:spacing w:before="0" w:after="0"/>
        <w:jc w:val="both"/>
      </w:pPr>
      <w:r>
        <w:rPr>
          <w:sz w:val="28"/>
          <w:szCs w:val="28"/>
          <w:rFonts w:ascii="宋体" w:cs="宋体" w:eastAsia="宋体" w:hAnsi="宋体"/>
        </w:rPr>
        <w:t xml:space="preserve">FM1405-119 非ERP管理项目综合材料定额申请单</w:t>
      </w:r>
    </w:p>
    <w:p>
      <w:pPr>
        <w:spacing w:before="0" w:after="0"/>
        <w:jc w:val="both"/>
      </w:pPr>
      <w:r>
        <w:rPr>
          <w:sz w:val="28"/>
          <w:szCs w:val="28"/>
          <w:rFonts w:ascii="宋体" w:cs="宋体" w:eastAsia="宋体" w:hAnsi="宋体"/>
        </w:rPr>
        <w:t xml:space="preserve">FM1405-120 非ERP管理项目综合材料定额更改单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sz w:val="28"/>
          <w:szCs w:val="28"/>
          <w:rFonts w:ascii="宋体" w:cs="宋体" w:eastAsia="宋体" w:hAnsi="宋体"/>
        </w:rPr>
        <w:t xml:space="preserve">FM1405-121 物料领用、发料差异项反馈表</w:t>
      </w:r>
    </w:p>
    <w:p>
      <w:pPr>
        <w:spacing w:before="0" w:after="0" w:line="280" w:lineRule="exact"/>
      </w:pPr>
      <w:r>
        <w:rPr>
          <w:sz w:val="28"/>
          <w:szCs w:val="28"/>
          <w:rFonts w:ascii="宋体" w:cs="宋体" w:eastAsia="宋体" w:hAnsi="宋体"/>
        </w:rPr>
      </w:r>
    </w:p>
    <w:p>
      <w:pPr>
        <w:pStyle w:val="Heading5"/>
        <w:spacing w:before="0" w:after="0"/>
        <w:jc w:val="both"/>
      </w:pPr>
      <w:bookmarkStart w:name="_Tocbfb7" w:id="1"/>
      <w:r>
        <w:rPr>
          <w:b/>
          <w:bCs/>
          <w:sz w:val="28"/>
          <w:szCs w:val="28"/>
          <w:rFonts w:ascii="宋体" w:cs="宋体" w:eastAsia="宋体" w:hAnsi="宋体"/>
        </w:rPr>
        <w:t xml:space="preserve">3.2引用表格</w:t>
      </w:r>
      <w:bookmarkEnd w:id="1"/>
    </w:p>
    <w:p>
      <w:pPr>
        <w:spacing w:before="0" w:after="0"/>
        <w:jc w:val="both"/>
      </w:pPr>
      <w:r>
        <w:rPr>
          <w:sz w:val="28"/>
          <w:szCs w:val="28"/>
          <w:rFonts w:ascii="宋体" w:cs="宋体" w:eastAsia="宋体" w:hAnsi="宋体"/>
        </w:rPr>
        <w:t xml:space="preserve">FM1405-139 MBOM维护申请单</w:t>
      </w:r>
    </w:p>
    <w:p>
      <w:pPr>
        <w:spacing w:before="0" w:after="0" w:line="280" w:lineRule="exact"/>
      </w:pPr>
      <w:r>
        <w:rPr>
          <w:sz w:val="28"/>
          <w:szCs w:val="28"/>
          <w:rFonts w:ascii="宋体" w:cs="宋体" w:eastAsia="宋体" w:hAnsi="宋体"/>
        </w:rPr>
      </w:r>
    </w:p>
    <w:p>
      <w:pPr>
        <w:pStyle w:val="Heading4"/>
        <w:spacing w:before="0" w:after="0"/>
        <w:jc w:val="both"/>
      </w:pPr>
      <w:bookmarkStart w:name="_Toc84bd" w:id="1"/>
      <w:r>
        <w:rPr>
          <w:b/>
          <w:bCs/>
          <w:sz w:val="28"/>
          <w:szCs w:val="28"/>
          <w:rFonts w:ascii="宋体" w:cs="宋体" w:eastAsia="宋体" w:hAnsi="宋体"/>
        </w:rPr>
        <w:t xml:space="preserve">4  术语和定义</w:t>
      </w:r>
      <w:bookmarkEnd w:id="1"/>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GLC140509文件中界定的以及下列术语和定义适用于本文件。</w:t>
      </w:r>
    </w:p>
    <w:p>
      <w:pPr>
        <w:spacing w:before="0" w:after="0"/>
        <w:jc w:val="both"/>
      </w:pPr>
      <w:r>
        <w:rPr>
          <w:sz w:val="28"/>
          <w:szCs w:val="28"/>
          <w:rFonts w:ascii="宋体" w:cs="宋体" w:eastAsia="宋体" w:hAnsi="宋体"/>
        </w:rPr>
        <w:t xml:space="preserve">材料定额</w:t>
      </w:r>
    </w:p>
    <w:p>
      <w:pPr>
        <w:spacing w:before="0" w:after="0"/>
        <w:jc w:val="both"/>
      </w:pPr>
      <w:r>
        <w:rPr>
          <w:sz w:val="28"/>
          <w:szCs w:val="28"/>
          <w:rFonts w:ascii="宋体" w:cs="宋体" w:eastAsia="宋体" w:hAnsi="宋体"/>
        </w:rPr>
        <w:t xml:space="preserve">是指制造单位零件或单位产品，在工艺加工过程中所必须消耗的材料（金属、非金属、标准件及成品）数量。</w:t>
      </w:r>
    </w:p>
    <w:p>
      <w:pPr>
        <w:spacing w:before="0" w:after="0"/>
        <w:jc w:val="both"/>
      </w:pPr>
      <w:r>
        <w:rPr>
          <w:sz w:val="28"/>
          <w:szCs w:val="28"/>
          <w:rFonts w:ascii="宋体" w:cs="宋体" w:eastAsia="宋体" w:hAnsi="宋体"/>
        </w:rPr>
        <w:t xml:space="preserve">机上定额</w:t>
      </w:r>
    </w:p>
    <w:p>
      <w:pPr>
        <w:spacing w:before="0" w:after="0"/>
        <w:jc w:val="both"/>
      </w:pPr>
      <w:r>
        <w:rPr>
          <w:sz w:val="28"/>
          <w:szCs w:val="28"/>
          <w:rFonts w:ascii="宋体" w:cs="宋体" w:eastAsia="宋体" w:hAnsi="宋体"/>
        </w:rPr>
        <w:t xml:space="preserve">构成产品实体、组成产品重量、在工程图纸上有明确要求的材料为机上材料，此类材料的消耗数量称为机上定额。</w:t>
      </w:r>
    </w:p>
    <w:p>
      <w:pPr>
        <w:spacing w:before="0" w:after="0"/>
        <w:jc w:val="both"/>
      </w:pPr>
      <w:r>
        <w:rPr>
          <w:sz w:val="28"/>
          <w:szCs w:val="28"/>
          <w:rFonts w:ascii="宋体" w:cs="宋体" w:eastAsia="宋体" w:hAnsi="宋体"/>
        </w:rPr>
        <w:t xml:space="preserve">非机上定额</w:t>
      </w:r>
    </w:p>
    <w:p>
      <w:pPr>
        <w:spacing w:before="0" w:after="0"/>
        <w:jc w:val="both"/>
      </w:pPr>
      <w:r>
        <w:rPr>
          <w:sz w:val="28"/>
          <w:szCs w:val="28"/>
          <w:rFonts w:ascii="宋体" w:cs="宋体" w:eastAsia="宋体" w:hAnsi="宋体"/>
        </w:rPr>
        <w:t xml:space="preserve">为满足加工工艺要求，在生产过程中使用，直接或间接用于加工产品，但不随零部件装配在产品上的材料为非机上材料，此类材料的消耗数量称为非机上定额。</w:t>
      </w:r>
    </w:p>
    <w:p>
      <w:pPr>
        <w:spacing w:before="0" w:after="0"/>
        <w:jc w:val="both"/>
      </w:pPr>
      <w:r>
        <w:rPr>
          <w:sz w:val="28"/>
          <w:szCs w:val="28"/>
          <w:rFonts w:ascii="宋体" w:cs="宋体" w:eastAsia="宋体" w:hAnsi="宋体"/>
        </w:rPr>
        <w:t xml:space="preserve">临时定额</w:t>
      </w:r>
    </w:p>
    <w:p>
      <w:pPr>
        <w:spacing w:before="0" w:after="0"/>
        <w:jc w:val="both"/>
      </w:pPr>
      <w:r>
        <w:rPr>
          <w:sz w:val="28"/>
          <w:szCs w:val="28"/>
          <w:rFonts w:ascii="宋体" w:cs="宋体" w:eastAsia="宋体" w:hAnsi="宋体"/>
        </w:rPr>
        <w:t xml:space="preserve">用于申报无法或无需按批、架次上报,一次性使用的各类材料定额。包含可重复利用的预安装紧固件，零组件返修用的各类材料，不定期使用的培训、考试、课题研究用料及外厂服务等原因产生的额外消耗。</w:t>
      </w:r>
    </w:p>
    <w:p>
      <w:pPr>
        <w:spacing w:before="0" w:after="0" w:line="280" w:lineRule="exact"/>
      </w:pPr>
      <w:r>
        <w:rPr>
          <w:color w:val="1b324f"/>
          <w:sz w:val="28"/>
          <w:szCs w:val="28"/>
          <w:rFonts w:ascii="宋体" w:cs="宋体" w:eastAsia="宋体" w:hAnsi="宋体"/>
        </w:rPr>
      </w:r>
    </w:p>
    <w:p>
      <w:pPr>
        <w:pStyle w:val="Heading4"/>
        <w:spacing w:before="0" w:after="0"/>
        <w:jc w:val="both"/>
      </w:pPr>
      <w:bookmarkStart w:name="_Tocd3d8" w:id="1"/>
      <w:r>
        <w:rPr>
          <w:b/>
          <w:bCs/>
          <w:color w:val="1b324f"/>
          <w:sz w:val="28"/>
          <w:szCs w:val="28"/>
          <w:rFonts w:ascii="华文黑体" w:cs="华文黑体" w:eastAsia="华文黑体" w:hAnsi="华文黑体"/>
        </w:rPr>
        <w:t xml:space="preserve">5  规定</w:t>
      </w:r>
      <w:bookmarkEnd w:id="1"/>
    </w:p>
    <w:p>
      <w:pPr>
        <w:spacing w:before="0" w:after="0" w:line="280" w:lineRule="exact"/>
      </w:pPr>
      <w:r>
        <w:rPr>
          <w:color w:val="1b324f"/>
          <w:sz w:val="28"/>
          <w:szCs w:val="28"/>
          <w:rFonts w:ascii="宋体" w:cs="宋体" w:eastAsia="宋体" w:hAnsi="宋体"/>
        </w:rPr>
      </w:r>
    </w:p>
    <w:p>
      <w:pPr>
        <w:pStyle w:val="Heading5"/>
        <w:spacing w:before="0" w:after="0"/>
        <w:jc w:val="both"/>
      </w:pPr>
      <w:bookmarkStart w:name="_Tocf4a1" w:id="1"/>
      <w:r>
        <w:rPr>
          <w:b/>
          <w:bCs/>
          <w:sz w:val="28"/>
          <w:szCs w:val="28"/>
          <w:rFonts w:ascii="宋体" w:cs="宋体" w:eastAsia="宋体" w:hAnsi="宋体"/>
        </w:rPr>
        <w:t xml:space="preserve">5.1 材料定额的分类</w:t>
      </w:r>
      <w:bookmarkEnd w:id="1"/>
    </w:p>
    <w:p>
      <w:pPr>
        <w:spacing w:before="0" w:after="0"/>
        <w:jc w:val="both"/>
      </w:pPr>
      <w:r>
        <w:rPr>
          <w:sz w:val="28"/>
          <w:szCs w:val="28"/>
          <w:rFonts w:ascii="宋体" w:cs="宋体" w:eastAsia="宋体" w:hAnsi="宋体"/>
        </w:rPr>
        <w:t xml:space="preserve">据材料材质、实际用途，材料定额共分为9类：金属机上、金属非机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宋体" w:cs="宋体" w:eastAsia="宋体" w:hAnsi="宋体"/>
        </w:rPr>
        <w:t xml:space="preserve">上、非金属机上、非金属非机上、标准件机上、标准件非机上、临时机上、临时非机上、电缆机上，一般情况下各单位应按材料实际的材质和用途选择相应的定额类别。</w:t>
      </w:r>
    </w:p>
    <w:p>
      <w:pPr>
        <w:spacing w:before="0" w:after="0"/>
        <w:jc w:val="both"/>
      </w:pPr>
      <w:r>
        <w:rPr>
          <w:sz w:val="28"/>
          <w:szCs w:val="28"/>
          <w:rFonts w:ascii="宋体" w:cs="宋体" w:eastAsia="宋体" w:hAnsi="宋体"/>
        </w:rPr>
        <w:t xml:space="preserve">如各项目对应选材目录的分类与材料分类的主要原则相矛盾，按选材目录的划分进行分类。另外阿洛丁类产品如阿洛丁粉、阿洛丁溶液、阿洛丁笔等，统一按非金属非机上材料管理，复材随炉件制造所用主要材料统一按非金属机上材料管理</w:t>
      </w:r>
    </w:p>
    <w:p>
      <w:pPr>
        <w:pStyle w:val="Heading5"/>
        <w:spacing w:before="0" w:after="0"/>
        <w:jc w:val="both"/>
      </w:pPr>
      <w:bookmarkStart w:name="_Toc06ca" w:id="1"/>
      <w:r>
        <w:rPr>
          <w:b/>
          <w:bCs/>
          <w:sz w:val="28"/>
          <w:szCs w:val="28"/>
          <w:rFonts w:ascii="宋体" w:cs="宋体" w:eastAsia="宋体" w:hAnsi="宋体"/>
        </w:rPr>
        <w:t xml:space="preserve">5.2材料定额的编制依据</w:t>
      </w:r>
      <w:bookmarkEnd w:id="1"/>
    </w:p>
    <w:p>
      <w:pPr>
        <w:spacing w:before="0" w:after="0"/>
        <w:jc w:val="both"/>
      </w:pPr>
      <w:r>
        <w:rPr>
          <w:sz w:val="28"/>
          <w:szCs w:val="28"/>
          <w:rFonts w:ascii="宋体" w:cs="宋体" w:eastAsia="宋体" w:hAnsi="宋体"/>
        </w:rPr>
        <w:t xml:space="preserve">产品图样；数模；设计材料目录；工艺辅助材料目录；分工指令；技术文件；材料定额管理程序；材料定额企业标准；材料规范替代关系文件；产品工艺规程；材料规范及技术条件；原材料实际消耗；产品的批量；外购器材反馈表等。</w:t>
      </w:r>
    </w:p>
    <w:p>
      <w:pPr>
        <w:pStyle w:val="Heading5"/>
        <w:spacing w:before="0" w:after="0"/>
        <w:jc w:val="both"/>
      </w:pPr>
      <w:bookmarkStart w:name="_Toc8a19" w:id="1"/>
      <w:r>
        <w:rPr>
          <w:b/>
          <w:bCs/>
          <w:sz w:val="28"/>
          <w:szCs w:val="28"/>
          <w:rFonts w:ascii="宋体" w:cs="宋体" w:eastAsia="宋体" w:hAnsi="宋体"/>
        </w:rPr>
        <w:t xml:space="preserve">5.3材料定额表格使用</w:t>
      </w:r>
      <w:bookmarkEnd w:id="1"/>
    </w:p>
    <w:p>
      <w:pPr>
        <w:spacing w:before="0" w:after="0"/>
        <w:jc w:val="both"/>
      </w:pPr>
      <w:r>
        <w:rPr>
          <w:sz w:val="28"/>
          <w:szCs w:val="28"/>
          <w:rFonts w:ascii="宋体" w:cs="宋体" w:eastAsia="宋体" w:hAnsi="宋体"/>
        </w:rPr>
        <w:t xml:space="preserve">5.3.1 FM1405-113 MBOM维护申请单，用于装配厂上报批产标准件定额</w:t>
      </w:r>
    </w:p>
    <w:p>
      <w:pPr>
        <w:spacing w:before="0" w:after="0"/>
        <w:jc w:val="both"/>
      </w:pPr>
      <w:r>
        <w:rPr>
          <w:sz w:val="28"/>
          <w:szCs w:val="28"/>
          <w:rFonts w:ascii="宋体" w:cs="宋体" w:eastAsia="宋体" w:hAnsi="宋体"/>
        </w:rPr>
        <w:t xml:space="preserve">5.3.2 FM1405-113 材料定额申请单封面，用于上报各类材料定额申请单</w:t>
      </w:r>
    </w:p>
    <w:p>
      <w:pPr>
        <w:spacing w:before="0" w:after="0"/>
        <w:jc w:val="both"/>
      </w:pPr>
      <w:r>
        <w:rPr>
          <w:sz w:val="28"/>
          <w:szCs w:val="28"/>
          <w:rFonts w:ascii="宋体" w:cs="宋体" w:eastAsia="宋体" w:hAnsi="宋体"/>
        </w:rPr>
        <w:t xml:space="preserve">5.3.3 FM1405-114 材料定额更改单封面，用于上报各类材料定额更改单</w:t>
      </w:r>
    </w:p>
    <w:p>
      <w:pPr>
        <w:spacing w:before="0" w:after="0"/>
        <w:jc w:val="both"/>
      </w:pPr>
      <w:r>
        <w:rPr>
          <w:sz w:val="28"/>
          <w:szCs w:val="28"/>
          <w:rFonts w:ascii="宋体" w:cs="宋体" w:eastAsia="宋体" w:hAnsi="宋体"/>
        </w:rPr>
        <w:t xml:space="preserve">5.3.4 FM1405-115 机上材料定额申请/更改单，用于上报除装配厂批产标准件以外的各类机上材料定额申请单/更改单</w:t>
      </w:r>
    </w:p>
    <w:p>
      <w:pPr>
        <w:spacing w:before="0" w:after="0"/>
        <w:jc w:val="both"/>
      </w:pPr>
      <w:r>
        <w:rPr>
          <w:sz w:val="28"/>
          <w:szCs w:val="28"/>
          <w:rFonts w:ascii="宋体" w:cs="宋体" w:eastAsia="宋体" w:hAnsi="宋体"/>
        </w:rPr>
        <w:t xml:space="preserve">5.3.5 FM1405-116 非上机材料定额申请/更改单，用于上报全部种类的非上机材料定额/更改单。</w:t>
      </w:r>
    </w:p>
    <w:p>
      <w:pPr>
        <w:spacing w:before="0" w:after="0"/>
        <w:jc w:val="both"/>
      </w:pPr>
      <w:r>
        <w:rPr>
          <w:sz w:val="28"/>
          <w:szCs w:val="28"/>
          <w:rFonts w:ascii="宋体" w:cs="宋体" w:eastAsia="宋体" w:hAnsi="宋体"/>
        </w:rPr>
        <w:t xml:space="preserve">5.3.6 FM1405-117 供应商定额问题反馈表，用于供应商材料定额问题的反馈与审签</w:t>
      </w:r>
    </w:p>
    <w:p>
      <w:pPr>
        <w:spacing w:before="0" w:after="0"/>
        <w:jc w:val="both"/>
      </w:pPr>
      <w:r>
        <w:rPr>
          <w:sz w:val="28"/>
          <w:szCs w:val="28"/>
          <w:rFonts w:ascii="宋体" w:cs="宋体" w:eastAsia="宋体" w:hAnsi="宋体"/>
        </w:rPr>
        <w:t xml:space="preserve">5.3.6 FM1405-118 非ERP管理项目标准件定额申请/更改单，用于上报非ERP管理项目的各类标准件定额/更改单</w:t>
      </w:r>
    </w:p>
    <w:p>
      <w:pPr>
        <w:spacing w:before="0" w:after="0"/>
        <w:jc w:val="both"/>
      </w:pPr>
      <w:r>
        <w:rPr>
          <w:sz w:val="28"/>
          <w:szCs w:val="28"/>
          <w:rFonts w:ascii="宋体" w:cs="宋体" w:eastAsia="宋体" w:hAnsi="宋体"/>
        </w:rPr>
        <w:t xml:space="preserve">5.3.7 FM1405-119 非ERP管理项目综合材料定额申请单，用于上报非</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sz w:val="28"/>
          <w:szCs w:val="28"/>
          <w:rFonts w:ascii="宋体" w:cs="宋体" w:eastAsia="宋体" w:hAnsi="宋体"/>
        </w:rPr>
        <w:t xml:space="preserve">ERP管理项目的各类金属、非金属材料综合定额</w:t>
      </w:r>
    </w:p>
    <w:p>
      <w:pPr>
        <w:spacing w:before="0" w:after="0"/>
        <w:jc w:val="both"/>
      </w:pPr>
      <w:r>
        <w:rPr>
          <w:sz w:val="28"/>
          <w:szCs w:val="28"/>
          <w:rFonts w:ascii="宋体" w:cs="宋体" w:eastAsia="宋体" w:hAnsi="宋体"/>
        </w:rPr>
        <w:t xml:space="preserve">5.3.8 FM1405-120 非ERP管理项目综合材料定额更改单，用于上报非ERP管理项目的各类金属、非金属材料综合定额更改单</w:t>
      </w:r>
    </w:p>
    <w:p>
      <w:pPr>
        <w:spacing w:before="0" w:after="0"/>
        <w:jc w:val="both"/>
      </w:pPr>
      <w:r>
        <w:rPr>
          <w:sz w:val="28"/>
          <w:szCs w:val="28"/>
          <w:rFonts w:ascii="宋体" w:cs="宋体" w:eastAsia="宋体" w:hAnsi="宋体"/>
        </w:rPr>
        <w:t xml:space="preserve">5.3.9 FM1405-121 物料领用、发料差异项反馈表,用于反馈物料领用、发料差异。</w:t>
      </w:r>
    </w:p>
    <w:p>
      <w:pPr>
        <w:spacing w:before="0" w:after="0"/>
        <w:jc w:val="both"/>
      </w:pPr>
      <w:r>
        <w:rPr>
          <w:sz w:val="28"/>
          <w:szCs w:val="28"/>
          <w:rFonts w:ascii="宋体" w:cs="宋体" w:eastAsia="宋体" w:hAnsi="宋体"/>
        </w:rPr>
        <w:t xml:space="preserve">5.3.10原则上批产材料定额文件首次以材料定额申请单的形式发出，后续的更改以材料定额更改单的形式下发，以下情况,材料定额申请单应进行升版。</w:t>
      </w:r>
    </w:p>
    <w:p>
      <w:pPr>
        <w:spacing w:before="0" w:after="0"/>
        <w:jc w:val="both"/>
      </w:pPr>
      <w:r>
        <w:rPr>
          <w:sz w:val="28"/>
          <w:szCs w:val="28"/>
          <w:rFonts w:ascii="宋体" w:cs="宋体" w:eastAsia="宋体" w:hAnsi="宋体"/>
        </w:rPr>
        <w:t xml:space="preserve">1)当出现大量更改，即更改项数超过文件的50%时，材料定额申请单可直接升版</w:t>
      </w:r>
    </w:p>
    <w:p>
      <w:pPr>
        <w:spacing w:before="0" w:after="0"/>
        <w:jc w:val="both"/>
      </w:pPr>
      <w:r>
        <w:rPr>
          <w:sz w:val="28"/>
          <w:szCs w:val="28"/>
          <w:rFonts w:ascii="宋体" w:cs="宋体" w:eastAsia="宋体" w:hAnsi="宋体"/>
        </w:rPr>
        <w:t xml:space="preserve">2)对任意材料定额申请单，其更改单数量达到9个，必须对材料定额申请单进行升版，不允许下发-010号以及后的更改单。</w:t>
      </w:r>
    </w:p>
    <w:p>
      <w:pPr>
        <w:spacing w:before="0" w:after="0"/>
        <w:jc w:val="both"/>
      </w:pPr>
      <w:r>
        <w:rPr>
          <w:sz w:val="28"/>
          <w:szCs w:val="28"/>
          <w:rFonts w:ascii="宋体" w:cs="宋体" w:eastAsia="宋体" w:hAnsi="宋体"/>
        </w:rPr>
        <w:t xml:space="preserve">3)批产材料定额申请单，每年至少进行一次升版。</w:t>
      </w:r>
    </w:p>
    <w:p>
      <w:pPr>
        <w:spacing w:before="0" w:after="0"/>
        <w:jc w:val="both"/>
      </w:pPr>
      <w:r>
        <w:rPr>
          <w:sz w:val="28"/>
          <w:szCs w:val="28"/>
          <w:rFonts w:ascii="宋体" w:cs="宋体" w:eastAsia="宋体" w:hAnsi="宋体"/>
        </w:rPr>
        <w:t xml:space="preserve">非多份文件合并，单个文件拆分等特殊因素，材料定额申请单不允许更改编号，只能升版。</w:t>
      </w:r>
    </w:p>
    <w:p>
      <w:pPr>
        <w:spacing w:before="0" w:after="0"/>
        <w:jc w:val="both"/>
      </w:pPr>
      <w:r>
        <w:rPr>
          <w:sz w:val="28"/>
          <w:szCs w:val="28"/>
          <w:rFonts w:ascii="宋体" w:cs="宋体" w:eastAsia="宋体" w:hAnsi="宋体"/>
        </w:rPr>
        <w:t xml:space="preserve">临时定额如可以确定具体的使用架次区间，需要在定额封面中写明。如无法确定架次区间，执行架次写“一次性有效”。临时定额需在发放说明中写明材料需求时间。如无时间要求，需在发放说明中标明“发料时间参考可实现的到货时间”。临时定额文件的更改不允许下发更改单，只能升版。</w:t>
      </w:r>
    </w:p>
    <w:p>
      <w:pPr>
        <w:pStyle w:val="Heading5"/>
        <w:spacing w:before="0" w:after="0"/>
        <w:jc w:val="both"/>
      </w:pPr>
      <w:bookmarkStart w:name="_Toc09a1" w:id="1"/>
      <w:r>
        <w:rPr>
          <w:b/>
          <w:bCs/>
          <w:sz w:val="28"/>
          <w:szCs w:val="28"/>
          <w:rFonts w:ascii="宋体" w:cs="宋体" w:eastAsia="宋体" w:hAnsi="宋体"/>
        </w:rPr>
        <w:t xml:space="preserve">5.4材料定额填报要求</w:t>
      </w:r>
      <w:bookmarkEnd w:id="1"/>
    </w:p>
    <w:p>
      <w:pPr>
        <w:pStyle w:val="Heading6"/>
        <w:spacing w:before="0" w:after="0"/>
        <w:jc w:val="both"/>
      </w:pPr>
      <w:bookmarkStart w:name="_Toc9b34" w:id="1"/>
      <w:r>
        <w:rPr>
          <w:b/>
          <w:bCs/>
          <w:sz w:val="24"/>
          <w:szCs w:val="24"/>
          <w:rFonts w:ascii="宋体" w:cs="宋体" w:eastAsia="宋体" w:hAnsi="宋体"/>
        </w:rPr>
        <w:t xml:space="preserve">5.4.1材料定额申请单/更改单的标题</w:t>
      </w:r>
      <w:bookmarkEnd w:id="1"/>
    </w:p>
    <w:p>
      <w:pPr>
        <w:spacing w:before="0" w:after="0"/>
        <w:jc w:val="both"/>
      </w:pPr>
      <w:r>
        <w:rPr>
          <w:sz w:val="28"/>
          <w:szCs w:val="28"/>
          <w:rFonts w:ascii="宋体" w:cs="宋体" w:eastAsia="宋体" w:hAnsi="宋体"/>
        </w:rPr>
        <w:t xml:space="preserve">材料定额申请单的标题格式为：项目工作包+材料种类+材料用途+“材料定额申请单/更改单”，如：C919项目非金属非机上材料定额申请单/更改单。</w:t>
      </w:r>
    </w:p>
    <w:p>
      <w:pPr>
        <w:pStyle w:val="Heading6"/>
        <w:spacing w:before="0" w:after="0"/>
        <w:jc w:val="both"/>
      </w:pPr>
      <w:bookmarkStart w:name="_Tocd902" w:id="1"/>
      <w:r>
        <w:rPr>
          <w:b/>
          <w:bCs/>
          <w:sz w:val="24"/>
          <w:szCs w:val="24"/>
          <w:rFonts w:ascii="宋体" w:cs="宋体" w:eastAsia="宋体" w:hAnsi="宋体"/>
        </w:rPr>
        <w:t xml:space="preserve">5.4.2材料定额申请单/更改单发放说明</w:t>
      </w:r>
      <w:bookmarkEnd w:id="1"/>
    </w:p>
    <w:p>
      <w:pPr>
        <w:spacing w:before="0" w:after="0"/>
        <w:jc w:val="both"/>
      </w:pPr>
      <w:r>
        <w:rPr>
          <w:sz w:val="28"/>
          <w:szCs w:val="28"/>
          <w:rFonts w:ascii="宋体" w:cs="宋体" w:eastAsia="宋体" w:hAnsi="宋体"/>
        </w:rPr>
        <w:t xml:space="preserve">材料定额申请单的发放说明应包含但不限于，材料定额发出的文件编</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sz w:val="28"/>
          <w:szCs w:val="28"/>
          <w:rFonts w:ascii="宋体" w:cs="宋体" w:eastAsia="宋体" w:hAnsi="宋体"/>
        </w:rPr>
        <w:t xml:space="preserve">号、版次，材料定额所包含的主要内容，执行架份、新旧版文件替代关系，文件的提出依据，文件升版的更改描述，其他要说明的问题等。</w:t>
      </w:r>
    </w:p>
    <w:p>
      <w:pPr>
        <w:spacing w:before="0" w:after="0"/>
        <w:jc w:val="both"/>
      </w:pPr>
      <w:r>
        <w:rPr>
          <w:sz w:val="28"/>
          <w:szCs w:val="28"/>
          <w:rFonts w:ascii="宋体" w:cs="宋体" w:eastAsia="宋体" w:hAnsi="宋体"/>
        </w:rPr>
        <w:t xml:space="preserve">主要格式如下：</w:t>
      </w:r>
    </w:p>
    <w:p>
      <w:pPr>
        <w:spacing w:before="0" w:after="0"/>
        <w:jc w:val="both"/>
      </w:pPr>
      <w:r>
        <w:rPr>
          <w:sz w:val="28"/>
          <w:szCs w:val="28"/>
          <w:rFonts w:ascii="宋体" w:cs="宋体" w:eastAsia="宋体" w:hAnsi="宋体"/>
        </w:rPr>
        <w:t xml:space="preserve">a.发出xxx(按文件标题填写)，x版文件/对xxx（概括更改单主要内容）进行修改。</w:t>
      </w:r>
    </w:p>
    <w:p>
      <w:pPr>
        <w:spacing w:before="0" w:after="0"/>
        <w:jc w:val="both"/>
      </w:pPr>
      <w:r>
        <w:rPr>
          <w:sz w:val="28"/>
          <w:szCs w:val="28"/>
          <w:rFonts w:ascii="宋体" w:cs="宋体" w:eastAsia="宋体" w:hAnsi="宋体"/>
        </w:rPr>
        <w:t xml:space="preserve">c.本文件自SACCxxxxx架起生效（代替x版文件及其全部更改单）。</w:t>
      </w:r>
    </w:p>
    <w:p>
      <w:pPr>
        <w:spacing w:before="0" w:after="0"/>
        <w:jc w:val="both"/>
      </w:pPr>
      <w:r>
        <w:rPr>
          <w:sz w:val="28"/>
          <w:szCs w:val="28"/>
          <w:rFonts w:ascii="宋体" w:cs="宋体" w:eastAsia="宋体" w:hAnsi="宋体"/>
        </w:rPr>
        <w:t xml:space="preserve">d.本文件是根据xxx（xxx分工指令、图纸、数模、等依据）编制而成。</w:t>
      </w:r>
    </w:p>
    <w:p>
      <w:pPr>
        <w:spacing w:before="0" w:after="0"/>
        <w:jc w:val="both"/>
      </w:pPr>
      <w:r>
        <w:rPr>
          <w:sz w:val="28"/>
          <w:szCs w:val="28"/>
          <w:rFonts w:ascii="宋体" w:cs="宋体" w:eastAsia="宋体" w:hAnsi="宋体"/>
        </w:rPr>
        <w:t xml:space="preserve">e. 本文件较上一版文件更改了xxx（如为文件升版，概括升版描述）。</w:t>
      </w:r>
    </w:p>
    <w:p>
      <w:pPr>
        <w:spacing w:before="0" w:after="0"/>
        <w:jc w:val="both"/>
      </w:pPr>
      <w:r>
        <w:rPr>
          <w:sz w:val="28"/>
          <w:szCs w:val="28"/>
          <w:rFonts w:ascii="宋体" w:cs="宋体" w:eastAsia="宋体" w:hAnsi="宋体"/>
        </w:rPr>
        <w:t xml:space="preserve">f.其他要说明的问题。</w:t>
      </w:r>
    </w:p>
    <w:p>
      <w:pPr>
        <w:pStyle w:val="Heading6"/>
        <w:spacing w:before="0" w:after="0"/>
        <w:jc w:val="both"/>
      </w:pPr>
      <w:bookmarkStart w:name="_Toce1cd" w:id="1"/>
      <w:r>
        <w:rPr>
          <w:b/>
          <w:bCs/>
          <w:sz w:val="24"/>
          <w:szCs w:val="24"/>
          <w:rFonts w:ascii="宋体" w:cs="宋体" w:eastAsia="宋体" w:hAnsi="宋体"/>
        </w:rPr>
        <w:t xml:space="preserve">5.4.3材料定额流程附件</w:t>
      </w:r>
      <w:bookmarkEnd w:id="1"/>
    </w:p>
    <w:p>
      <w:pPr>
        <w:spacing w:before="0" w:after="0"/>
        <w:jc w:val="both"/>
      </w:pPr>
      <w:r>
        <w:rPr>
          <w:sz w:val="28"/>
          <w:szCs w:val="28"/>
          <w:rFonts w:ascii="宋体" w:cs="宋体" w:eastAsia="宋体" w:hAnsi="宋体"/>
        </w:rPr>
        <w:t xml:space="preserve">5.4.3.1材料定额申请单应上传的附件应包含：</w:t>
      </w:r>
    </w:p>
    <w:p>
      <w:pPr>
        <w:spacing w:before="0" w:after="0"/>
        <w:jc w:val="both"/>
      </w:pPr>
      <w:r>
        <w:rPr>
          <w:sz w:val="28"/>
          <w:szCs w:val="28"/>
          <w:rFonts w:ascii="宋体" w:cs="宋体" w:eastAsia="宋体" w:hAnsi="宋体"/>
        </w:rPr>
        <w:t xml:space="preserve">a.材料定额申请单正文</w:t>
      </w:r>
    </w:p>
    <w:p>
      <w:pPr>
        <w:spacing w:before="0" w:after="0"/>
        <w:jc w:val="both"/>
      </w:pPr>
      <w:r>
        <w:rPr>
          <w:sz w:val="28"/>
          <w:szCs w:val="28"/>
          <w:rFonts w:ascii="宋体" w:cs="宋体" w:eastAsia="宋体" w:hAnsi="宋体"/>
        </w:rPr>
        <w:t xml:space="preserve">b.定额上报依据:主要指公司内部未正式分发的文件依据，如材料定额计  算过程、说明、简图等；公司已分发的正式文件依据，如分工指令、新旧材料规范替代目录、工艺指示单等，必须在发放说明中写明文件编号、版次，则无需上传附件。</w:t>
      </w:r>
    </w:p>
    <w:p>
      <w:pPr>
        <w:spacing w:before="0" w:after="0"/>
        <w:jc w:val="both"/>
      </w:pPr>
      <w:r>
        <w:rPr>
          <w:sz w:val="28"/>
          <w:szCs w:val="28"/>
          <w:rFonts w:ascii="宋体" w:cs="宋体" w:eastAsia="宋体" w:hAnsi="宋体"/>
        </w:rPr>
        <w:t xml:space="preserve">5.4.3.2材料定额更改单应上传的附件应包含：</w:t>
      </w:r>
    </w:p>
    <w:p>
      <w:pPr>
        <w:spacing w:before="0" w:after="0"/>
        <w:jc w:val="both"/>
      </w:pPr>
      <w:r>
        <w:rPr>
          <w:sz w:val="28"/>
          <w:szCs w:val="28"/>
          <w:rFonts w:ascii="宋体" w:cs="宋体" w:eastAsia="宋体" w:hAnsi="宋体"/>
        </w:rPr>
        <w:t xml:space="preserve">a.材料定额更改单正文</w:t>
      </w:r>
    </w:p>
    <w:p>
      <w:pPr>
        <w:spacing w:before="0" w:after="0"/>
        <w:jc w:val="both"/>
      </w:pPr>
      <w:r>
        <w:rPr>
          <w:sz w:val="28"/>
          <w:szCs w:val="28"/>
          <w:rFonts w:ascii="宋体" w:cs="宋体" w:eastAsia="宋体" w:hAnsi="宋体"/>
        </w:rPr>
        <w:t xml:space="preserve">b.已贯彻完全部更改的材料定额申请单主文件</w:t>
      </w:r>
    </w:p>
    <w:p>
      <w:pPr>
        <w:spacing w:before="0" w:after="0"/>
        <w:jc w:val="both"/>
      </w:pPr>
      <w:r>
        <w:rPr>
          <w:sz w:val="28"/>
          <w:szCs w:val="28"/>
          <w:rFonts w:ascii="宋体" w:cs="宋体" w:eastAsia="宋体" w:hAnsi="宋体"/>
        </w:rPr>
        <w:t xml:space="preserve">c. 定额上报依据:主要指公司内部未正式分发的文件依据，如材料定额计算过程、说明、简图等；公司已分发的正式文件依据，如分工指令、新旧材料规范替代目录、工艺指示单等，必须在发放说明中写明文件编号、版次，则无需上传附件。</w:t>
      </w:r>
    </w:p>
    <w:p>
      <w:pPr>
        <w:pStyle w:val="Heading6"/>
        <w:spacing w:before="0" w:after="0"/>
        <w:jc w:val="both"/>
      </w:pPr>
      <w:bookmarkStart w:name="_Toc8b79" w:id="1"/>
      <w:r>
        <w:rPr>
          <w:b/>
          <w:bCs/>
          <w:sz w:val="24"/>
          <w:szCs w:val="24"/>
          <w:rFonts w:ascii="宋体" w:cs="宋体" w:eastAsia="宋体" w:hAnsi="宋体"/>
        </w:rPr>
        <w:t xml:space="preserve">5.4.4材料定额表格填写</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sz w:val="28"/>
          <w:szCs w:val="28"/>
          <w:rFonts w:ascii="宋体" w:cs="宋体" w:eastAsia="宋体" w:hAnsi="宋体"/>
        </w:rPr>
        <w:t xml:space="preserve">5.4.4.1材料的名称、规格、定额计量单位书写要规范，金属材料名称、规格、单位的标准写法祥见表1，非金属材料标准单位详见表2。</w:t>
      </w:r>
    </w:p>
    <w:p>
      <w:pPr>
        <w:spacing w:before="0" w:after="0"/>
        <w:jc w:val="both"/>
      </w:pPr>
      <w:r>
        <w:rPr>
          <w:sz w:val="28"/>
          <w:szCs w:val="28"/>
          <w:rFonts w:ascii="宋体" w:cs="宋体" w:eastAsia="宋体" w:hAnsi="宋体"/>
        </w:rPr>
        <w:t xml:space="preserve">表 1 金属材料标准名称、规格、单位表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80"/>
        <w:gridCol w:w="1380"/>
        <w:gridCol w:w="1380"/>
        <w:gridCol w:w="1380"/>
        <w:gridCol w:w="1380"/>
        <w:gridCol w:w="1380"/>
      </w:tblGrid>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材料形状</w:t>
            </w:r>
          </w:p>
        </w:tc>
        <w:tc>
          <w:tcPr>
            <w:tcW w:type="dxa" w:w="1380"/>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标准名称</w:t>
            </w:r>
          </w:p>
        </w:tc>
        <w:tc>
          <w:tcPr>
            <w:tcW w:type="dxa" w:w="1380"/>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名称举例</w:t>
            </w:r>
          </w:p>
        </w:tc>
        <w:tc>
          <w:tcPr>
            <w:tcW w:type="dxa" w:w="1380"/>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标准规格</w:t>
            </w:r>
          </w:p>
        </w:tc>
        <w:tc>
          <w:tcPr>
            <w:tcW w:type="dxa" w:w="1380"/>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规格举例</w:t>
            </w:r>
          </w:p>
        </w:tc>
        <w:tc>
          <w:tcPr>
            <w:tcW w:type="dxa" w:w="1380"/>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定额单位</w:t>
            </w:r>
          </w:p>
        </w:tc>
      </w:tr>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板材</w:t>
            </w:r>
          </w:p>
        </w:tc>
        <w:tc>
          <w:tcPr>
            <w:tcW w:type="dxa" w:w="1380"/>
            <w:gridSpan w:val="1"/>
            <w:vMerge w:val="restart"/>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材质+形状</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钛厚板</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δ厚度</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δ1</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M</w:t>
            </w:r>
            <w:r>
              <w:rPr>
                <w:color w:val="000000"/>
                <w:sz w:val="18"/>
                <w:szCs w:val="18"/>
                <w:rFonts w:ascii="宋体" w:cs="宋体" w:eastAsia="宋体" w:hAnsi="宋体"/>
              </w:rPr>
              <w:t xml:space="preserve">2</w:t>
            </w:r>
          </w:p>
        </w:tc>
      </w:tr>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圆棒</w:t>
            </w:r>
          </w:p>
        </w:tc>
        <w:tc>
          <w:tcPr>
            <w:gridSpan w:val="1"/>
            <w:vMerge w:val="continue"/>
          </w:tcP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钢圆棒</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Φ直径</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Φ2</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M</w:t>
            </w:r>
          </w:p>
        </w:tc>
      </w:tr>
      <w:tr>
        <w:trPr>
          <w:tblHeader w:val="false"/>
          <w:trHeight w:val="1035" w:hRule="atLeast"/>
        </w:trPr>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方棒</w:t>
            </w:r>
          </w:p>
        </w:tc>
        <w:tc>
          <w:tcPr>
            <w:gridSpan w:val="1"/>
            <w:vMerge w:val="continue"/>
          </w:tcP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铝方棒</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截面长X截面宽</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3.25X1.75</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M</w:t>
            </w:r>
          </w:p>
        </w:tc>
      </w:tr>
      <w:tr>
        <w:trPr>
          <w:tblHeader w:val="false"/>
          <w:trHeight w:val="975" w:hRule="atLeast"/>
        </w:trPr>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型材</w:t>
            </w:r>
          </w:p>
        </w:tc>
        <w:tc>
          <w:tcPr>
            <w:gridSpan w:val="1"/>
            <w:vMerge w:val="continue"/>
          </w:tcP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铝型材</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型材牌号</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BAC1503-100560</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M</w:t>
            </w:r>
          </w:p>
        </w:tc>
      </w:tr>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管材</w:t>
            </w:r>
          </w:p>
        </w:tc>
        <w:tc>
          <w:tcPr>
            <w:gridSpan w:val="1"/>
            <w:vMerge w:val="continue"/>
          </w:tcP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铜圆管</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G外径X壁厚</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G0.5X0.062</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M</w:t>
            </w:r>
          </w:p>
        </w:tc>
      </w:tr>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丝材</w:t>
            </w:r>
          </w:p>
        </w:tc>
        <w:tc>
          <w:tcPr>
            <w:gridSpan w:val="1"/>
            <w:vMerge w:val="continue"/>
          </w:tcP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钢焊丝</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d直径</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d1.6mm(注1)</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M</w:t>
            </w:r>
          </w:p>
        </w:tc>
      </w:tr>
      <w:tr>
        <w:trPr>
          <w:tblHeader w:val="false"/>
          <w:trHeight w:val="975" w:hRule="atLeast"/>
        </w:trPr>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锻件</w:t>
            </w:r>
          </w:p>
        </w:tc>
        <w:tc>
          <w:tcPr>
            <w:gridSpan w:val="1"/>
            <w:vMerge w:val="continue"/>
          </w:tcP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钛锻件</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锻件图号</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5387C60002G80</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EA</w:t>
            </w:r>
          </w:p>
        </w:tc>
      </w:tr>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铸件</w:t>
            </w:r>
          </w:p>
        </w:tc>
        <w:tc>
          <w:tcPr>
            <w:gridSpan w:val="1"/>
            <w:vMerge w:val="continue"/>
          </w:tcP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钢铸件</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铸件图号</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181A8039-4</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EA</w:t>
            </w:r>
          </w:p>
        </w:tc>
      </w:tr>
      <w:tr>
        <w:trPr>
          <w:tblHeader w:val="false"/>
          <w:trHeight w:val="1035" w:hRule="atLeast"/>
        </w:trPr>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成品试片</w:t>
            </w:r>
          </w:p>
        </w:tc>
        <w:tc>
          <w:tcPr>
            <w:gridSpan w:val="1"/>
            <w:vMerge w:val="continue"/>
          </w:tcP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铝试片</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长X宽X厚</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100X100X0.8mm(注1)</w:t>
            </w:r>
          </w:p>
        </w:tc>
        <w:tc>
          <w:tcPr>
            <w:tcW w:type="dxa" w:w="13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EA</w:t>
            </w:r>
          </w:p>
        </w:tc>
      </w:tr>
    </w:tbl>
    <w:p>
      <w:pPr>
        <w:spacing w:before="0" w:after="0"/>
        <w:jc w:val="both"/>
      </w:pPr>
      <w:r>
        <w:rPr>
          <w:sz w:val="24"/>
          <w:szCs w:val="24"/>
          <w:rFonts w:ascii="黑体" w:cs="黑体" w:eastAsia="黑体" w:hAnsi="黑体"/>
        </w:rPr>
        <w:t xml:space="preserve">注1规格的计量单位如为英制则不填，如为公制必须写明mm。</w:t>
      </w:r>
    </w:p>
    <w:p>
      <w:pPr>
        <w:spacing w:before="0" w:after="0"/>
        <w:jc w:val="both"/>
      </w:pPr>
      <w:r>
        <w:rPr>
          <w:sz w:val="28"/>
          <w:szCs w:val="28"/>
          <w:rFonts w:ascii="宋体" w:cs="宋体" w:eastAsia="宋体" w:hAnsi="宋体"/>
        </w:rPr>
        <w:t xml:space="preserve">表 2 非金属材料标准单位表</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85"/>
        <w:gridCol w:w="1185"/>
        <w:gridCol w:w="1185"/>
        <w:gridCol w:w="1185"/>
        <w:gridCol w:w="1185"/>
        <w:gridCol w:w="1185"/>
        <w:gridCol w:w="1185"/>
      </w:tblGrid>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序号</w:t>
            </w:r>
          </w:p>
        </w:tc>
        <w:tc>
          <w:tcPr>
            <w:tcW w:type="dxa" w:w="1185"/>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材料形态</w:t>
            </w:r>
          </w:p>
        </w:tc>
        <w:tc>
          <w:tcPr>
            <w:tcW w:type="dxa" w:w="1185"/>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材料大类</w:t>
            </w:r>
          </w:p>
        </w:tc>
        <w:tc>
          <w:tcPr>
            <w:tcW w:type="dxa" w:w="1185"/>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材料举例</w:t>
            </w:r>
          </w:p>
        </w:tc>
        <w:tc>
          <w:tcPr>
            <w:tcW w:type="dxa" w:w="1185"/>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单位</w:t>
            </w:r>
          </w:p>
        </w:tc>
        <w:tc>
          <w:tcPr>
            <w:tcW w:type="dxa" w:w="1185"/>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单位符号</w:t>
            </w:r>
          </w:p>
        </w:tc>
        <w:tc>
          <w:tcPr>
            <w:tcW w:type="dxa" w:w="1185"/>
            <w:gridSpan w:val="1"/>
            <w:tcMar>
              <w:top w:type="dxa" w:w="0"/>
              <w:left w:type="dxa" w:w="113"/>
              <w:bottom w:type="dxa" w:w="0"/>
              <w:right w:type="dxa" w:w="113"/>
            </w:tcMar>
            <w:vAlign w:val="center"/>
          </w:tcPr>
          <w:p>
            <w:pPr>
              <w:spacing w:before="0" w:after="0"/>
              <w:jc w:val="left"/>
            </w:pPr>
            <w:r>
              <w:rPr>
                <w:b/>
                <w:bCs/>
                <w:color w:val="1b324f"/>
                <w:sz w:val="21"/>
                <w:szCs w:val="21"/>
                <w:rFonts w:ascii="宋体" w:cs="宋体" w:eastAsia="宋体" w:hAnsi="宋体"/>
              </w:rPr>
              <w:t xml:space="preserve">备注</w:t>
            </w:r>
          </w:p>
        </w:tc>
      </w:tr>
      <w:tr>
        <w:trPr>
          <w:tblHeader w:val="false"/>
          <w:trHeight w:val="1485" w:hRule="atLeast"/>
        </w:trPr>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气体材料</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各类气体</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医用氧气、乙炔等</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立方米</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M</w:t>
            </w:r>
            <w:r>
              <w:rPr>
                <w:color w:val="1b324f"/>
                <w:sz w:val="18"/>
                <w:szCs w:val="18"/>
                <w:rFonts w:ascii="宋体" w:cs="宋体" w:eastAsia="宋体" w:hAnsi="宋体"/>
              </w:rPr>
              <w:t xml:space="preserve">3</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bl>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85"/>
        <w:gridCol w:w="1185"/>
        <w:gridCol w:w="1185"/>
        <w:gridCol w:w="1185"/>
        <w:gridCol w:w="1185"/>
        <w:gridCol w:w="1185"/>
        <w:gridCol w:w="1185"/>
      </w:tblGrid>
      <w:tr>
        <w:trPr>
          <w:tblHeader w:val="false"/>
          <w:trHeight w:val="3735" w:hRule="atLeast"/>
        </w:trPr>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混合物、膏、脂类材料</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化学试剂、脂类、胶类</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酸、碱、盐溶液、润滑脂、油脂、整平剂、腻子、密封剂（胶粘剂）</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千克</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KG</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5985" w:hRule="atLeast"/>
        </w:trPr>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混合物、膏、脂类材料</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化学试剂、油、墨、漆</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丙酮、阿洛丁溶液、润滑油、汽油、标记墨水、油漆、稀释剂，缓蚀剂（防腐剂）保护胶渗透液、褪漆剂</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升</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L</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3735" w:hRule="atLeast"/>
        </w:trPr>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4</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颗粒状、粉末状材料</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各类颗粒、粉末状材料</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酸、碱、盐粉末、阿洛丁粉、显像粉、抛光粉、聚醚醚酮、橡胶胶粒等</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千克</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KG</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bl>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85"/>
        <w:gridCol w:w="1185"/>
        <w:gridCol w:w="1185"/>
        <w:gridCol w:w="1185"/>
        <w:gridCol w:w="1185"/>
        <w:gridCol w:w="1185"/>
        <w:gridCol w:w="1185"/>
      </w:tblGrid>
      <w:tr>
        <w:trPr>
          <w:tblHeader w:val="false"/>
          <w:trHeight w:val="5085" w:hRule="atLeast"/>
        </w:trPr>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5</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条、带类材料</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棒材、管材、型材、丝材、胶条、胶带、胶布、绑扎带</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尼龙棒、塑料管、热塑管、保护套管、保险丝、密封胶条、胶带、胶布、美纹纸、打磨带等</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米</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M</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除非牌号中已经体现，否则定额中必须给出宽度或直径规格</w:t>
            </w:r>
          </w:p>
        </w:tc>
      </w:tr>
      <w:tr>
        <w:trPr>
          <w:tblHeader w:val="false"/>
          <w:trHeight w:val="3735" w:hRule="atLeast"/>
        </w:trPr>
        <w:tc>
          <w:tcPr>
            <w:tcW w:type="dxa" w:w="1185"/>
            <w:gridSpan w:val="1"/>
            <w:vMerge w:val="restart"/>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6</w:t>
            </w:r>
          </w:p>
        </w:tc>
        <w:tc>
          <w:tcPr>
            <w:tcW w:type="dxa" w:w="1185"/>
            <w:gridSpan w:val="1"/>
            <w:vMerge w:val="restart"/>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板、片状材料</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非金属零件原材料</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橡胶板、塑料板、尼龙板、泡沫板、预浸料、胶膜、蜂窝、层压板等</w:t>
            </w:r>
          </w:p>
        </w:tc>
        <w:tc>
          <w:tcPr>
            <w:tcW w:type="dxa" w:w="1185"/>
            <w:gridSpan w:val="1"/>
            <w:vMerge w:val="restart"/>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平方米</w:t>
            </w:r>
          </w:p>
        </w:tc>
        <w:tc>
          <w:tcPr>
            <w:tcW w:type="dxa" w:w="1185"/>
            <w:gridSpan w:val="1"/>
            <w:vMerge w:val="restart"/>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M</w:t>
            </w:r>
            <w:r>
              <w:rPr>
                <w:color w:val="1b324f"/>
                <w:sz w:val="18"/>
                <w:szCs w:val="18"/>
                <w:rFonts w:ascii="宋体" w:cs="宋体" w:eastAsia="宋体" w:hAnsi="宋体"/>
              </w:rPr>
              <w:t xml:space="preserve">2</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如对长、宽尺寸有要求，需要上报定、倍尺</w:t>
            </w:r>
          </w:p>
        </w:tc>
      </w:tr>
      <w:tr>
        <w:trPr>
          <w:tblHeader w:val="false"/>
          <w:trHeight w:val="2835" w:hRule="atLeast"/>
        </w:trPr>
        <w:tc>
          <w:tcPr>
            <w:gridSpan w:val="1"/>
            <w:vMerge w:val="continue"/>
          </w:tcPr>
          <w:p/>
        </w:tc>
        <w:tc>
          <w:tcPr>
            <w:gridSpan w:val="1"/>
            <w:vMerge w:val="continue"/>
          </w:tcP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布、毡、纸、塑料薄膜</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擦布、纱布、透气毡、砂纸、牛皮纸、聚乙烯薄膜等</w:t>
            </w:r>
          </w:p>
        </w:tc>
        <w:tc>
          <w:tcPr>
            <w:gridSpan w:val="1"/>
            <w:vMerge w:val="continue"/>
          </w:tcPr>
          <w:p/>
        </w:tc>
        <w:tc>
          <w:tcPr>
            <w:gridSpan w:val="1"/>
            <w:vMerge w:val="continue"/>
          </w:tcP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如对长、宽尺寸有要求，需在规格中给出</w:t>
            </w:r>
          </w:p>
        </w:tc>
      </w:tr>
      <w:tr>
        <w:trPr>
          <w:tblHeader w:val="false"/>
          <w:trHeight w:val="1860" w:hRule="atLeast"/>
        </w:trPr>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7</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成品、工具</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成品、工具</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标识套管、标牌、阿洛丁笔、油</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个</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EA</w:t>
            </w: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需要给出型号（规格）</w:t>
            </w: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85"/>
        <w:gridCol w:w="1185"/>
        <w:gridCol w:w="1185"/>
        <w:gridCol w:w="1185"/>
        <w:gridCol w:w="1185"/>
        <w:gridCol w:w="1185"/>
        <w:gridCol w:w="1185"/>
      </w:tblGrid>
      <w:tr>
        <w:trPr>
          <w:tblHeader w:val="false"/>
          <w:trHeight w:val="4125" w:hRule="atLeast"/>
        </w:trPr>
        <w:tc>
          <w:tcPr>
            <w:tcW w:type="dxa" w:w="1185"/>
            <w:gridSpan w:val="1"/>
            <w:tcMar>
              <w:top w:type="dxa" w:w="0"/>
              <w:left w:type="dxa" w:w="113"/>
              <w:bottom w:type="dxa" w:w="0"/>
              <w:right w:type="dxa" w:w="113"/>
            </w:tcMar>
            <w:vAlign w:val="center"/>
          </w:tcPr>
          <w:p>
            <w:pPr>
              <w:spacing w:before="0" w:after="0"/>
              <w:jc w:val="left"/>
            </w:pPr>
          </w:p>
        </w:tc>
        <w:tc>
          <w:tcPr>
            <w:tcW w:type="dxa" w:w="1185"/>
            <w:gridSpan w:val="1"/>
            <w:tcMar>
              <w:top w:type="dxa" w:w="0"/>
              <w:left w:type="dxa" w:w="113"/>
              <w:bottom w:type="dxa" w:w="0"/>
              <w:right w:type="dxa" w:w="113"/>
            </w:tcMar>
            <w:vAlign w:val="center"/>
          </w:tcPr>
          <w:p>
            <w:pPr>
              <w:spacing w:before="0" w:after="0"/>
              <w:jc w:val="left"/>
            </w:pPr>
          </w:p>
        </w:tc>
        <w:tc>
          <w:tcPr>
            <w:tcW w:type="dxa" w:w="1185"/>
            <w:gridSpan w:val="1"/>
            <w:tcMar>
              <w:top w:type="dxa" w:w="0"/>
              <w:left w:type="dxa" w:w="113"/>
              <w:bottom w:type="dxa" w:w="0"/>
              <w:right w:type="dxa" w:w="113"/>
            </w:tcMar>
            <w:vAlign w:val="center"/>
          </w:tcPr>
          <w:p>
            <w:pPr>
              <w:spacing w:before="0" w:after="0"/>
              <w:jc w:val="left"/>
            </w:pPr>
          </w:p>
        </w:tc>
        <w:tc>
          <w:tcPr>
            <w:tcW w:type="dxa" w:w="118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漆过滤器、橡胶滚子、塑料袋、真空嘴、刷子、角保护器、PH值指示条等</w:t>
            </w:r>
          </w:p>
        </w:tc>
        <w:tc>
          <w:tcPr>
            <w:tcW w:type="dxa" w:w="1185"/>
            <w:gridSpan w:val="1"/>
            <w:tcMar>
              <w:top w:type="dxa" w:w="0"/>
              <w:left w:type="dxa" w:w="113"/>
              <w:bottom w:type="dxa" w:w="0"/>
              <w:right w:type="dxa" w:w="113"/>
            </w:tcMar>
            <w:vAlign w:val="center"/>
          </w:tcPr>
          <w:p>
            <w:pPr>
              <w:spacing w:before="0" w:after="0"/>
              <w:jc w:val="left"/>
            </w:pPr>
          </w:p>
        </w:tc>
        <w:tc>
          <w:tcPr>
            <w:tcW w:type="dxa" w:w="1185"/>
            <w:gridSpan w:val="1"/>
            <w:tcMar>
              <w:top w:type="dxa" w:w="0"/>
              <w:left w:type="dxa" w:w="113"/>
              <w:bottom w:type="dxa" w:w="0"/>
              <w:right w:type="dxa" w:w="113"/>
            </w:tcMar>
            <w:vAlign w:val="center"/>
          </w:tcPr>
          <w:p>
            <w:pPr>
              <w:spacing w:before="0" w:after="0"/>
              <w:jc w:val="left"/>
            </w:pPr>
          </w:p>
        </w:tc>
        <w:tc>
          <w:tcPr>
            <w:tcW w:type="dxa" w:w="1185"/>
            <w:gridSpan w:val="1"/>
            <w:tcMar>
              <w:top w:type="dxa" w:w="0"/>
              <w:left w:type="dxa" w:w="113"/>
              <w:bottom w:type="dxa" w:w="0"/>
              <w:right w:type="dxa" w:w="113"/>
            </w:tcMar>
            <w:vAlign w:val="center"/>
          </w:tcPr>
          <w:p>
            <w:pPr>
              <w:spacing w:before="0" w:after="0"/>
              <w:jc w:val="left"/>
            </w:pPr>
          </w:p>
        </w:tc>
      </w:tr>
    </w:tbl>
    <w:p>
      <w:pPr>
        <w:spacing w:before="0" w:after="0"/>
        <w:jc w:val="both"/>
      </w:pPr>
      <w:r>
        <w:rPr>
          <w:sz w:val="28"/>
          <w:szCs w:val="28"/>
          <w:rFonts w:ascii="宋体" w:cs="宋体" w:eastAsia="宋体" w:hAnsi="宋体"/>
        </w:rPr>
        <w:t xml:space="preserve">5.4.4.2材料牌号、材料规范、技术条件必须符合工程图纸或有关工艺规范的规定，如工程图纸或有关工艺规范给出的材料规范文件已被替代，应按文件S-T2050-001，上报最新规范编号。对于民机项目，定额中的材料规范、技术条件不填写版次，代表要求规范文件的最新版。</w:t>
      </w:r>
    </w:p>
    <w:p>
      <w:pPr>
        <w:spacing w:before="0" w:after="0"/>
        <w:jc w:val="both"/>
      </w:pPr>
      <w:r>
        <w:rPr>
          <w:sz w:val="28"/>
          <w:szCs w:val="28"/>
          <w:rFonts w:ascii="宋体" w:cs="宋体" w:eastAsia="宋体" w:hAnsi="宋体"/>
        </w:rPr>
        <w:t xml:space="preserve">5.4.4.3如对材料牌号、材料规范、技术条件材料规格无要求，需在对应的位置填写“无”。</w:t>
      </w:r>
    </w:p>
    <w:p>
      <w:pPr>
        <w:spacing w:before="0" w:after="0"/>
        <w:jc w:val="both"/>
      </w:pPr>
      <w:r>
        <w:rPr>
          <w:sz w:val="28"/>
          <w:szCs w:val="28"/>
          <w:rFonts w:ascii="宋体" w:cs="宋体" w:eastAsia="宋体" w:hAnsi="宋体"/>
        </w:rPr>
        <w:t xml:space="preserve">5.4.4.4材料的长、宽、规格应选用标准尺寸,如单件或成组加工的毛料尺寸超过标准供货尺寸的一半，且剩余材料不能被其他零件消耗，则需要对定额进行定尺或倍尺。金属材料标准供货尺寸详见表3。</w:t>
      </w:r>
    </w:p>
    <w:p>
      <w:pPr>
        <w:spacing w:before="0" w:after="0"/>
        <w:jc w:val="both"/>
      </w:pPr>
      <w:r>
        <w:rPr>
          <w:sz w:val="28"/>
          <w:szCs w:val="28"/>
          <w:rFonts w:ascii="宋体" w:cs="宋体" w:eastAsia="宋体" w:hAnsi="宋体"/>
        </w:rPr>
        <w:t xml:space="preserve">表 3 金属材料标准供货尺寸表</w:t>
      </w:r>
    </w:p>
    <w:p>
      <w:pPr>
        <w:spacing w:before="0" w:after="0"/>
        <w:jc w:val="both"/>
      </w:pPr>
      <w:r>
        <w:rPr>
          <w:color w:val="1b324f"/>
          <w:sz w:val="24"/>
          <w:szCs w:val="24"/>
          <w:rFonts w:ascii="黑体" w:cs="黑体" w:eastAsia="黑体" w:hAnsi="黑体"/>
        </w:rPr>
        <w:t xml:space="preserve">单位：英寸</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5"/>
        <w:gridCol w:w="915"/>
        <w:gridCol w:w="915"/>
        <w:gridCol w:w="915"/>
        <w:gridCol w:w="915"/>
        <w:gridCol w:w="915"/>
        <w:gridCol w:w="915"/>
        <w:gridCol w:w="915"/>
        <w:gridCol w:w="915"/>
      </w:tblGrid>
      <w:tr>
        <w:trPr>
          <w:tblHeader w:val="false"/>
          <w:trHeight w:val="1935" w:hRule="atLeast"/>
        </w:trPr>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铝板δ＜2.5</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铝板δ≥2.5</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铝棒、铝型材、铝管</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钢板</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钢棒、钢型材、钢管</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钛板</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钛棒、钛型材、钛管</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铜板</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铜棒</w:t>
            </w:r>
          </w:p>
        </w:tc>
      </w:tr>
      <w:tr>
        <w:trPr>
          <w:tblHeader w:val="false"/>
          <w:trHeight w:val="975" w:hRule="atLeast"/>
        </w:trPr>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48X144</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48.5X144.5</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144</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36X120</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120</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36X96</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96</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36X96</w:t>
            </w:r>
          </w:p>
        </w:tc>
        <w:tc>
          <w:tcPr>
            <w:tcW w:type="dxa" w:w="91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144</w:t>
            </w:r>
          </w:p>
        </w:tc>
      </w:tr>
    </w:tbl>
    <w:p>
      <w:pPr>
        <w:spacing w:before="0" w:after="0"/>
        <w:jc w:val="both"/>
      </w:pPr>
      <w:r>
        <w:rPr>
          <w:sz w:val="28"/>
          <w:szCs w:val="28"/>
          <w:rFonts w:ascii="宋体" w:cs="宋体" w:eastAsia="宋体" w:hAnsi="宋体"/>
        </w:rPr>
        <w:t xml:space="preserve">5.4.4.5非机上材料及非金属材料的选用在满足使用功能的前提下，原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sz w:val="28"/>
          <w:szCs w:val="28"/>
          <w:rFonts w:ascii="宋体" w:cs="宋体" w:eastAsia="宋体" w:hAnsi="宋体"/>
        </w:rPr>
        <w:t xml:space="preserve">则上应压缩品种、规格，优先选用国内材料，非金属材料需选用合适的包装规格并注明工艺文件号。</w:t>
      </w:r>
    </w:p>
    <w:p>
      <w:pPr>
        <w:spacing w:before="0" w:after="0"/>
        <w:jc w:val="both"/>
      </w:pPr>
      <w:r>
        <w:rPr>
          <w:sz w:val="28"/>
          <w:szCs w:val="28"/>
          <w:rFonts w:ascii="宋体" w:cs="宋体" w:eastAsia="宋体" w:hAnsi="宋体"/>
        </w:rPr>
        <w:t xml:space="preserve">5.4.4.6尊崇节约原则，尽量采用新工艺、新技术，合理使用原材料，充分提高材料利用率。</w:t>
      </w:r>
    </w:p>
    <w:p>
      <w:pPr>
        <w:spacing w:before="0" w:after="0"/>
        <w:jc w:val="both"/>
      </w:pPr>
      <w:r>
        <w:rPr>
          <w:sz w:val="28"/>
          <w:szCs w:val="28"/>
          <w:rFonts w:ascii="宋体" w:cs="宋体" w:eastAsia="宋体" w:hAnsi="宋体"/>
        </w:rPr>
        <w:t xml:space="preserve">5.4.4.7产品批产后，除构型更改外，胶漆发生可选料范围内更改，各生产单位所用的胶漆种类应保持一致。</w:t>
      </w:r>
    </w:p>
    <w:p>
      <w:pPr>
        <w:spacing w:before="0" w:after="0"/>
        <w:jc w:val="both"/>
      </w:pPr>
      <w:r>
        <w:rPr>
          <w:sz w:val="28"/>
          <w:szCs w:val="28"/>
          <w:rFonts w:ascii="宋体" w:cs="宋体" w:eastAsia="宋体" w:hAnsi="宋体"/>
        </w:rPr>
        <w:t xml:space="preserve">5.4.4.8更改材料定额必须注明依据文件或更改原因，充分考虑原使用材料的库存及无法取消的在途订单量，再确定更改起始架份。材料定额减少或取消后，定额削减后按原因不同处理方法如下：</w:t>
      </w:r>
    </w:p>
    <w:p>
      <w:pPr>
        <w:spacing w:before="0" w:after="0"/>
        <w:jc w:val="both"/>
      </w:pPr>
      <w:r>
        <w:rPr>
          <w:sz w:val="28"/>
          <w:szCs w:val="28"/>
          <w:rFonts w:ascii="宋体" w:cs="宋体" w:eastAsia="宋体" w:hAnsi="宋体"/>
        </w:rPr>
        <w:t xml:space="preserve">a)定额优化：材料不变，优化后材料用量减少，定额优化的执行架份按未发料架份的首架确定。材料更改，优化前材料被替代，定额优化的执行架份按优化前材料消耗完毕的架份确定。</w:t>
      </w:r>
    </w:p>
    <w:p>
      <w:pPr>
        <w:spacing w:before="0" w:after="0"/>
        <w:jc w:val="both"/>
      </w:pPr>
      <w:r>
        <w:rPr>
          <w:sz w:val="28"/>
          <w:szCs w:val="28"/>
          <w:rFonts w:ascii="宋体" w:cs="宋体" w:eastAsia="宋体" w:hAnsi="宋体"/>
        </w:rPr>
        <w:t xml:space="preserve">b)构型更改：按照构改委员会发布CIP执行。</w:t>
      </w:r>
    </w:p>
    <w:p>
      <w:pPr>
        <w:spacing w:before="0" w:after="0"/>
        <w:jc w:val="both"/>
      </w:pPr>
      <w:r>
        <w:rPr>
          <w:sz w:val="28"/>
          <w:szCs w:val="28"/>
          <w:rFonts w:ascii="宋体" w:cs="宋体" w:eastAsia="宋体" w:hAnsi="宋体"/>
        </w:rPr>
        <w:t xml:space="preserve">c)定额纠错取消：材料使用单位需要及时确认已购料处理方案。</w:t>
      </w:r>
    </w:p>
    <w:p>
      <w:pPr>
        <w:spacing w:before="0" w:after="0"/>
        <w:jc w:val="both"/>
      </w:pPr>
      <w:r>
        <w:rPr>
          <w:sz w:val="28"/>
          <w:szCs w:val="28"/>
          <w:rFonts w:ascii="宋体" w:cs="宋体" w:eastAsia="宋体" w:hAnsi="宋体"/>
        </w:rPr>
        <w:t xml:space="preserve">5.4.4.9临时定额经数据管理室审签后生效，按路线分发至相关部门使用。</w:t>
      </w:r>
    </w:p>
    <w:p>
      <w:pPr>
        <w:spacing w:before="0" w:after="0"/>
        <w:jc w:val="both"/>
      </w:pPr>
      <w:r>
        <w:rPr>
          <w:sz w:val="28"/>
          <w:szCs w:val="28"/>
          <w:rFonts w:ascii="宋体" w:cs="宋体" w:eastAsia="宋体" w:hAnsi="宋体"/>
        </w:rPr>
        <w:t xml:space="preserve">5.4.4.10机上材料定额按照明细定额管理、非机上材料定额按照综合定额管理。对于机上材料，零件生产单位需要按零件明细定额上报，各装配厂需分解至工序上报；对于非机上材料各车间、供应商按综合定额上报。</w:t>
      </w:r>
    </w:p>
    <w:p>
      <w:pPr>
        <w:spacing w:before="0" w:after="0"/>
        <w:jc w:val="both"/>
      </w:pPr>
      <w:r>
        <w:rPr>
          <w:sz w:val="28"/>
          <w:szCs w:val="28"/>
          <w:rFonts w:ascii="宋体" w:cs="宋体" w:eastAsia="宋体" w:hAnsi="宋体"/>
        </w:rPr>
        <w:t xml:space="preserve">5.4.11当供应链管理部确定商务分工后，对应供应商应按加工需求，提出定额，包括成组赌博个等，数字工程部依据定额基线审核各供应商上报的定额信息，原则上各供应商上报的单件定额尺寸不得大于材料定额，成组定额不得大于成组数*单件定额。</w:t>
      </w:r>
    </w:p>
    <w:p>
      <w:pPr>
        <w:pStyle w:val="Heading5"/>
        <w:spacing w:before="0" w:after="0"/>
        <w:jc w:val="both"/>
      </w:pPr>
      <w:bookmarkStart w:name="_Toce1f3" w:id="1"/>
      <w:r>
        <w:rPr>
          <w:b/>
          <w:bCs/>
          <w:sz w:val="28"/>
          <w:szCs w:val="28"/>
          <w:rFonts w:ascii="宋体" w:cs="宋体" w:eastAsia="宋体" w:hAnsi="宋体"/>
        </w:rPr>
        <w:t xml:space="preserve">5.5材料定额的损耗要求</w:t>
      </w:r>
      <w:bookmarkEnd w:id="1"/>
    </w:p>
    <w:p>
      <w:pPr>
        <w:spacing w:before="0" w:after="0"/>
        <w:jc w:val="both"/>
      </w:pPr>
      <w:r>
        <w:rPr>
          <w:sz w:val="28"/>
          <w:szCs w:val="28"/>
          <w:rFonts w:ascii="宋体" w:cs="宋体" w:eastAsia="宋体" w:hAnsi="宋体"/>
        </w:rPr>
        <w:t xml:space="preserve">5.5.1 批产项目金属、非金属材料的下料损耗按各项目制定的损耗系数原则执行，如未规定损耗系数按材料定额企业标准要求执行。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sz w:val="28"/>
          <w:szCs w:val="28"/>
          <w:rFonts w:ascii="宋体" w:cs="宋体" w:eastAsia="宋体" w:hAnsi="宋体"/>
        </w:rPr>
        <w:t xml:space="preserve">5.5.2 如遇特殊情况增加材料定额的损耗率，须提交情况说明，经数字工程部数据管理室批准后方可执行。</w:t>
      </w:r>
    </w:p>
    <w:p>
      <w:pPr>
        <w:spacing w:before="0" w:after="0"/>
        <w:jc w:val="both"/>
      </w:pPr>
      <w:r>
        <w:rPr>
          <w:sz w:val="28"/>
          <w:szCs w:val="28"/>
          <w:rFonts w:ascii="宋体" w:cs="宋体" w:eastAsia="宋体" w:hAnsi="宋体"/>
        </w:rPr>
        <w:t xml:space="preserve">5.5.3 复合材料零件制造用非金属和金属机上材料，应对预浸料、胶膜、表面膜、芳纶蜂窝芯、铝板等后续可套裁的材料进行优化排布；复合材料零件制造用辅助材料，应结合零件实际尺寸，充分考虑辅助材料重复利用率。</w:t>
      </w:r>
    </w:p>
    <w:p>
      <w:pPr>
        <w:spacing w:before="0" w:after="0"/>
        <w:jc w:val="both"/>
      </w:pPr>
      <w:r>
        <w:rPr>
          <w:sz w:val="28"/>
          <w:szCs w:val="28"/>
          <w:rFonts w:ascii="宋体" w:cs="宋体" w:eastAsia="宋体" w:hAnsi="宋体"/>
        </w:rPr>
        <w:t xml:space="preserve">5.5.4 废品损失、运输、保管以及材料化验等消耗不纳入材料定额。</w:t>
      </w:r>
    </w:p>
    <w:p>
      <w:pPr>
        <w:pStyle w:val="Heading5"/>
        <w:spacing w:before="0" w:after="0"/>
        <w:jc w:val="both"/>
      </w:pPr>
      <w:bookmarkStart w:name="_Toc1f6e" w:id="1"/>
      <w:r>
        <w:rPr>
          <w:b/>
          <w:bCs/>
          <w:sz w:val="28"/>
          <w:szCs w:val="28"/>
          <w:rFonts w:ascii="宋体" w:cs="宋体" w:eastAsia="宋体" w:hAnsi="宋体"/>
        </w:rPr>
        <w:t xml:space="preserve">5.6材料定额的管理</w:t>
      </w:r>
      <w:bookmarkEnd w:id="1"/>
    </w:p>
    <w:p>
      <w:pPr>
        <w:spacing w:before="0" w:after="0"/>
        <w:jc w:val="both"/>
      </w:pPr>
      <w:r>
        <w:rPr>
          <w:color w:val="1b324f"/>
          <w:sz w:val="28"/>
          <w:szCs w:val="28"/>
          <w:rFonts w:ascii="宋体" w:cs="宋体" w:eastAsia="宋体" w:hAnsi="宋体"/>
        </w:rPr>
        <w:t xml:space="preserve">5.6.1 </w:t>
      </w:r>
      <w:r>
        <w:rPr>
          <w:sz w:val="28"/>
          <w:szCs w:val="28"/>
          <w:rFonts w:ascii="宋体" w:cs="宋体" w:eastAsia="宋体" w:hAnsi="宋体"/>
        </w:rPr>
        <w:t xml:space="preserve">各生产单位在收到材料定额编制与更改要求后，5个工作日内完成相应材料定额的编报工作。新项目首次创建或涉及更改量较大时，按项目需求完成。</w:t>
      </w:r>
    </w:p>
    <w:p>
      <w:pPr>
        <w:spacing w:before="0" w:after="0"/>
        <w:jc w:val="both"/>
      </w:pPr>
      <w:r>
        <w:rPr>
          <w:sz w:val="28"/>
          <w:szCs w:val="28"/>
          <w:rFonts w:ascii="宋体" w:cs="宋体" w:eastAsia="宋体" w:hAnsi="宋体"/>
        </w:rPr>
        <w:t xml:space="preserve">5.6.2 数字工程部数据管理室在收到材料定额后，3个工作日内完成审查及维护。新项目首次创建或涉及更改量较大时，按项目需求完成。</w:t>
      </w:r>
    </w:p>
    <w:p>
      <w:pPr>
        <w:spacing w:before="0" w:after="0"/>
        <w:jc w:val="both"/>
      </w:pPr>
      <w:r>
        <w:rPr>
          <w:sz w:val="28"/>
          <w:szCs w:val="28"/>
          <w:rFonts w:ascii="宋体" w:cs="宋体" w:eastAsia="宋体" w:hAnsi="宋体"/>
        </w:rPr>
        <w:t xml:space="preserve">5.6.3 数字工程部数据管理室负责组织处理各供应商材料定额问题，负责组织供应商填报FM1206-08，并进行解答。</w:t>
      </w:r>
    </w:p>
    <w:p>
      <w:pPr>
        <w:spacing w:before="0" w:after="0"/>
        <w:jc w:val="both"/>
      </w:pPr>
      <w:r>
        <w:rPr>
          <w:sz w:val="28"/>
          <w:szCs w:val="28"/>
          <w:rFonts w:ascii="宋体" w:cs="宋体" w:eastAsia="宋体" w:hAnsi="宋体"/>
        </w:rPr>
        <w:t xml:space="preserve">5.6.4 物流仓储中心记录各单位领料发料差异情况，填写FM1206-12物料领用、发料差异反馈表，与领用单位确认后反馈给数据管理室。数据管理室组织各车间按FM1206-12核查定额准确性，优化定额。</w:t>
      </w:r>
    </w:p>
    <w:p>
      <w:pPr>
        <w:spacing w:before="0" w:after="0"/>
        <w:jc w:val="both"/>
      </w:pPr>
      <w:r>
        <w:rPr>
          <w:sz w:val="28"/>
          <w:szCs w:val="28"/>
          <w:rFonts w:ascii="宋体" w:cs="宋体" w:eastAsia="宋体" w:hAnsi="宋体"/>
        </w:rPr>
        <w:t xml:space="preserve">5.6.5 套裁方案的制定应充分考虑原材料的库存、采购、零件供应商分工、项目生产速率等情况。套裁方案确定后，应组织相关单位评审后方可执行。</w:t>
      </w:r>
    </w:p>
    <w:p>
      <w:pPr>
        <w:spacing w:before="0" w:after="0"/>
        <w:jc w:val="both"/>
      </w:pPr>
      <w:r>
        <w:rPr>
          <w:sz w:val="28"/>
          <w:szCs w:val="28"/>
          <w:rFonts w:ascii="宋体" w:cs="宋体" w:eastAsia="宋体" w:hAnsi="宋体"/>
        </w:rPr>
        <w:t xml:space="preserve">5.6.6 当定额无法采购时（包括定尺材料无法按尺寸采购），供应链管理部商务管理室供应链管理员使用外购器材采购反馈表提交给数字工程部，数字工程部根据实际情况处理。</w:t>
      </w:r>
    </w:p>
    <w:p>
      <w:pPr>
        <w:pStyle w:val="Heading5"/>
        <w:spacing w:before="0" w:after="0"/>
        <w:jc w:val="both"/>
      </w:pPr>
      <w:bookmarkStart w:name="_Toc5f27" w:id="1"/>
      <w:r>
        <w:rPr>
          <w:b/>
          <w:bCs/>
          <w:sz w:val="28"/>
          <w:szCs w:val="28"/>
          <w:rFonts w:ascii="宋体" w:cs="宋体" w:eastAsia="宋体" w:hAnsi="宋体"/>
        </w:rPr>
        <w:t xml:space="preserve">5.7材料定额的优化</w:t>
      </w:r>
      <w:bookmarkEnd w:id="1"/>
    </w:p>
    <w:p>
      <w:pPr>
        <w:spacing w:before="0" w:after="0"/>
        <w:jc w:val="both"/>
      </w:pPr>
      <w:r>
        <w:rPr>
          <w:sz w:val="28"/>
          <w:szCs w:val="28"/>
          <w:rFonts w:ascii="宋体" w:cs="宋体" w:eastAsia="宋体" w:hAnsi="宋体"/>
        </w:rPr>
        <w:t xml:space="preserve">5.7.1 各生产单位、供应商应在生产过程中监控原材料的实际消耗情况，分析企业标准与实际生产材料用量的差异，并以材料定额优化的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sz w:val="28"/>
          <w:szCs w:val="28"/>
          <w:rFonts w:ascii="宋体" w:cs="宋体" w:eastAsia="宋体" w:hAnsi="宋体"/>
        </w:rPr>
        <w:t xml:space="preserve">形式反馈至数字工程部数据管理室，数字工程部数据管理室组织企业标准委员会进行评估，修订企标。</w:t>
      </w:r>
    </w:p>
    <w:p>
      <w:pPr>
        <w:spacing w:before="0" w:after="0"/>
        <w:jc w:val="both"/>
      </w:pPr>
      <w:r>
        <w:rPr>
          <w:sz w:val="28"/>
          <w:szCs w:val="28"/>
          <w:rFonts w:ascii="宋体" w:cs="宋体" w:eastAsia="宋体" w:hAnsi="宋体"/>
        </w:rPr>
        <w:t xml:space="preserve">5.7.2 数字工程部数据管理室，根据企标修订，现场调研，客户审计，成本优化等工作组织开展材料定额优化活动，并作为对生产单位技术管理、绩效考核基础数据部分的重要指标。</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pStyle w:val="Heading4"/>
        <w:spacing w:before="0" w:after="0"/>
        <w:jc w:val="both"/>
      </w:pPr>
      <w:bookmarkStart w:name="_Tocc4b4" w:id="1"/>
      <w:r>
        <w:rPr>
          <w:b/>
          <w:bCs/>
          <w:color w:val="000000"/>
          <w:sz w:val="28"/>
          <w:szCs w:val="28"/>
          <w:rFonts w:ascii="华文黑体" w:cs="华文黑体" w:eastAsia="华文黑体" w:hAnsi="华文黑体"/>
        </w:rPr>
        <w:t xml:space="preserve">6  标准图例说明</w:t>
      </w:r>
      <w:bookmarkEnd w:id="1"/>
    </w:p>
    <w:p>
      <w:pPr>
        <w:spacing w:before="0" w:after="0" w:line="280" w:lineRule="exact"/>
      </w:pPr>
      <w:r>
        <w:rPr>
          <w:color w:val="1b324f"/>
          <w:sz w:val="28"/>
          <w:szCs w:val="28"/>
          <w:rFonts w:ascii="宋体" w:cs="宋体" w:eastAsia="宋体" w:hAnsi="宋体"/>
        </w:rPr>
      </w:r>
    </w:p>
    <w:p>
      <w:pPr>
        <w:pStyle w:val="Heading4"/>
        <w:spacing w:before="0" w:after="0"/>
        <w:jc w:val="both"/>
      </w:pPr>
      <w:bookmarkStart w:name="_Toc6be5" w:id="1"/>
      <w:r>
        <w:rPr>
          <w:b/>
          <w:bCs/>
          <w:color w:val="000000"/>
          <w:sz w:val="28"/>
          <w:szCs w:val="28"/>
          <w:rFonts w:ascii="华文黑体" w:cs="华文黑体" w:eastAsia="华文黑体" w:hAnsi="华文黑体"/>
        </w:rPr>
        <w:t xml:space="preserve">7  记录控制</w:t>
      </w:r>
      <w:bookmarkEnd w:id="1"/>
    </w:p>
    <w:p>
      <w:pPr>
        <w:spacing w:before="0" w:after="0"/>
        <w:jc w:val="both"/>
      </w:pPr>
      <w:r>
        <w:rPr>
          <w:color w:val="000000"/>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各单位材料定额文件在OA系统内保存。</w:t>
      </w:r>
    </w:p>
    <w:p>
      <w:pPr>
        <w:spacing w:before="0" w:after="0"/>
        <w:jc w:val="both"/>
      </w:pPr>
      <w:r>
        <w:rPr>
          <w:sz w:val="28"/>
          <w:szCs w:val="28"/>
          <w:rFonts w:ascii="宋体" w:cs="宋体" w:eastAsia="宋体" w:hAnsi="宋体"/>
        </w:rPr>
        <w:t xml:space="preserve">各供应商定额在发放区保存。</w:t>
      </w:r>
    </w:p>
    <w:p>
      <w:pPr>
        <w:spacing w:before="0" w:after="0"/>
        <w:jc w:val="both"/>
      </w:pPr>
      <w:r>
        <w:rPr>
          <w:sz w:val="28"/>
          <w:szCs w:val="28"/>
          <w:rFonts w:ascii="宋体" w:cs="宋体" w:eastAsia="宋体" w:hAnsi="宋体"/>
        </w:rPr>
        <w:t xml:space="preserve">纸质材料定额文件由发文、接收单位共同保存，作废材料定额文件由各单位分类装订保存两年。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0"/>
      <w:footerReference w:type="default" r:id="rId31"/>
      <w:pgSz w:w="11906" w:h="16838" w:orient="portrait"/>
      <w:pgMar w:top="1440" w:right="1802" w:bottom="1440" w:left="1802" w:header="708" w:footer="708" w:gutter="0"/>
      <w:pgNumType w:start="1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GLB140509-02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2026-06-10T09:08:32.273Z</dcterms:created>
  <dcterms:modified xsi:type="dcterms:W3CDTF">2026-06-10T09:08:32.273Z</dcterms:modified>
</cp:coreProperties>
</file>

<file path=docProps/custom.xml><?xml version="1.0" encoding="utf-8"?>
<Properties xmlns="http://schemas.openxmlformats.org/officeDocument/2006/custom-properties" xmlns:vt="http://schemas.openxmlformats.org/officeDocument/2006/docPropsVTypes"/>
</file>