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  <w:jc w:val="center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前    言</w:t>
      </w:r>
    </w:p>
    <w:p>
      <w:pPr>
        <w:spacing w:before="0" w:after="0"/>
        <w:jc w:val="center"/>
      </w:pPr>
      <w:r>
        <w:rPr>
          <w:color w:val="1b324f"/>
          <w:sz w:val="21"/>
          <w:szCs w:val="21"/>
          <w:rFonts w:ascii="宋体" w:cs="宋体" w:eastAsia="宋体" w:hAnsi="宋体"/>
        </w:rPr>
        <w:t xml:space="preserve"> </w:t>
      </w:r>
    </w:p>
    <w:p>
      <w:pPr>
        <w:spacing w:before="0" w:after="0"/>
        <w:jc w:val="center"/>
      </w:pPr>
      <w:r>
        <w:rPr>
          <w:color w:val="1b324f"/>
          <w:sz w:val="21"/>
          <w:szCs w:val="21"/>
          <w:rFonts w:ascii="宋体" w:cs="宋体" w:eastAsia="宋体" w:hAnsi="宋体"/>
        </w:rPr>
        <w:t xml:space="preserve"> 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华文宋体" w:cs="华文宋体" w:eastAsia="华文宋体" w:hAnsi="华文宋体"/>
        </w:rPr>
        <w:t xml:space="preserve">本制度属于支撑类管理制度。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华文宋体" w:cs="华文宋体" w:eastAsia="华文宋体" w:hAnsi="华文宋体"/>
        </w:rPr>
        <w:t xml:space="preserve">本制度由科技创新部提出，科技创新部起草。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华文宋体" w:cs="华文宋体" w:eastAsia="华文宋体" w:hAnsi="华文宋体"/>
        </w:rPr>
        <w:t xml:space="preserve">本制度由科技创新部负责解释。</w:t>
      </w:r>
      <w:r>
        <w:rPr>
          <w:sz w:val="28"/>
          <w:szCs w:val="28"/>
          <w:rFonts w:ascii="宋体" w:cs="宋体" w:eastAsia="宋体" w:hAnsi="宋体"/>
        </w:rPr>
        <w:br/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6"/>
          <w:footerReference w:type="default" r:id="rId7"/>
          <w:pgSz w:w="11906" w:h="16838" w:orient="portrait"/>
          <w:pgMar w:top="1440" w:right="1802" w:bottom="1440" w:left="1802" w:header="708" w:footer="708" w:gutter="0"/>
          <w:pgNumType w:start="1" w:fmt="decimal"/>
          <w:docGrid w:linePitch="360"/>
        </w:sectPr>
      </w:pPr>
    </w:p>
    <w:p>
      <w:pPr>
        <w:spacing w:before="0" w:after="0"/>
        <w:jc w:val="center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标准作业指导书编制与管理标准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1  范围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本文件规定了标准作业指导书的编制及管理要求。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本文件适用于民机生产。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本文件依据</w:t>
      </w:r>
      <w:r>
        <w:rPr>
          <w:color w:val="000000"/>
          <w:sz w:val="28"/>
          <w:szCs w:val="28"/>
          <w:rFonts w:ascii="Times New Roman" w:cs="Times New Roman" w:eastAsia="Times New Roman" w:hAnsi="Times New Roman"/>
        </w:rPr>
        <w:t xml:space="preserve">GLC140513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的要求制定。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2  规范性引用文件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下列文件对于本文件的应用是必不可少的。凡是注日期或（和）版次的引用文件，仅注日期或（和）版次的版本适用于本文件。凡是不注日期或（和）版次的引用文件，其最新版本（包括所有的修改单）适用于本文件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Times New Roman" w:cs="Times New Roman" w:eastAsia="Times New Roman" w:hAnsi="Times New Roman"/>
        </w:rPr>
        <w:t xml:space="preserve">GLC140513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  装配制造工艺文件管控管理程序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Times New Roman" w:cs="Times New Roman" w:eastAsia="Times New Roman" w:hAnsi="Times New Roman"/>
        </w:rPr>
        <w:t xml:space="preserve">GLC231008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  质量记录管理程序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3  表格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黑体" w:cs="黑体" w:eastAsia="黑体" w:hAnsi="黑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3.1规定表格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Times New Roman" w:cs="Times New Roman" w:eastAsia="Times New Roman" w:hAnsi="Times New Roman"/>
        </w:rPr>
        <w:t xml:space="preserve">FM1405-35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  标准作业指导书（首页）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Times New Roman" w:cs="Times New Roman" w:eastAsia="Times New Roman" w:hAnsi="Times New Roman"/>
        </w:rPr>
        <w:t xml:space="preserve">FM1405-35.1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  标准作业指导书（续页）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3.2引用表格</w:t>
      </w:r>
    </w:p>
    <w:p>
      <w:pPr>
        <w:spacing w:before="0" w:after="0"/>
        <w:jc w:val="both"/>
      </w:pPr>
      <w:r>
        <w:rPr>
          <w:sz w:val="28"/>
          <w:szCs w:val="28"/>
          <w:rFonts w:ascii="宋体" w:cs="宋体" w:eastAsia="宋体" w:hAnsi="宋体"/>
        </w:rPr>
        <w:t xml:space="preserve">无</w:t>
      </w:r>
    </w:p>
    <w:p>
      <w:pPr>
        <w:spacing w:before="0" w:after="0" w:line="210" w:lineRule="exact"/>
      </w:pPr>
      <w:r>
        <w:rPr>
          <w:color w:val="0070c0"/>
          <w:sz w:val="21"/>
          <w:szCs w:val="21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4  术语和定义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8"/>
          <w:footerReference w:type="default" r:id="rId9"/>
          <w:pgSz w:w="11906" w:h="16838" w:orient="portrait"/>
          <w:pgMar w:top="1440" w:right="1802" w:bottom="1440" w:left="1802" w:header="708" w:footer="708" w:gutter="0"/>
          <w:pgNumType w:start="2" w:fmt="decimal"/>
          <w:docGrid w:linePitch="360"/>
        </w:sectPr>
      </w:pP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4.1  标准作业指导书 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是工艺部门根据工程图纸等有关技术资料，对装配工艺规程中易错工序、瓶颈工序及不能清晰描述的工序，采用图表等方式编制而成的详细说明，用于指导生产操作人员正确操作。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5  规定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黑体" w:cs="黑体" w:eastAsia="黑体" w:hAnsi="黑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5.1  标准作业指导书表格的使用要求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标准作业指导书采用标准的表格模板，编号分别为</w:t>
      </w:r>
      <w:r>
        <w:rPr>
          <w:color w:val="000000"/>
          <w:sz w:val="28"/>
          <w:szCs w:val="28"/>
          <w:rFonts w:ascii="Times New Roman" w:cs="Times New Roman" w:eastAsia="Times New Roman" w:hAnsi="Times New Roman"/>
        </w:rPr>
        <w:t xml:space="preserve">FM1405-35、FM1405-35 .1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5.2  标准作业指导书的文字与字体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5.2.1 国外项目标准作业指导书采用中/英文对照编写。编写规则为一组完整的中文叙述后,下方附带对应的英文内容。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5.2.2 国内项目采用中文编写。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5.2.3 标准作业指导书编写内容（含英文内容）字体一般为宋体五号字。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5.3  标准作业指导书的编制要求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5.3.1  工艺员与操作者、检验员、工位长等人员沟通，收集工序信息确定易错工序、瓶颈工序、装配工艺规程中不能清晰描述的工序，将这些工序填写在标准作业指导书目录中，目录应包括（但不限于）以下内容：序号、工序号、工序名称、工步号、编制者、备注等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5.3.2 易错工序、瓶颈工序选取，以现场操作者为中心，提出易错工序及瓶颈工序。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5.3.3  根据标准作业指导书目录编制标准作业指导书，要求图片清晰，工步描述简单扼要，每个工步对应一张图片，详细描述操作者的操作过程。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5.3.4  标准作业指导书的编号原则为:项目代号-</w:t>
      </w:r>
      <w:r>
        <w:rPr>
          <w:color w:val="000000"/>
          <w:sz w:val="28"/>
          <w:szCs w:val="28"/>
          <w:rFonts w:ascii="Times New Roman" w:cs="Times New Roman" w:eastAsia="Times New Roman" w:hAnsi="Times New Roman"/>
        </w:rPr>
        <w:t xml:space="preserve">BZZY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厂机构代码-编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10"/>
          <w:footerReference w:type="default" r:id="rId11"/>
          <w:pgSz w:w="11906" w:h="16838" w:orient="portrait"/>
          <w:pgMar w:top="1440" w:right="1802" w:bottom="1440" w:left="1802" w:header="708" w:footer="708" w:gutter="0"/>
          <w:pgNumType w:start="3" w:fmt="decimal"/>
          <w:docGrid w:linePitch="360"/>
        </w:sectPr>
      </w:pP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号，例如35厂</w:t>
      </w:r>
      <w:r>
        <w:rPr>
          <w:color w:val="000000"/>
          <w:sz w:val="28"/>
          <w:szCs w:val="28"/>
          <w:rFonts w:ascii="Times New Roman" w:cs="Times New Roman" w:eastAsia="Times New Roman" w:hAnsi="Times New Roman"/>
        </w:rPr>
        <w:t xml:space="preserve">AUK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项目为：</w:t>
      </w:r>
      <w:r>
        <w:rPr>
          <w:color w:val="000000"/>
          <w:sz w:val="28"/>
          <w:szCs w:val="28"/>
          <w:rFonts w:ascii="Times New Roman" w:cs="Times New Roman" w:eastAsia="Times New Roman" w:hAnsi="Times New Roman"/>
        </w:rPr>
        <w:t xml:space="preserve">S3-BZZY9100-001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，ARJ项目为：</w:t>
      </w:r>
      <w:r>
        <w:rPr>
          <w:color w:val="000000"/>
          <w:sz w:val="28"/>
          <w:szCs w:val="28"/>
          <w:rFonts w:ascii="Times New Roman" w:cs="Times New Roman" w:eastAsia="Times New Roman" w:hAnsi="Times New Roman"/>
        </w:rPr>
        <w:t xml:space="preserve">ARJ-BZZY9100-001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等。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5.4  标准作业指导书的更改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5.4.1  因构型更改、工艺方法更改、工装更改等原因涉及标准作业指导书的更改，工艺员需将标准作业指导书升版。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5.4.2  工艺员需填写标准作业指导书首页的升版更改说明。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5.4.3  标准作业指导书的版次字母可使用</w:t>
      </w:r>
      <w:r>
        <w:rPr>
          <w:color w:val="000000"/>
          <w:sz w:val="28"/>
          <w:szCs w:val="28"/>
          <w:rFonts w:ascii="Times New Roman" w:cs="Times New Roman" w:eastAsia="Times New Roman" w:hAnsi="Times New Roman"/>
        </w:rPr>
        <w:t xml:space="preserve">A～Y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表示，</w:t>
      </w:r>
      <w:r>
        <w:rPr>
          <w:color w:val="000000"/>
          <w:sz w:val="28"/>
          <w:szCs w:val="28"/>
          <w:rFonts w:ascii="Times New Roman" w:cs="Times New Roman" w:eastAsia="Times New Roman" w:hAnsi="Times New Roman"/>
        </w:rPr>
        <w:t xml:space="preserve">A～Y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不够用时，可按</w:t>
      </w:r>
      <w:r>
        <w:rPr>
          <w:color w:val="000000"/>
          <w:sz w:val="28"/>
          <w:szCs w:val="28"/>
          <w:rFonts w:ascii="Times New Roman" w:cs="Times New Roman" w:eastAsia="Times New Roman" w:hAnsi="Times New Roman"/>
        </w:rPr>
        <w:t xml:space="preserve">AA～AY，BA～BY......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顺序使用(其中</w:t>
      </w:r>
      <w:r>
        <w:rPr>
          <w:color w:val="000000"/>
          <w:sz w:val="28"/>
          <w:szCs w:val="28"/>
          <w:rFonts w:ascii="Times New Roman" w:cs="Times New Roman" w:eastAsia="Times New Roman" w:hAnsi="Times New Roman"/>
        </w:rPr>
        <w:t xml:space="preserve">I，O，Q，S，X，Z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不得使用)。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5.5 标准作业指导书的审签、批准规定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标准作业指导书在</w:t>
      </w:r>
      <w:r>
        <w:rPr>
          <w:color w:val="000000"/>
          <w:sz w:val="28"/>
          <w:szCs w:val="28"/>
          <w:rFonts w:ascii="Times New Roman" w:cs="Times New Roman" w:eastAsia="Times New Roman" w:hAnsi="Times New Roman"/>
        </w:rPr>
        <w:t xml:space="preserve">OA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系统中完成审批流程，由生产单位技术室工艺员编制；生产单位技术室同专业工艺员校对；生产单位技术室主任审核；质量工程室技术员/主任会签；生产单位技术厂长批准。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6  标准图例说明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华文宋体" w:cs="华文宋体" w:eastAsia="华文宋体" w:hAnsi="华文宋体"/>
        </w:rPr>
        <w:t xml:space="preserve">    无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7  记录控制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  相关记录的填写和维护按程序文件</w:t>
      </w:r>
      <w:r>
        <w:rPr>
          <w:color w:val="000000"/>
          <w:sz w:val="28"/>
          <w:szCs w:val="28"/>
          <w:rFonts w:ascii="Times New Roman" w:cs="Times New Roman" w:eastAsia="Times New Roman" w:hAnsi="Times New Roman"/>
        </w:rPr>
        <w:t xml:space="preserve">GLC231008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要求执行。</w:t>
      </w:r>
      <w:r>
        <w:rPr>
          <w:sz w:val="28"/>
          <w:szCs w:val="28"/>
          <w:rFonts w:ascii="宋体" w:cs="宋体" w:eastAsia="宋体" w:hAnsi="宋体"/>
        </w:rPr>
        <w:br/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sectPr>
      <w:headerReference w:type="default" r:id="rId12"/>
      <w:footerReference w:type="default" r:id="rId13"/>
      <w:pgSz w:w="11906" w:h="16838" w:orient="portrait"/>
      <w:pgMar w:top="1440" w:right="1802" w:bottom="1440" w:left="1802" w:header="708" w:footer="708" w:gutter="0"/>
      <w:pgNumType w:start="4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B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1</w:t>
    </w:r>
    <w:r>
      <w:t xml:space="preserve">3</w:t>
    </w:r>
    <w:r>
      <w:t xml:space="preserve">-</w:t>
    </w:r>
    <w:r>
      <w:t xml:space="preserve">0</w:t>
    </w:r>
    <w:r>
      <w:t xml:space="preserve">8</w:t>
    </w:r>
    <w:r>
      <w:t xml:space="preserve">-</w:t>
    </w:r>
    <w:r>
      <w:t xml:space="preserve">A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B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1</w:t>
    </w:r>
    <w:r>
      <w:t xml:space="preserve">3</w:t>
    </w:r>
    <w:r>
      <w:t xml:space="preserve">-</w:t>
    </w:r>
    <w:r>
      <w:t xml:space="preserve">0</w:t>
    </w:r>
    <w:r>
      <w:t xml:space="preserve">8</w:t>
    </w:r>
    <w:r>
      <w:t xml:space="preserve">-</w:t>
    </w:r>
    <w:r>
      <w:t xml:space="preserve">A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B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1</w:t>
    </w:r>
    <w:r>
      <w:t xml:space="preserve">3</w:t>
    </w:r>
    <w:r>
      <w:t xml:space="preserve">-</w:t>
    </w:r>
    <w:r>
      <w:t xml:space="preserve">0</w:t>
    </w:r>
    <w:r>
      <w:t xml:space="preserve">8</w:t>
    </w:r>
    <w:r>
      <w:t xml:space="preserve">-</w:t>
    </w:r>
    <w:r>
      <w:t xml:space="preserve">A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B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1</w:t>
    </w:r>
    <w:r>
      <w:t xml:space="preserve">3</w:t>
    </w:r>
    <w:r>
      <w:t xml:space="preserve">-</w:t>
    </w:r>
    <w:r>
      <w:t xml:space="preserve">0</w:t>
    </w:r>
    <w:r>
      <w:t xml:space="preserve">8</w:t>
    </w:r>
    <w:r>
      <w:t xml:space="preserve">-</w:t>
    </w:r>
    <w:r>
      <w:t xml:space="preserve">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  <w:doNotExpandShiftReturn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8"/>
        <w:szCs w:val="28"/>
        <w:rFonts w:ascii="宋体" w:cs="宋体" w:eastAsia="宋体" w:hAnsi="宋体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40" w:after="330"/>
    </w:pPr>
    <w:rPr>
      <w:b/>
      <w:bCs/>
      <w:color w:val="000000"/>
      <w:sz w:val="44"/>
      <w:szCs w:val="44"/>
    </w:rPr>
  </w:style>
  <w:style w:type="paragraph" w:styleId="Heading2">
    <w:name w:val="Heading 2"/>
    <w:basedOn w:val="Normal"/>
    <w:next w:val="Normal"/>
    <w:qFormat/>
    <w:pPr>
      <w:spacing w:before="260" w:after="260"/>
    </w:pPr>
    <w:rPr>
      <w:b/>
      <w:bCs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60" w:after="260"/>
    </w:pPr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pPr>
      <w:spacing w:before="280" w:after="290"/>
    </w:pPr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pPr>
      <w:spacing w:before="280" w:after="290"/>
    </w:pPr>
    <w:rPr>
      <w:b/>
      <w:bCs/>
      <w:color w:val="000000"/>
      <w:sz w:val="28"/>
      <w:szCs w:val="28"/>
    </w:rPr>
  </w:style>
  <w:style w:type="paragraph" w:styleId="Heading6">
    <w:name w:val="Heading 6"/>
    <w:basedOn w:val="Normal"/>
    <w:next w:val="Normal"/>
    <w:qFormat/>
    <w:pPr>
      <w:spacing w:before="240" w:after="64"/>
    </w:pPr>
    <w:rPr>
      <w:b/>
      <w:bCs/>
      <w:color w:val="000000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header" Target="header4.xml"/><Relationship Id="rId13" Type="http://schemas.openxmlformats.org/officeDocument/2006/relationships/footer" Target="footer4.xml"/></Relationships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2026-06-11T01:17:21.344Z</dcterms:created>
  <dcterms:modified xsi:type="dcterms:W3CDTF">2026-06-11T01:17:21.344Z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