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本制度由数字工程部提出草。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本制度由数字工程部负责解释。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制造物料清单（MBOM）编制</w:t>
      </w:r>
      <w:r>
        <w:rPr>
          <w:sz w:val="28"/>
          <w:szCs w:val="28"/>
          <w:rFonts w:ascii="黑体" w:cs="黑体" w:eastAsia="黑体" w:hAnsi="黑体"/>
        </w:rPr>
        <w:t xml:space="preserve">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  <w:t xml:space="preserve">本文规定了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赋能流程，MBOM编制，明确各项目物料种类、数量、产品结构关系，成本构成。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制造物料清册（简称MBOM）的编制要求和管理方法。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本程序适用于民机生产。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本程序依据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GLG1405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的要求编制</w:t>
      </w:r>
      <w:r>
        <w:rPr>
          <w:color w:val="121212"/>
          <w:sz w:val="28"/>
          <w:szCs w:val="28"/>
          <w:rFonts w:ascii="华文宋体" w:cs="华文宋体" w:eastAsia="华文宋体" w:hAnsi="华文宋体"/>
        </w:rPr>
        <w:t xml:space="preserve">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GLB140513-02 装配大纲的编制与管理标准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GLB140513-04 装配操作说明的编制与管理标准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          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       FM1405-139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MBOM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维护申请单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3.2引用表格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无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4.1制造物料清册（简称MBOM）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由工艺人员编制的制造单机产品的物料清单，标明产品实际装机状态，按照装配层次列出每一个零件号、数量、版次，工艺文件与其下级工程组件等相关数据。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5.1数字工程部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数字工程部部为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MBOM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的归口管理部门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主要职责如下：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a）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负责组织维护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ERP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系统内的物料主数据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b）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负责ERP系统非交付项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MBOM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的维护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c) 负责组织定期核查产品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MBOM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5.2各生产单位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a）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负责维护交付项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MBOM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b) 负责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MBOM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交付项与分工指令一致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c）负责编制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MBOM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相关材料定额文件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6.1合规管理要求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 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6.2风险管理要求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 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6.3MBOM的管理要求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  <w:shd w:fill="ffffff" w:color="auto" w:val="clear"/>
        </w:rPr>
        <w:t xml:space="preserve">6.3.1  MBOM编制依据：工艺总方案、装配方案、零件清册、工程图样、供应商产品交付规范书、分工指令等文件。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  <w:shd w:fill="fcfcfc" w:color="auto" w:val="clear"/>
        </w:rPr>
        <w:t xml:space="preserve">6.3.2  MBOM包括零组件标准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件、按照架份控制的所有上机原材料，不包括工艺辅料、试验用料等非上机材料以及无法按照架份控制的上机用料。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6.3.3MBOM维护申请单由各生产单位技术员编制,在PDM系统内发放，技术室主任校对，技术副厂长审核后上报数据管理室，经数据管理室技术员审批，数据管理室技术工程师批准后生效。</w:t>
      </w:r>
    </w:p>
    <w:p>
      <w:pPr>
        <w:pStyle w:val="Heading2"/>
        <w:spacing w:before="0" w:after="0"/>
        <w:jc w:val="both"/>
      </w:pPr>
      <w:bookmarkStart w:name="_Toc3d0f" w:id="1"/>
      <w:r>
        <w:rPr>
          <w:color w:val="1b324f"/>
          <w:sz w:val="28"/>
          <w:szCs w:val="28"/>
          <w:rFonts w:ascii="宋体" w:cs="宋体" w:eastAsia="宋体" w:hAnsi="宋体"/>
        </w:rPr>
        <w:t xml:space="preserve">6.4  MBOM维护申请单的填写</w:t>
      </w:r>
      <w:bookmarkEnd w:id="1"/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6.4.1  MBOM申请单须写明具体更改依据，不可只写“工艺完善”。因构型更改产生的MBOM维护申请，一次构型更改的内容须在一个MBOM维护申请单中上报。工序调整、紧固件长度调整、纠错等原因的MBOM更改申请，按照具体原因填写更改依据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6.4.2 当生产单位由于工序调整、紧固件长度调整更改MBOM时，增加与减少的零件、组件或紧固件须同时上报，并且保证增加与减少的数量一致，确保零件、组件和标准件的总数量不变。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6.4.3交付项“工序号”由生产单位按照GLB140513-02、GLB140513-04的要求填写，非交付项为固定值"SACCGX "。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6.4.4 MBOM维护申请单中“长文本1”,“长文本2”，“散装物料”“备注”按需填写，其他为必填项。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6.5 原则上MBOM中的材料定额信息需维护明细定额，对于装配用原材料需维护至工序级，零件用原材料需维护至零件级。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6.6 零件制造单位所承制组件的MBOM结构如与EBOM完全一致，则无需上报MBOM申请单，由数据管理室按照EBOM结构维护。</w:t>
      </w:r>
    </w:p>
    <w:p>
      <w:pPr>
        <w:pStyle w:val="Heading3"/>
        <w:spacing w:before="0" w:after="0"/>
        <w:jc w:val="both"/>
      </w:pPr>
      <w:bookmarkStart w:name="_Toc879c" w:id="1"/>
      <w:r>
        <w:rPr>
          <w:color w:val="1b324f"/>
          <w:sz w:val="28"/>
          <w:szCs w:val="28"/>
          <w:rFonts w:ascii="宋体" w:cs="宋体" w:eastAsia="宋体" w:hAnsi="宋体"/>
        </w:rPr>
        <w:t xml:space="preserve">6.7 各生产单位在收到MBOM更改依据后，相应项目MBOM维护申请单的上报须在5个工作日内完成。新项目首次创建或大量更改按项目需求完成。</w:t>
      </w:r>
      <w:bookmarkEnd w:id="1"/>
    </w:p>
    <w:p>
      <w:pPr>
        <w:pStyle w:val="Heading3"/>
        <w:spacing w:before="0" w:after="0"/>
        <w:jc w:val="both"/>
      </w:pPr>
      <w:bookmarkStart w:name="_Tocb00e" w:id="1"/>
      <w:r>
        <w:rPr>
          <w:color w:val="1b324f"/>
          <w:sz w:val="28"/>
          <w:szCs w:val="28"/>
          <w:rFonts w:ascii="宋体" w:cs="宋体" w:eastAsia="宋体" w:hAnsi="宋体"/>
        </w:rPr>
        <w:t xml:space="preserve">6.8  数据管理室在收到MBOM维护申请单后，3个工作日内完成审查及维护。新项目首次创建或大量更改按照项目需求完成。</w:t>
      </w:r>
      <w:bookmarkEnd w:id="1"/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7.1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制造物料清单（MBOM）编制</w:t>
      </w:r>
      <w:r>
        <w:rPr>
          <w:sz w:val="28"/>
          <w:szCs w:val="28"/>
          <w:rFonts w:ascii="黑体" w:cs="黑体" w:eastAsia="黑体" w:hAnsi="黑体"/>
        </w:rPr>
        <w:t xml:space="preserve">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7.1.1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制造物料清单（MBOM）编制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流程图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drawing>
          <wp:inline distT="0" distB="0" distL="0" distR="0">
            <wp:extent cx="4151936" cy="8315325"/>
            <wp:effectExtent b="0" l="0" r="0" t="0"/>
            <wp:docPr id="1" name="LAST_TFD_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936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制造物料清单（MBOM）编制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流程说明表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（1）编制交付项MBOM，生成PDM系统交付项MBOM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575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交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付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B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O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，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成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P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D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系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交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付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B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O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装配厂技术室工艺员在PDM系统进行消耗式分配或自发更改，编制交付项MBOM,生成PDM系统交付项MBOM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0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装配厂技术室工艺员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21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工程零件清册,工程零件清册更改单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交付项MBOM维护申请单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4659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（2）审核MBOM维护申请单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核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B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O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护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申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请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装配厂技术室主任审核MBOM维护申请单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装配厂技术室主任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交付项MBOM维护申请单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交付项MBOM维护申请单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9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（3）批准MBOM维护申请单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准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B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O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护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申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请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装配厂技术厂长批准MBOM维护申请单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20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装配厂技术厂长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交付项MBOM维护申请单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交付项MBOM维护申请单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9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（4）编制非交付项MBOM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非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交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付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B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O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数据管理室技术员编制非交付项MBOM，生成非交付项MBOM维护申请单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数据管理室技术员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21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工程零件清册,工程零件清册更改单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非交付项MBOM申请单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（5）批准MBOM维护申请单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准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B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O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护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申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请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数据管理室技术工程师批准非交付项MBOM维护申请单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数据管理室技术工程师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非交付项MBOM申请单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非交付项MBOM申请单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9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6"/>
          <w:footerReference w:type="default" r:id="rId27"/>
          <w:pgSz w:w="11906" w:h="16838" w:orient="portrait"/>
          <w:pgMar w:top="1440" w:right="1802" w:bottom="1440" w:left="1802" w:header="708" w:footer="708" w:gutter="0"/>
          <w:pgNumType w:start="11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（6）生成MBOM变更数据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成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B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O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变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数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据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数据管理室技术员维护分工路线，同时导出MBOM变更数据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数据管理室技术员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265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非交付项MBOM申请单,交付项MBOM维护申请单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PDM系统MBOM变更数据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分工指令的编制与更改标准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8"/>
          <w:footerReference w:type="default" r:id="rId29"/>
          <w:pgSz w:w="11906" w:h="16838" w:orient="portrait"/>
          <w:pgMar w:top="1440" w:right="1802" w:bottom="1440" w:left="1802" w:header="708" w:footer="708" w:gutter="0"/>
          <w:pgNumType w:start="1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（7）导入ERP系统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导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E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R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P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系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统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数据管理室技术员将PDM系统MBOM变更数据导入ERP系统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数据管理室技术员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PDM系统MBOM变更数据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ERP系统MBOM数据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30"/>
          <w:footerReference w:type="default" r:id="rId31"/>
          <w:pgSz w:w="11906" w:h="16838" w:orient="portrait"/>
          <w:pgMar w:top="1440" w:right="1802" w:bottom="1440" w:left="1802" w:header="708" w:footer="708" w:gutter="0"/>
          <w:pgNumType w:start="13" w:fmt="decimal"/>
          <w:docGrid w:linePitch="360"/>
        </w:sectPr>
      </w:pP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6780"/>
      </w:tblGrid>
      <w:tr>
        <w:trPr>
          <w:tblHeader w:val="false"/>
          <w:trHeight w:val="63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角色名称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职责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分工路线编制技术员
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负责对零件加工过程进行分析，并完成分工路线的编制
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交付项目MBOM编制工艺员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负责完成交付项目MBOM的编制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材料定额编制工艺员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负责完成材料定额的编制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理化定额编制技术员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负责完成理化定额的编制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物料数据维护技术员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负责完成物料主数据的编制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"/>
        <w:gridCol w:w="2475"/>
        <w:gridCol w:w="3105"/>
        <w:gridCol w:w="1650"/>
      </w:tblGrid>
      <w:tr>
        <w:trPr>
          <w:tblHeader w:val="false"/>
          <w:trHeight w:val="630" w:hRule="atLeast"/>
        </w:trPr>
        <w:tc>
          <w:tcPr>
            <w:tcW w:type="dxa" w:w="8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序号</w:t>
            </w:r>
          </w:p>
        </w:tc>
        <w:tc>
          <w:tcPr>
            <w:tcW w:type="dxa" w:w="247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流程绩效指标</w:t>
            </w:r>
          </w:p>
        </w:tc>
        <w:tc>
          <w:tcPr>
            <w:tcW w:type="dxa" w:w="310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指标定义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目标值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8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</w:t>
            </w:r>
          </w:p>
        </w:tc>
        <w:tc>
          <w:tcPr>
            <w:tcW w:type="dxa" w:w="24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在周期内生成准确的满足物料需求计划生成的MBOM信息</w:t>
            </w:r>
          </w:p>
        </w:tc>
        <w:tc>
          <w:tcPr>
            <w:tcW w:type="dxa" w:w="310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从接收工程信息解构到生成准确MBOM的总时长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参见xx文件</w:t>
            </w:r>
          </w:p>
        </w:tc>
      </w:tr>
    </w:tbl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32"/>
          <w:footerReference w:type="default" r:id="rId33"/>
          <w:pgSz w:w="11906" w:h="16838" w:orient="portrait"/>
          <w:pgMar w:top="1440" w:right="1802" w:bottom="1440" w:left="1802" w:header="708" w:footer="708" w:gutter="0"/>
          <w:pgNumType w:start="14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1035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指标名称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在周期内生成准确的满足物料需求计划生成的MBOM信息 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设置目的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监控MBOM编制的准确性、及时性满足物料需求计划生成 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指标定义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从接收工程信息解构到生成准确MBOM的总时长 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计算公式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生成准确MBOM的总时长=准确的MBOM生成时间-工程信息解构发布时间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数据来源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依托PDM系统、ERP系统未完成数据收集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计量单位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天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统计周期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月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统计口径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全公司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统计部门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数字工程部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说明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说明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GLB140509-01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分工指令的编制与更改标准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  <w:shd w:fill="ffffff" w:color="auto" w:val="clear"/>
        </w:rPr>
        <w:t xml:space="preserve">11.1  MBOM维护申请单在PDM系统内保存。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34"/>
      <w:footerReference w:type="default" r:id="rId35"/>
      <w:pgSz w:w="11906" w:h="16838" w:orient="portrait"/>
      <w:pgMar w:top="1440" w:right="1802" w:bottom="1440" w:left="1802" w:header="708" w:footer="708" w:gutter="0"/>
      <w:pgNumType w:start="15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image" Target="media/y6x95obka_zgt91lm3oa3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2026-06-10T09:08:24.171Z</dcterms:created>
  <dcterms:modified xsi:type="dcterms:W3CDTF">2026-06-10T09:08:24.171Z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