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  <Override ContentType="application/vnd.openxmlformats-officedocument.wordprocessingml.header+xml" PartName="/word/header11.xml"/>
  <Override ContentType="application/vnd.openxmlformats-officedocument.wordprocessingml.footer+xml" PartName="/word/footer1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  <w:jc w:val="center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前    言</w:t>
      </w:r>
    </w:p>
    <w:p>
      <w:pPr>
        <w:spacing w:before="0" w:after="0"/>
        <w:jc w:val="center"/>
      </w:pPr>
      <w:r>
        <w:rPr>
          <w:color w:val="1b324f"/>
          <w:sz w:val="21"/>
          <w:szCs w:val="21"/>
          <w:rFonts w:ascii="宋体" w:cs="宋体" w:eastAsia="宋体" w:hAnsi="宋体"/>
        </w:rPr>
        <w:t xml:space="preserve"> </w:t>
      </w:r>
    </w:p>
    <w:p>
      <w:pPr>
        <w:spacing w:before="0" w:after="0"/>
        <w:jc w:val="center"/>
      </w:pPr>
      <w:r>
        <w:rPr>
          <w:color w:val="1b324f"/>
          <w:sz w:val="21"/>
          <w:szCs w:val="21"/>
          <w:rFonts w:ascii="宋体" w:cs="宋体" w:eastAsia="宋体" w:hAnsi="宋体"/>
        </w:rPr>
        <w:t xml:space="preserve"> </w:t>
      </w:r>
    </w:p>
    <w:p>
      <w:pPr>
        <w:spacing w:before="0" w:after="0"/>
        <w:jc w:val="both"/>
      </w:pPr>
      <w:r>
        <w:rPr>
          <w:color w:val="1b324f"/>
          <w:sz w:val="21"/>
          <w:szCs w:val="21"/>
          <w:rFonts w:ascii="宋体" w:cs="宋体" w:eastAsia="宋体" w:hAnsi="宋体"/>
        </w:rPr>
        <w:t xml:space="preserve">本制度属于支撑类管理制度。</w:t>
      </w:r>
    </w:p>
    <w:p>
      <w:pPr>
        <w:spacing w:before="0" w:after="0"/>
        <w:jc w:val="both"/>
      </w:pPr>
      <w:r>
        <w:rPr>
          <w:color w:val="1b324f"/>
          <w:sz w:val="21"/>
          <w:szCs w:val="21"/>
          <w:rFonts w:ascii="宋体" w:cs="宋体" w:eastAsia="宋体" w:hAnsi="宋体"/>
        </w:rPr>
        <w:t xml:space="preserve">本制度由科技创新部参与起草。</w:t>
      </w:r>
    </w:p>
    <w:p>
      <w:pPr>
        <w:spacing w:before="0" w:after="0"/>
        <w:jc w:val="both"/>
      </w:pPr>
      <w:r>
        <w:rPr>
          <w:color w:val="1b324f"/>
          <w:sz w:val="21"/>
          <w:szCs w:val="21"/>
          <w:rFonts w:ascii="宋体" w:cs="宋体" w:eastAsia="宋体" w:hAnsi="宋体"/>
        </w:rPr>
        <w:t xml:space="preserve">本制度由科技创新部负责解释。</w:t>
      </w:r>
      <w:r>
        <w:rPr>
          <w:sz w:val="28"/>
          <w:szCs w:val="28"/>
          <w:rFonts w:ascii="宋体" w:cs="宋体" w:eastAsia="宋体" w:hAnsi="宋体"/>
        </w:rPr>
        <w:br/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6"/>
          <w:footerReference w:type="default" r:id="rId7"/>
          <w:pgSz w:w="11906" w:h="16838" w:orient="portrait"/>
          <w:pgMar w:top="1440" w:right="1802" w:bottom="1440" w:left="1802" w:header="708" w:footer="708" w:gutter="0"/>
          <w:pgNumType w:start="1" w:fmt="decimal"/>
          <w:docGrid w:linePitch="360"/>
        </w:sectPr>
      </w:pPr>
    </w:p>
    <w:p>
      <w:pPr>
        <w:spacing w:before="0" w:after="0"/>
        <w:jc w:val="center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工装技术方案评审管理标准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1  范围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华文黑体" w:cs="华文黑体" w:eastAsia="华文黑体" w:hAnsi="华文黑体"/>
        </w:rPr>
        <w:t xml:space="preserve">本文件规定了工</w:t>
      </w:r>
      <w:r>
        <w:rPr>
          <w:color w:val="1b324f"/>
          <w:sz w:val="28"/>
          <w:szCs w:val="28"/>
          <w:rFonts w:ascii="华文黑体" w:cs="华文黑体" w:eastAsia="华文黑体" w:hAnsi="华文黑体"/>
        </w:rPr>
        <w:t xml:space="preserve">装技术方案评审的管理流程</w:t>
      </w:r>
      <w:r>
        <w:rPr>
          <w:color w:val="000000"/>
          <w:sz w:val="28"/>
          <w:szCs w:val="28"/>
          <w:rFonts w:ascii="华文黑体" w:cs="华文黑体" w:eastAsia="华文黑体" w:hAnsi="华文黑体"/>
        </w:rPr>
        <w:t xml:space="preserve">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华文黑体" w:cs="华文黑体" w:eastAsia="华文黑体" w:hAnsi="华文黑体"/>
        </w:rPr>
        <w:t xml:space="preserve">本文件适用于民机项目/所有项目。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华文黑体" w:cs="华文黑体" w:eastAsia="华文黑体" w:hAnsi="华文黑体"/>
        </w:rPr>
        <w:t xml:space="preserve">本文件依据GLC140602和GLC14070202制定。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2  规范性引用文件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华文黑体" w:cs="华文黑体" w:eastAsia="华文黑体" w:hAnsi="华文黑体"/>
        </w:rPr>
        <w:t xml:space="preserve">下列文件对于本文件的应用是必不可少的。凡是注日期或（和）版次的引用文件，仅注日期或（和）版次的版本适用于本文件。凡是不注日期或（和）版次的引用文件，其最新版本（包括所有的修改单）适用于本文件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华文黑体" w:cs="华文黑体" w:eastAsia="华文黑体" w:hAnsi="华文黑体"/>
        </w:rPr>
        <w:t xml:space="preserve">GLC140602 </w:t>
      </w:r>
      <w:r>
        <w:rPr>
          <w:color w:val="1b324f"/>
          <w:sz w:val="28"/>
          <w:szCs w:val="28"/>
          <w:rFonts w:ascii="华文黑体" w:cs="华文黑体" w:eastAsia="华文黑体" w:hAnsi="华文黑体"/>
        </w:rPr>
      </w:r>
      <w:r>
        <w:rPr>
          <w:color w:val="1b324f"/>
          <w:sz w:val="28"/>
          <w:szCs w:val="28"/>
          <w:rFonts w:ascii="华文黑体" w:cs="华文黑体" w:eastAsia="华文黑体" w:hAnsi="华文黑体"/>
        </w:rPr>
      </w:r>
      <w:r>
        <w:rPr>
          <w:color w:val="1b324f"/>
          <w:sz w:val="28"/>
          <w:szCs w:val="28"/>
          <w:rFonts w:ascii="华文黑体" w:cs="华文黑体" w:eastAsia="华文黑体" w:hAnsi="华文黑体"/>
        </w:rPr>
        <w:t xml:space="preserve"> 工艺评审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华文黑体" w:cs="华文黑体" w:eastAsia="华文黑体" w:hAnsi="华文黑体"/>
        </w:rPr>
        <w:t xml:space="preserve">GLC14070202</w:t>
      </w:r>
      <w:r>
        <w:rPr>
          <w:color w:val="1b324f"/>
          <w:sz w:val="28"/>
          <w:szCs w:val="28"/>
          <w:rFonts w:ascii="华文黑体" w:cs="华文黑体" w:eastAsia="华文黑体" w:hAnsi="华文黑体"/>
        </w:rPr>
      </w:r>
      <w:r>
        <w:rPr>
          <w:color w:val="1b324f"/>
          <w:sz w:val="28"/>
          <w:szCs w:val="28"/>
          <w:rFonts w:ascii="华文黑体" w:cs="华文黑体" w:eastAsia="华文黑体" w:hAnsi="华文黑体"/>
        </w:rPr>
      </w:r>
      <w:r>
        <w:rPr>
          <w:color w:val="1b324f"/>
          <w:sz w:val="28"/>
          <w:szCs w:val="28"/>
          <w:rFonts w:ascii="华文黑体" w:cs="华文黑体" w:eastAsia="华文黑体" w:hAnsi="华文黑体"/>
        </w:rPr>
        <w:t xml:space="preserve">工装设计与更改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3  表格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3.1规定表格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无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3.2引用表格</w:t>
      </w:r>
    </w:p>
    <w:p>
      <w:pPr>
        <w:spacing w:before="0" w:after="0"/>
        <w:jc w:val="both"/>
      </w:pPr>
      <w:r>
        <w:rPr>
          <w:sz w:val="28"/>
          <w:szCs w:val="28"/>
          <w:rFonts w:ascii="宋体" w:cs="宋体" w:eastAsia="宋体" w:hAnsi="宋体"/>
        </w:rPr>
        <w:t xml:space="preserve">FM1405-50</w:t>
      </w:r>
      <w:r>
        <w:rPr>
          <w:sz w:val="28"/>
          <w:szCs w:val="28"/>
          <w:rFonts w:ascii="华文黑体" w:cs="华文黑体" w:eastAsia="华文黑体" w:hAnsi="华文黑体"/>
        </w:rPr>
      </w:r>
      <w:r>
        <w:rPr>
          <w:sz w:val="28"/>
          <w:szCs w:val="28"/>
          <w:rFonts w:ascii="华文黑体" w:cs="华文黑体" w:eastAsia="华文黑体" w:hAnsi="华文黑体"/>
        </w:rPr>
        <w:t xml:space="preserve">工艺装备申请单</w:t>
      </w:r>
    </w:p>
    <w:p>
      <w:pPr>
        <w:spacing w:before="0" w:after="0" w:line="210" w:lineRule="exact"/>
      </w:pPr>
      <w:r>
        <w:rPr>
          <w:color w:val="0070c0"/>
          <w:sz w:val="21"/>
          <w:szCs w:val="21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4  术语和定义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工装技术方案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8"/>
          <w:footerReference w:type="default" r:id="rId9"/>
          <w:pgSz w:w="11906" w:h="16838" w:orient="portrait"/>
          <w:pgMar w:top="1440" w:right="1802" w:bottom="1440" w:left="1802" w:header="708" w:footer="708" w:gutter="0"/>
          <w:pgNumType w:start="2" w:fmt="decimal"/>
          <w:docGrid w:linePitch="360"/>
        </w:sectPr>
      </w:pP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华文黑体" w:cs="华文黑体" w:eastAsia="华文黑体" w:hAnsi="华文黑体"/>
        </w:rPr>
        <w:t xml:space="preserve">为了保证工装最终的设计方案符合技术条件、满足使用要求，且充分考虑可制造性、经济型、安全性、人机工程学等因素，适应工装发展方向，在工装设计前编制的用以阐述工装结构、功能、关键参数、成品选型等内容的技术文件，内容中包括承诺的交付计划、质量保证、交付资料等</w:t>
      </w:r>
      <w:r>
        <w:rPr>
          <w:b/>
          <w:bCs/>
          <w:i/>
          <w:iCs/>
          <w:color w:val="0070c0"/>
          <w:sz w:val="28"/>
          <w:szCs w:val="28"/>
          <w:rFonts w:ascii="华文黑体" w:cs="华文黑体" w:eastAsia="华文黑体" w:hAnsi="华文黑体"/>
        </w:rPr>
        <w:t xml:space="preserve">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5  规定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华文黑体" w:cs="华文黑体" w:eastAsia="华文黑体" w:hAnsi="华文黑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华文黑体" w:cs="华文黑体" w:eastAsia="华文黑体" w:hAnsi="华文黑体"/>
        </w:rPr>
        <w:t xml:space="preserve">5.1工装申请单位依据工装重要、复杂程度，在工艺装备申请单中明确是否需要编制工装技术方案。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华文黑体" w:cs="华文黑体" w:eastAsia="华文黑体" w:hAnsi="华文黑体"/>
        </w:rPr>
        <w:t xml:space="preserve">5.2工装技术方案评审由各项目副总工艺师组织，评审组成员包括使用单位技术厂长、技术室主任、专家/技术员，工艺装备室专家/技术员、工装设计室专家/设计员，必要时可邀请其他单位专家和工装技术方案编制者参与评审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华文黑体" w:cs="华文黑体" w:eastAsia="华文黑体" w:hAnsi="华文黑体"/>
        </w:rPr>
        <w:t xml:space="preserve">5.3工装设计室负责提供由其负责设计的工装技术方案，工艺装备室负责提供由外协供应商设计的工装技术方案。工装技术方案提交项目副总工艺师后，需在5个工作日内完成评审。评审结论应至少包括是否允许按方案启动设计、需要修改的内容、是否需要重新提交评审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华文黑体" w:cs="华文黑体" w:eastAsia="华文黑体" w:hAnsi="华文黑体"/>
        </w:rPr>
        <w:t xml:space="preserve">5.4工装技术方案的编制模板见附录A；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华文黑体" w:cs="华文黑体" w:eastAsia="华文黑体" w:hAnsi="华文黑体"/>
        </w:rPr>
        <w:t xml:space="preserve">5.5评审时，需至少针对附录B《工装技术方案评审检查表》的内容提供反馈意见，是否合格。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  标准图例说明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无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7  记录控制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10"/>
          <w:footerReference w:type="default" r:id="rId11"/>
          <w:pgSz w:w="11906" w:h="16838" w:orient="portrait"/>
          <w:pgMar w:top="1440" w:right="1802" w:bottom="1440" w:left="1802" w:header="708" w:footer="708" w:gutter="0"/>
          <w:pgNumType w:start="3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 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华文黑体" w:cs="华文黑体" w:eastAsia="华文黑体" w:hAnsi="华文黑体"/>
        </w:rPr>
        <w:t xml:space="preserve">相关记录的填写和维护按程序文件GLC231008要求执行。</w:t>
      </w:r>
      <w:r>
        <w:rPr>
          <w:sz w:val="28"/>
          <w:szCs w:val="28"/>
          <w:rFonts w:ascii="宋体" w:cs="宋体" w:eastAsia="宋体" w:hAnsi="宋体"/>
        </w:rPr>
        <w:br/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12"/>
          <w:footerReference w:type="default" r:id="rId13"/>
          <w:pgSz w:w="11906" w:h="16838" w:orient="portrait"/>
          <w:pgMar w:top="1440" w:right="1802" w:bottom="1440" w:left="1802" w:header="708" w:footer="708" w:gutter="0"/>
          <w:pgNumType w:start="4" w:fmt="decimal"/>
          <w:docGrid w:linePitch="360"/>
        </w:sectPr>
      </w:pPr>
    </w:p>
    <w:p>
      <w:pPr>
        <w:spacing w:before="0" w:after="0"/>
        <w:jc w:val="center"/>
      </w:pPr>
      <w:r>
        <w:rPr>
          <w:color w:val="1b324f"/>
          <w:sz w:val="32"/>
          <w:szCs w:val="32"/>
          <w:rFonts w:ascii="宋体" w:cs="宋体" w:eastAsia="宋体" w:hAnsi="宋体"/>
        </w:rPr>
        <w:t xml:space="preserve">附录A：</w:t>
      </w:r>
      <w:r>
        <w:rPr>
          <w:i/>
          <w:iCs/>
          <w:u w:val="single"/>
          <w:color w:val="1b324f"/>
          <w:sz w:val="32"/>
          <w:szCs w:val="32"/>
          <w:rFonts w:ascii="宋体" w:cs="宋体" w:eastAsia="宋体" w:hAnsi="宋体"/>
        </w:rPr>
        <w:t xml:space="preserve">工装图号</w:t>
      </w:r>
      <w:r>
        <w:rPr>
          <w:i/>
          <w:iCs/>
          <w:color w:val="1b324f"/>
          <w:sz w:val="32"/>
          <w:szCs w:val="32"/>
          <w:rFonts w:ascii="宋体" w:cs="宋体" w:eastAsia="宋体" w:hAnsi="宋体"/>
        </w:rPr>
        <w:t xml:space="preserve">+</w:t>
      </w:r>
      <w:r>
        <w:rPr>
          <w:i/>
          <w:iCs/>
          <w:u w:val="single"/>
          <w:color w:val="1b324f"/>
          <w:sz w:val="32"/>
          <w:szCs w:val="32"/>
          <w:rFonts w:ascii="宋体" w:cs="宋体" w:eastAsia="宋体" w:hAnsi="宋体"/>
        </w:rPr>
        <w:t xml:space="preserve">工装名称 </w:t>
      </w:r>
      <w:r>
        <w:rPr>
          <w:color w:val="1b324f"/>
          <w:sz w:val="32"/>
          <w:szCs w:val="32"/>
          <w:rFonts w:ascii="宋体" w:cs="宋体" w:eastAsia="宋体" w:hAnsi="宋体"/>
        </w:rPr>
        <w:t xml:space="preserve">工装技术方案</w:t>
      </w:r>
    </w:p>
    <w:p>
      <w:pPr>
        <w:spacing w:before="0" w:after="0"/>
        <w:jc w:val="center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一、工装性能指标</w:t>
      </w:r>
    </w:p>
    <w:p>
      <w:pPr>
        <w:spacing w:before="0" w:after="0"/>
        <w:jc w:val="center"/>
      </w:pPr>
      <w:r>
        <w:rPr>
          <w:i/>
          <w:iCs/>
          <w:color w:val="1b324f"/>
          <w:sz w:val="21"/>
          <w:szCs w:val="21"/>
          <w:rFonts w:ascii="宋体" w:cs="宋体" w:eastAsia="宋体" w:hAnsi="宋体"/>
        </w:rPr>
        <w:t xml:space="preserve">详细描述技术条件的每项要求是如何实现的，包括但不限于工装尺寸、材料、重量、主要结构、出入架方式、定位器形式和精度、电气液系统、运动装置、成品件选型等，需要配以草图、截图等直观性说明材料。</w:t>
      </w:r>
    </w:p>
    <w:p>
      <w:pPr>
        <w:spacing w:before="0" w:after="0"/>
        <w:jc w:val="center"/>
      </w:pPr>
      <w:r>
        <w:rPr>
          <w:i/>
          <w:iCs/>
          <w:color w:val="1b324f"/>
          <w:sz w:val="21"/>
          <w:szCs w:val="21"/>
          <w:rFonts w:ascii="宋体" w:cs="宋体" w:eastAsia="宋体" w:hAnsi="宋体"/>
        </w:rPr>
        <w:t xml:space="preserve">1.</w:t>
      </w:r>
    </w:p>
    <w:p>
      <w:pPr>
        <w:spacing w:before="0" w:after="0"/>
        <w:jc w:val="center"/>
      </w:pPr>
      <w:r>
        <w:rPr>
          <w:i/>
          <w:iCs/>
          <w:color w:val="1b324f"/>
          <w:sz w:val="21"/>
          <w:szCs w:val="21"/>
          <w:rFonts w:ascii="宋体" w:cs="宋体" w:eastAsia="宋体" w:hAnsi="宋体"/>
        </w:rPr>
        <w:t xml:space="preserve">1.1</w:t>
      </w:r>
    </w:p>
    <w:p>
      <w:pPr>
        <w:spacing w:before="0" w:after="0"/>
        <w:jc w:val="center"/>
      </w:pPr>
      <w:r>
        <w:rPr>
          <w:i/>
          <w:iCs/>
          <w:color w:val="1b324f"/>
          <w:sz w:val="21"/>
          <w:szCs w:val="21"/>
          <w:rFonts w:ascii="宋体" w:cs="宋体" w:eastAsia="宋体" w:hAnsi="宋体"/>
        </w:rPr>
        <w:t xml:space="preserve">……</w:t>
      </w:r>
    </w:p>
    <w:p>
      <w:pPr>
        <w:spacing w:before="0" w:after="0"/>
        <w:jc w:val="center"/>
      </w:pPr>
      <w:r>
        <w:rPr>
          <w:i/>
          <w:iCs/>
          <w:color w:val="1b324f"/>
          <w:sz w:val="21"/>
          <w:szCs w:val="21"/>
          <w:rFonts w:ascii="宋体" w:cs="宋体" w:eastAsia="宋体" w:hAnsi="宋体"/>
        </w:rPr>
        <w:t xml:space="preserve">2.</w:t>
      </w:r>
    </w:p>
    <w:p>
      <w:pPr>
        <w:spacing w:before="0" w:after="0"/>
        <w:jc w:val="center"/>
      </w:pPr>
      <w:r>
        <w:rPr>
          <w:i/>
          <w:iCs/>
          <w:color w:val="1b324f"/>
          <w:sz w:val="21"/>
          <w:szCs w:val="21"/>
          <w:rFonts w:ascii="宋体" w:cs="宋体" w:eastAsia="宋体" w:hAnsi="宋体"/>
        </w:rPr>
        <w:t xml:space="preserve">2.1</w:t>
      </w:r>
    </w:p>
    <w:p>
      <w:pPr>
        <w:spacing w:before="0" w:after="0"/>
        <w:jc w:val="center"/>
      </w:pPr>
      <w:r>
        <w:rPr>
          <w:i/>
          <w:iCs/>
          <w:color w:val="1b324f"/>
          <w:sz w:val="21"/>
          <w:szCs w:val="21"/>
          <w:rFonts w:ascii="宋体" w:cs="宋体" w:eastAsia="宋体" w:hAnsi="宋体"/>
        </w:rPr>
        <w:t xml:space="preserve">……</w:t>
      </w:r>
    </w:p>
    <w:p>
      <w:pPr>
        <w:spacing w:before="0" w:after="0"/>
        <w:jc w:val="center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二、技术条件响应</w:t>
      </w:r>
    </w:p>
    <w:p>
      <w:pPr>
        <w:spacing w:before="0" w:after="0" w:line="210" w:lineRule="exact"/>
        <w:jc w:val="center"/>
      </w:pPr>
      <w:r>
        <w:rPr>
          <w:color w:val="1b324f"/>
          <w:sz w:val="21"/>
          <w:szCs w:val="21"/>
          <w:rFonts w:ascii="宋体" w:cs="宋体" w:eastAsia="宋体" w:hAnsi="宋体"/>
        </w:rPr>
      </w:r>
    </w:p>
    <w:p>
      <w:pPr>
        <w:spacing w:before="0" w:after="0" w:line="210" w:lineRule="exact"/>
        <w:jc w:val="center"/>
      </w:pPr>
      <w:r>
        <w:rPr>
          <w:color w:val="1b324f"/>
          <w:sz w:val="21"/>
          <w:szCs w:val="21"/>
          <w:rFonts w:ascii="宋体" w:cs="宋体" w:eastAsia="宋体" w:hAnsi="宋体"/>
        </w:rPr>
      </w:r>
    </w:p>
    <w:p>
      <w:pPr>
        <w:spacing w:before="0" w:after="0" w:line="280" w:lineRule="exact"/>
        <w:jc w:val="center"/>
      </w:pPr>
      <w:r>
        <w:rPr>
          <w:sz w:val="28"/>
          <w:szCs w:val="28"/>
          <w:rFonts w:ascii="宋体" w:cs="宋体" w:eastAsia="宋体" w:hAnsi="宋体"/>
        </w:rPr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0"/>
        <w:gridCol w:w="2070"/>
        <w:gridCol w:w="2070"/>
        <w:gridCol w:w="2070"/>
      </w:tblGrid>
      <w:tr>
        <w:trPr>
          <w:tblHeader w:val="false"/>
          <w:trHeight w:val="1035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1b324f"/>
                <w:sz w:val="21"/>
                <w:szCs w:val="21"/>
                <w:rFonts w:ascii="宋体" w:cs="宋体" w:eastAsia="宋体" w:hAnsi="宋体"/>
              </w:rPr>
              <w:t xml:space="preserve">序号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1b324f"/>
                <w:sz w:val="21"/>
                <w:szCs w:val="21"/>
                <w:rFonts w:ascii="宋体" w:cs="宋体" w:eastAsia="宋体" w:hAnsi="宋体"/>
              </w:rPr>
              <w:t xml:space="preserve">技术条件章节及条款内容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1b324f"/>
                <w:sz w:val="21"/>
                <w:szCs w:val="21"/>
                <w:rFonts w:ascii="宋体" w:cs="宋体" w:eastAsia="宋体" w:hAnsi="宋体"/>
              </w:rPr>
              <w:t xml:space="preserve">技术方案章节及条款内容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1b324f"/>
                <w:sz w:val="21"/>
                <w:szCs w:val="21"/>
                <w:rFonts w:ascii="宋体" w:cs="宋体" w:eastAsia="宋体" w:hAnsi="宋体"/>
              </w:rPr>
              <w:t xml:space="preserve">偏差说明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 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 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2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 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 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3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 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 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4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 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 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5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 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 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……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 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 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 </w:t>
            </w:r>
          </w:p>
        </w:tc>
      </w:tr>
    </w:tbl>
    <w:p>
      <w:pPr>
        <w:spacing w:before="0" w:after="0" w:line="280" w:lineRule="exact"/>
        <w:jc w:val="center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center"/>
      </w:pPr>
      <w:r>
        <w:rPr>
          <w:i/>
          <w:iCs/>
          <w:color w:val="1b324f"/>
          <w:sz w:val="21"/>
          <w:szCs w:val="21"/>
          <w:rFonts w:ascii="宋体" w:cs="宋体" w:eastAsia="宋体" w:hAnsi="宋体"/>
        </w:rPr>
        <w:t xml:space="preserve">说明：技术条件中的每一条要求，在第一节中的第几条进行了响应，如果有偏离，说明具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14"/>
          <w:footerReference w:type="default" r:id="rId15"/>
          <w:pgSz w:w="11906" w:h="16838" w:orient="portrait"/>
          <w:pgMar w:top="1440" w:right="1802" w:bottom="1440" w:left="1802" w:header="708" w:footer="708" w:gutter="0"/>
          <w:pgNumType w:start="5" w:fmt="decimal"/>
          <w:docGrid w:linePitch="360"/>
        </w:sectPr>
      </w:pPr>
    </w:p>
    <w:p>
      <w:pPr>
        <w:spacing w:before="0" w:after="0"/>
        <w:jc w:val="center"/>
      </w:pPr>
      <w:r>
        <w:rPr>
          <w:i/>
          <w:iCs/>
          <w:color w:val="1b324f"/>
          <w:sz w:val="21"/>
          <w:szCs w:val="21"/>
          <w:rFonts w:ascii="宋体" w:cs="宋体" w:eastAsia="宋体" w:hAnsi="宋体"/>
        </w:rPr>
        <w:t xml:space="preserve">体情况。</w:t>
      </w:r>
    </w:p>
    <w:p>
      <w:pPr>
        <w:spacing w:before="0" w:after="0"/>
        <w:jc w:val="center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三、计划安排</w:t>
      </w:r>
    </w:p>
    <w:p>
      <w:pPr>
        <w:spacing w:before="0" w:after="0"/>
        <w:jc w:val="center"/>
      </w:pPr>
      <w:r>
        <w:rPr>
          <w:i/>
          <w:iCs/>
          <w:color w:val="1b324f"/>
          <w:sz w:val="21"/>
          <w:szCs w:val="21"/>
          <w:rFonts w:ascii="宋体" w:cs="宋体" w:eastAsia="宋体" w:hAnsi="宋体"/>
        </w:rPr>
        <w:t xml:space="preserve">本条适用于外协设计。</w:t>
      </w:r>
    </w:p>
    <w:p>
      <w:pPr>
        <w:spacing w:before="0" w:after="0"/>
        <w:jc w:val="center"/>
      </w:pPr>
      <w:r>
        <w:rPr>
          <w:i/>
          <w:iCs/>
          <w:color w:val="1b324f"/>
          <w:sz w:val="21"/>
          <w:szCs w:val="21"/>
          <w:rFonts w:ascii="宋体" w:cs="宋体" w:eastAsia="宋体" w:hAnsi="宋体"/>
        </w:rPr>
        <w:t xml:space="preserve">说明供应商计划为此工装投入的设计、技术、工人等人力资源，关键里程碑节点及最终交付节点。注：这里的计划若经评审通过后，作为供应商进度考核标准。</w:t>
      </w:r>
    </w:p>
    <w:p>
      <w:pPr>
        <w:spacing w:before="0" w:after="0"/>
        <w:jc w:val="center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四、文件资料</w:t>
      </w:r>
    </w:p>
    <w:p>
      <w:pPr>
        <w:spacing w:before="0" w:after="0"/>
        <w:jc w:val="center"/>
      </w:pPr>
      <w:r>
        <w:rPr>
          <w:i/>
          <w:iCs/>
          <w:color w:val="1b324f"/>
          <w:sz w:val="21"/>
          <w:szCs w:val="21"/>
          <w:rFonts w:ascii="宋体" w:cs="宋体" w:eastAsia="宋体" w:hAnsi="宋体"/>
        </w:rPr>
        <w:t xml:space="preserve">本条适用于外协设计。</w:t>
      </w:r>
    </w:p>
    <w:p>
      <w:pPr>
        <w:spacing w:before="0" w:after="0"/>
        <w:jc w:val="center"/>
      </w:pPr>
      <w:r>
        <w:rPr>
          <w:i/>
          <w:iCs/>
          <w:color w:val="1b324f"/>
          <w:sz w:val="21"/>
          <w:szCs w:val="21"/>
          <w:rFonts w:ascii="宋体" w:cs="宋体" w:eastAsia="宋体" w:hAnsi="宋体"/>
        </w:rPr>
        <w:t xml:space="preserve">说明工装交付时的文件包含哪些。</w:t>
      </w:r>
    </w:p>
    <w:p>
      <w:pPr>
        <w:spacing w:before="0" w:after="0"/>
        <w:jc w:val="center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五、验收和培训</w:t>
      </w:r>
    </w:p>
    <w:p>
      <w:pPr>
        <w:spacing w:before="0" w:after="0"/>
        <w:jc w:val="center"/>
      </w:pPr>
      <w:r>
        <w:rPr>
          <w:i/>
          <w:iCs/>
          <w:color w:val="1b324f"/>
          <w:sz w:val="21"/>
          <w:szCs w:val="21"/>
          <w:rFonts w:ascii="宋体" w:cs="宋体" w:eastAsia="宋体" w:hAnsi="宋体"/>
        </w:rPr>
        <w:t xml:space="preserve">本条适用于外协设计。</w:t>
      </w:r>
    </w:p>
    <w:p>
      <w:pPr>
        <w:spacing w:before="0" w:after="0"/>
        <w:jc w:val="center"/>
      </w:pPr>
      <w:r>
        <w:rPr>
          <w:i/>
          <w:iCs/>
          <w:color w:val="1b324f"/>
          <w:sz w:val="21"/>
          <w:szCs w:val="21"/>
          <w:rFonts w:ascii="宋体" w:cs="宋体" w:eastAsia="宋体" w:hAnsi="宋体"/>
        </w:rPr>
        <w:t xml:space="preserve">说明验收方式、是否提供培训及培训方法。</w:t>
      </w:r>
    </w:p>
    <w:p>
      <w:pPr>
        <w:spacing w:before="0" w:after="0"/>
        <w:jc w:val="center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六、质量保证及售后服务</w:t>
      </w:r>
    </w:p>
    <w:p>
      <w:pPr>
        <w:spacing w:before="0" w:after="0"/>
        <w:jc w:val="center"/>
      </w:pPr>
      <w:r>
        <w:rPr>
          <w:i/>
          <w:iCs/>
          <w:color w:val="1b324f"/>
          <w:sz w:val="21"/>
          <w:szCs w:val="21"/>
          <w:rFonts w:ascii="宋体" w:cs="宋体" w:eastAsia="宋体" w:hAnsi="宋体"/>
        </w:rPr>
        <w:t xml:space="preserve">本条适用于外协设计。</w:t>
      </w:r>
    </w:p>
    <w:p>
      <w:pPr>
        <w:spacing w:before="0" w:after="0"/>
        <w:jc w:val="center"/>
      </w:pPr>
      <w:r>
        <w:rPr>
          <w:i/>
          <w:iCs/>
          <w:color w:val="1b324f"/>
          <w:sz w:val="21"/>
          <w:szCs w:val="21"/>
          <w:rFonts w:ascii="宋体" w:cs="宋体" w:eastAsia="宋体" w:hAnsi="宋体"/>
        </w:rPr>
        <w:t xml:space="preserve">对工装质量及售后服务做出承诺。</w:t>
      </w:r>
    </w:p>
    <w:p>
      <w:pPr>
        <w:spacing w:before="0" w:after="0"/>
        <w:jc w:val="center"/>
      </w:pPr>
      <w:r>
        <w:rPr>
          <w:color w:val="1b324f"/>
          <w:sz w:val="24"/>
          <w:szCs w:val="24"/>
          <w:rFonts w:ascii="宋体" w:cs="宋体" w:eastAsia="宋体" w:hAnsi="宋体"/>
        </w:rPr>
        <w:t xml:space="preserve"> </w:t>
      </w:r>
    </w:p>
    <w:p>
      <w:pPr>
        <w:spacing w:before="0" w:after="0"/>
        <w:jc w:val="center"/>
      </w:pPr>
      <w:r>
        <w:rPr>
          <w:color w:val="1b324f"/>
          <w:sz w:val="24"/>
          <w:szCs w:val="24"/>
          <w:rFonts w:ascii="宋体" w:cs="宋体" w:eastAsia="宋体" w:hAnsi="宋体"/>
        </w:rPr>
        <w:t xml:space="preserve"> </w:t>
      </w:r>
    </w:p>
    <w:p>
      <w:pPr>
        <w:spacing w:before="0" w:after="0"/>
        <w:jc w:val="center"/>
      </w:pPr>
      <w:r>
        <w:rPr>
          <w:color w:val="1b324f"/>
          <w:sz w:val="24"/>
          <w:szCs w:val="24"/>
          <w:rFonts w:ascii="宋体" w:cs="宋体" w:eastAsia="宋体" w:hAnsi="宋体"/>
        </w:rPr>
        <w:t xml:space="preserve"> </w:t>
      </w:r>
    </w:p>
    <w:p>
      <w:pPr>
        <w:spacing w:before="0" w:after="0"/>
        <w:jc w:val="center"/>
      </w:pPr>
      <w:r>
        <w:rPr>
          <w:color w:val="1b324f"/>
          <w:sz w:val="24"/>
          <w:szCs w:val="24"/>
          <w:rFonts w:ascii="宋体" w:cs="宋体" w:eastAsia="宋体" w:hAnsi="宋体"/>
        </w:rPr>
        <w:t xml:space="preserve"> </w:t>
      </w:r>
    </w:p>
    <w:p>
      <w:pPr>
        <w:spacing w:before="0" w:after="0"/>
        <w:jc w:val="center"/>
      </w:pPr>
      <w:r>
        <w:rPr>
          <w:color w:val="1b324f"/>
          <w:sz w:val="24"/>
          <w:szCs w:val="24"/>
          <w:rFonts w:ascii="宋体" w:cs="宋体" w:eastAsia="宋体" w:hAnsi="宋体"/>
        </w:rPr>
        <w:t xml:space="preserve"> </w:t>
      </w:r>
    </w:p>
    <w:p>
      <w:pPr>
        <w:spacing w:before="0" w:after="0"/>
        <w:jc w:val="center"/>
      </w:pPr>
      <w:r>
        <w:rPr>
          <w:color w:val="1b324f"/>
          <w:sz w:val="24"/>
          <w:szCs w:val="24"/>
          <w:rFonts w:ascii="宋体" w:cs="宋体" w:eastAsia="宋体" w:hAnsi="宋体"/>
        </w:rPr>
        <w:t xml:space="preserve"> </w:t>
      </w:r>
    </w:p>
    <w:p>
      <w:pPr>
        <w:spacing w:before="0" w:after="0"/>
        <w:jc w:val="center"/>
      </w:pPr>
      <w:r>
        <w:rPr>
          <w:color w:val="1b324f"/>
          <w:sz w:val="24"/>
          <w:szCs w:val="24"/>
          <w:rFonts w:ascii="宋体" w:cs="宋体" w:eastAsia="宋体" w:hAnsi="宋体"/>
        </w:rPr>
        <w:t xml:space="preserve"> </w:t>
      </w:r>
    </w:p>
    <w:p>
      <w:pPr>
        <w:spacing w:before="0" w:after="0"/>
        <w:jc w:val="center"/>
      </w:pPr>
      <w:r>
        <w:rPr>
          <w:color w:val="1b324f"/>
          <w:sz w:val="24"/>
          <w:szCs w:val="24"/>
          <w:rFonts w:ascii="宋体" w:cs="宋体" w:eastAsia="宋体" w:hAnsi="宋体"/>
        </w:rPr>
        <w:t xml:space="preserve"> </w:t>
      </w:r>
    </w:p>
    <w:p>
      <w:pPr>
        <w:spacing w:before="0" w:after="0"/>
        <w:jc w:val="center"/>
      </w:pPr>
      <w:r>
        <w:rPr>
          <w:color w:val="1b324f"/>
          <w:sz w:val="24"/>
          <w:szCs w:val="24"/>
          <w:rFonts w:ascii="宋体" w:cs="宋体" w:eastAsia="宋体" w:hAnsi="宋体"/>
        </w:rPr>
        <w:t xml:space="preserve"> </w:t>
      </w:r>
    </w:p>
    <w:p>
      <w:pPr>
        <w:spacing w:before="0" w:after="0"/>
        <w:jc w:val="center"/>
      </w:pPr>
      <w:r>
        <w:rPr>
          <w:color w:val="1b324f"/>
          <w:sz w:val="24"/>
          <w:szCs w:val="24"/>
          <w:rFonts w:ascii="宋体" w:cs="宋体" w:eastAsia="宋体" w:hAnsi="宋体"/>
        </w:rPr>
        <w:t xml:space="preserve"> </w:t>
      </w:r>
    </w:p>
    <w:p>
      <w:pPr>
        <w:spacing w:before="0" w:after="0"/>
        <w:jc w:val="center"/>
      </w:pPr>
      <w:r>
        <w:rPr>
          <w:color w:val="1b324f"/>
          <w:sz w:val="24"/>
          <w:szCs w:val="24"/>
          <w:rFonts w:ascii="宋体" w:cs="宋体" w:eastAsia="宋体" w:hAnsi="宋体"/>
        </w:rPr>
        <w:t xml:space="preserve"> </w:t>
      </w:r>
    </w:p>
    <w:p>
      <w:pPr>
        <w:spacing w:before="0" w:after="0"/>
        <w:jc w:val="center"/>
      </w:pPr>
      <w:r>
        <w:rPr>
          <w:color w:val="1b324f"/>
          <w:sz w:val="24"/>
          <w:szCs w:val="24"/>
          <w:rFonts w:ascii="宋体" w:cs="宋体" w:eastAsia="宋体" w:hAnsi="宋体"/>
        </w:rPr>
        <w:t xml:space="preserve"> </w:t>
      </w:r>
    </w:p>
    <w:p>
      <w:pPr>
        <w:spacing w:before="0" w:after="0"/>
        <w:jc w:val="center"/>
      </w:pPr>
      <w:r>
        <w:rPr>
          <w:color w:val="1b324f"/>
          <w:sz w:val="24"/>
          <w:szCs w:val="24"/>
          <w:rFonts w:ascii="宋体" w:cs="宋体" w:eastAsia="宋体" w:hAnsi="宋体"/>
        </w:rPr>
        <w:t xml:space="preserve"> 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16"/>
          <w:footerReference w:type="default" r:id="rId17"/>
          <w:pgSz w:w="11906" w:h="16838" w:orient="portrait"/>
          <w:pgMar w:top="1440" w:right="1802" w:bottom="1440" w:left="1802" w:header="708" w:footer="708" w:gutter="0"/>
          <w:pgNumType w:start="6" w:fmt="decimal"/>
          <w:docGrid w:linePitch="360"/>
        </w:sectPr>
      </w:pPr>
    </w:p>
    <w:p>
      <w:pPr>
        <w:spacing w:before="0" w:after="0"/>
        <w:jc w:val="center"/>
      </w:pPr>
      <w:r>
        <w:rPr>
          <w:color w:val="1b324f"/>
          <w:sz w:val="24"/>
          <w:szCs w:val="24"/>
          <w:rFonts w:ascii="宋体" w:cs="宋体" w:eastAsia="宋体" w:hAnsi="宋体"/>
        </w:rPr>
        <w:t xml:space="preserve">   </w:t>
      </w:r>
      <w:r>
        <w:rPr>
          <w:color w:val="1b324f"/>
          <w:sz w:val="32"/>
          <w:szCs w:val="32"/>
          <w:rFonts w:ascii="宋体" w:cs="宋体" w:eastAsia="宋体" w:hAnsi="宋体"/>
        </w:rPr>
        <w:t xml:space="preserve">附录B：</w:t>
      </w:r>
    </w:p>
    <w:p>
      <w:pPr>
        <w:spacing w:before="0" w:after="0"/>
        <w:jc w:val="center"/>
      </w:pPr>
      <w:r>
        <w:rPr>
          <w:color w:val="1b324f"/>
          <w:sz w:val="32"/>
          <w:szCs w:val="32"/>
          <w:rFonts w:ascii="宋体" w:cs="宋体" w:eastAsia="宋体" w:hAnsi="宋体"/>
        </w:rPr>
        <w:t xml:space="preserve">工装技术方案评审检查表</w:t>
      </w:r>
    </w:p>
    <w:p>
      <w:pPr>
        <w:spacing w:before="0" w:after="0" w:line="280" w:lineRule="exact"/>
        <w:jc w:val="center"/>
      </w:pPr>
      <w:r>
        <w:rPr>
          <w:sz w:val="28"/>
          <w:szCs w:val="28"/>
          <w:rFonts w:ascii="宋体" w:cs="宋体" w:eastAsia="宋体" w:hAnsi="宋体"/>
        </w:rPr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0"/>
        <w:gridCol w:w="2070"/>
        <w:gridCol w:w="2070"/>
        <w:gridCol w:w="2070"/>
      </w:tblGrid>
      <w:tr>
        <w:trPr>
          <w:tblHeader w:val="false"/>
          <w:trHeight w:val="1035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序号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检查内容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结论（合格、不合格、不适用）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（对于不合格）修改要求</w:t>
            </w:r>
          </w:p>
        </w:tc>
      </w:tr>
      <w:tr>
        <w:trPr>
          <w:tblHeader w:val="false"/>
          <w:trHeight w:val="2025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1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技术方案第二节“技术条件响应”对照表中的条款，响应是否充分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</w:tr>
      <w:tr>
        <w:trPr>
          <w:tblHeader w:val="false"/>
          <w:trHeight w:val="2025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2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工装的轮廓长宽高是否符合工艺布置图、吊车高度要求。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</w:tr>
      <w:tr>
        <w:trPr>
          <w:tblHeader w:val="false"/>
          <w:trHeight w:val="2385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3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工装整体主体框架、主要定位器所用材料是否合理，考虑耐腐蚀性、强度、全寿命成本匹配性等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</w:tr>
      <w:tr>
        <w:trPr>
          <w:tblHeader w:val="false"/>
          <w:trHeight w:val="630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4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喷涂是否符合要求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</w:tr>
      <w:tr>
        <w:trPr>
          <w:tblHeader w:val="false"/>
          <w:trHeight w:val="1035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5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工装重量是否合理，是否需要地基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</w:tr>
      <w:tr>
        <w:trPr>
          <w:tblHeader w:val="false"/>
          <w:trHeight w:val="1935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6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可拆卸件是否便捷、易取、易恢复，是否设计有防止混淆的措施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</w:tr>
      <w:tr>
        <w:trPr>
          <w:tblHeader w:val="false"/>
          <w:trHeight w:val="510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7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可拆卸件是否设计有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</w:tr>
    </w:tbl>
    <w:p>
      <w:pPr>
        <w:sectPr>
          <w:headerReference w:type="default" r:id="rId18"/>
          <w:footerReference w:type="default" r:id="rId19"/>
          <w:pgSz w:w="11906" w:h="16838" w:orient="portrait"/>
          <w:pgMar w:top="1440" w:right="1802" w:bottom="1440" w:left="1802" w:header="708" w:footer="708" w:gutter="0"/>
          <w:pgNumType w:start="7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0"/>
        <w:gridCol w:w="2070"/>
        <w:gridCol w:w="2070"/>
        <w:gridCol w:w="2070"/>
      </w:tblGrid>
      <w:tr>
        <w:trPr>
          <w:tblHeader w:val="false"/>
          <w:trHeight w:val="630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配套存放装置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</w:tr>
      <w:tr>
        <w:trPr>
          <w:tblHeader w:val="false"/>
          <w:trHeight w:val="1935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8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工装所用成品件，是否选用行业内知名品牌，且优选国内易采购的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</w:tr>
      <w:tr>
        <w:trPr>
          <w:tblHeader w:val="false"/>
          <w:trHeight w:val="1485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9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工装采用立式、卧式还是翻转，是否符合使用要求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</w:tr>
      <w:tr>
        <w:trPr>
          <w:tblHeader w:val="false"/>
          <w:trHeight w:val="1035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10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产品上下架通路是否顺畅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</w:tr>
      <w:tr>
        <w:trPr>
          <w:tblHeader w:val="false"/>
          <w:trHeight w:val="1035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11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操作空间、操作姿态是否符合人机工程学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</w:tr>
      <w:tr>
        <w:trPr>
          <w:tblHeader w:val="false"/>
          <w:trHeight w:val="1035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12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是否对相似件采取了防错措施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</w:tr>
      <w:tr>
        <w:trPr>
          <w:tblHeader w:val="false"/>
          <w:trHeight w:val="1035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13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是否预留了风源电源接口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</w:tr>
      <w:tr>
        <w:trPr>
          <w:tblHeader w:val="false"/>
          <w:trHeight w:val="2505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14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涉及到的制造工艺是否成熟，是否采用了新技术、新工艺，是否有成熟应用案例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</w:tr>
      <w:tr>
        <w:trPr>
          <w:tblHeader w:val="false"/>
          <w:trHeight w:val="2760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15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是否考虑了本工装与其他工装之间的协调关系，例如是否有保型框从本工装转移至下一站位、装配工装与工作梯的配合关系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</w:tr>
    </w:tbl>
    <w:p>
      <w:pPr>
        <w:sectPr>
          <w:headerReference w:type="default" r:id="rId20"/>
          <w:footerReference w:type="default" r:id="rId21"/>
          <w:pgSz w:w="11906" w:h="16838" w:orient="portrait"/>
          <w:pgMar w:top="1440" w:right="1802" w:bottom="1440" w:left="1802" w:header="708" w:footer="708" w:gutter="0"/>
          <w:pgNumType w:start="8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0"/>
        <w:gridCol w:w="2070"/>
        <w:gridCol w:w="2070"/>
        <w:gridCol w:w="2070"/>
      </w:tblGrid>
      <w:tr>
        <w:trPr>
          <w:tblHeader w:val="false"/>
          <w:trHeight w:val="630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等；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</w:tr>
      <w:tr>
        <w:trPr>
          <w:tblHeader w:val="false"/>
          <w:trHeight w:val="1935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16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存在运动机构的工装，如升降、翻转等，是否设计了充分的安全防护措施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</w:tr>
      <w:tr>
        <w:trPr>
          <w:tblHeader w:val="false"/>
          <w:trHeight w:val="1935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17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液压驱动或电动的机构，是否保留了手动驱动的功能以备不时之需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</w:tr>
      <w:tr>
        <w:trPr>
          <w:tblHeader w:val="false"/>
          <w:trHeight w:val="1065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18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是否识别了易损件清单并提供备件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</w:tr>
      <w:tr>
        <w:trPr>
          <w:tblHeader w:val="false"/>
          <w:trHeight w:val="4905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19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针对工装所使用的软件、控制系统，是否明确了版本、数据格式和接口要求，是否具备采集、存储和开放接口特性；软件是否有永久授权和免费升级服务且升级具备向下兼容性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</w:tr>
      <w:tr>
        <w:trPr>
          <w:tblHeader w:val="false"/>
          <w:trHeight w:val="2910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20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是否承诺制定验收大纲，包含出厂前验收、现场验收等环节，验收方法及标准是否明确，验收大纲提交给民机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</w:tr>
    </w:tbl>
    <w:p>
      <w:pPr>
        <w:sectPr>
          <w:headerReference w:type="default" r:id="rId22"/>
          <w:footerReference w:type="default" r:id="rId23"/>
          <w:pgSz w:w="11906" w:h="16838" w:orient="portrait"/>
          <w:pgMar w:top="1440" w:right="1802" w:bottom="1440" w:left="1802" w:header="708" w:footer="708" w:gutter="0"/>
          <w:pgNumType w:start="9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0"/>
        <w:gridCol w:w="2070"/>
        <w:gridCol w:w="2070"/>
        <w:gridCol w:w="2070"/>
      </w:tblGrid>
      <w:tr>
        <w:trPr>
          <w:tblHeader w:val="false"/>
          <w:trHeight w:val="1035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公司进行审批的时间是否充足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</w:tr>
      <w:tr>
        <w:trPr>
          <w:tblHeader w:val="false"/>
          <w:trHeight w:val="1545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21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吊具类工装是否计划提供强度、应力分析报告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</w:tr>
      <w:tr>
        <w:trPr>
          <w:tblHeader w:val="false"/>
          <w:trHeight w:val="1065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22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复杂工装是否提供模拟仿真验证结果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</w:tr>
      <w:tr>
        <w:trPr>
          <w:tblHeader w:val="false"/>
          <w:trHeight w:val="2985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23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工期安排是否合理，关键节点（设计、制造、安装/调试、交检）是否清晰，且满足进度要求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</w:tr>
      <w:tr>
        <w:trPr>
          <w:tblHeader w:val="false"/>
          <w:trHeight w:val="2025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24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资源配置是否充足，包括拟投入的人员队伍、激光跟踪仪设备等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</w:tr>
      <w:tr>
        <w:trPr>
          <w:tblHeader w:val="false"/>
          <w:trHeight w:val="3465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25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需要在民机公司现场完成的工作量，是否写明了需要配套的资源，例如吊车吨位、厂方高度、风源压力、电压等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</w:tr>
      <w:tr>
        <w:trPr>
          <w:tblHeader w:val="false"/>
          <w:trHeight w:val="1470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26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文件资料是否完整，涵盖工装各类清单（包括工装物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</w:tr>
    </w:tbl>
    <w:p>
      <w:pPr>
        <w:sectPr>
          <w:headerReference w:type="default" r:id="rId24"/>
          <w:footerReference w:type="default" r:id="rId25"/>
          <w:pgSz w:w="11906" w:h="16838" w:orient="portrait"/>
          <w:pgMar w:top="1440" w:right="1802" w:bottom="1440" w:left="1802" w:header="708" w:footer="708" w:gutter="0"/>
          <w:pgNumType w:start="10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0"/>
        <w:gridCol w:w="2070"/>
        <w:gridCol w:w="2070"/>
        <w:gridCol w:w="2070"/>
      </w:tblGrid>
      <w:tr>
        <w:trPr>
          <w:tblHeader w:val="false"/>
          <w:trHeight w:val="3915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料清单MBOM）、图纸、数模、制造工艺规程、验收大纲、检测报告、成品件/标准件合格证、使用说明书、培训手册、易损件/备件清单等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</w:tr>
      <w:tr>
        <w:trPr>
          <w:tblHeader w:val="false"/>
          <w:trHeight w:val="1065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26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承诺的质量保证及售后是否充分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 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 </w:t>
            </w:r>
          </w:p>
        </w:tc>
      </w:tr>
    </w:tbl>
    <w:sectPr>
      <w:headerReference w:type="default" r:id="rId26"/>
      <w:footerReference w:type="default" r:id="rId27"/>
      <w:pgSz w:w="11906" w:h="16838" w:orient="portrait"/>
      <w:pgMar w:top="1440" w:right="1802" w:bottom="1440" w:left="1802" w:header="708" w:footer="708" w:gutter="0"/>
      <w:pgNumType w:start="1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7</w:t>
    </w:r>
    <w:r>
      <w:t xml:space="preserve">0</w:t>
    </w:r>
    <w:r>
      <w:t xml:space="preserve">2</w:t>
    </w:r>
    <w:r>
      <w:t xml:space="preserve">0</w:t>
    </w:r>
    <w:r>
      <w:t xml:space="preserve">1</w:t>
    </w:r>
    <w:r>
      <w:t xml:space="preserve">-</w:t>
    </w:r>
    <w:r>
      <w:t xml:space="preserve">0</w:t>
    </w:r>
    <w:r>
      <w:t xml:space="preserve">1</w:t>
    </w:r>
    <w:r>
      <w:t xml:space="preserve">-</w:t>
    </w:r>
    <w:r>
      <w:t xml:space="preserve">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7</w:t>
    </w:r>
    <w:r>
      <w:t xml:space="preserve">0</w:t>
    </w:r>
    <w:r>
      <w:t xml:space="preserve">2</w:t>
    </w:r>
    <w:r>
      <w:t xml:space="preserve">0</w:t>
    </w:r>
    <w:r>
      <w:t xml:space="preserve">1</w:t>
    </w:r>
    <w:r>
      <w:t xml:space="preserve">-</w:t>
    </w:r>
    <w:r>
      <w:t xml:space="preserve">0</w:t>
    </w:r>
    <w:r>
      <w:t xml:space="preserve">1</w:t>
    </w:r>
    <w:r>
      <w:t xml:space="preserve">-</w:t>
    </w:r>
    <w:r>
      <w:t xml:space="preserve">A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7</w:t>
    </w:r>
    <w:r>
      <w:t xml:space="preserve">0</w:t>
    </w:r>
    <w:r>
      <w:t xml:space="preserve">2</w:t>
    </w:r>
    <w:r>
      <w:t xml:space="preserve">0</w:t>
    </w:r>
    <w:r>
      <w:t xml:space="preserve">1</w:t>
    </w:r>
    <w:r>
      <w:t xml:space="preserve">-</w:t>
    </w:r>
    <w:r>
      <w:t xml:space="preserve">0</w:t>
    </w:r>
    <w:r>
      <w:t xml:space="preserve">1</w:t>
    </w:r>
    <w:r>
      <w:t xml:space="preserve">-</w:t>
    </w:r>
    <w:r>
      <w:t xml:space="preserve">A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7</w:t>
    </w:r>
    <w:r>
      <w:t xml:space="preserve">0</w:t>
    </w:r>
    <w:r>
      <w:t xml:space="preserve">2</w:t>
    </w:r>
    <w:r>
      <w:t xml:space="preserve">0</w:t>
    </w:r>
    <w:r>
      <w:t xml:space="preserve">1</w:t>
    </w:r>
    <w:r>
      <w:t xml:space="preserve">-</w:t>
    </w:r>
    <w:r>
      <w:t xml:space="preserve">0</w:t>
    </w:r>
    <w:r>
      <w:t xml:space="preserve">1</w:t>
    </w:r>
    <w:r>
      <w:t xml:space="preserve">-</w:t>
    </w:r>
    <w:r>
      <w:t xml:space="preserve">A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7</w:t>
    </w:r>
    <w:r>
      <w:t xml:space="preserve">0</w:t>
    </w:r>
    <w:r>
      <w:t xml:space="preserve">2</w:t>
    </w:r>
    <w:r>
      <w:t xml:space="preserve">0</w:t>
    </w:r>
    <w:r>
      <w:t xml:space="preserve">1</w:t>
    </w:r>
    <w:r>
      <w:t xml:space="preserve">-</w:t>
    </w:r>
    <w:r>
      <w:t xml:space="preserve">0</w:t>
    </w:r>
    <w:r>
      <w:t xml:space="preserve">1</w:t>
    </w:r>
    <w:r>
      <w:t xml:space="preserve">-</w:t>
    </w:r>
    <w:r>
      <w:t xml:space="preserve">A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7</w:t>
    </w:r>
    <w:r>
      <w:t xml:space="preserve">0</w:t>
    </w:r>
    <w:r>
      <w:t xml:space="preserve">2</w:t>
    </w:r>
    <w:r>
      <w:t xml:space="preserve">0</w:t>
    </w:r>
    <w:r>
      <w:t xml:space="preserve">1</w:t>
    </w:r>
    <w:r>
      <w:t xml:space="preserve">-</w:t>
    </w:r>
    <w:r>
      <w:t xml:space="preserve">0</w:t>
    </w:r>
    <w:r>
      <w:t xml:space="preserve">1</w:t>
    </w:r>
    <w:r>
      <w:t xml:space="preserve">-</w:t>
    </w:r>
    <w:r>
      <w:t xml:space="preserve">A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7</w:t>
    </w:r>
    <w:r>
      <w:t xml:space="preserve">0</w:t>
    </w:r>
    <w:r>
      <w:t xml:space="preserve">2</w:t>
    </w:r>
    <w:r>
      <w:t xml:space="preserve">0</w:t>
    </w:r>
    <w:r>
      <w:t xml:space="preserve">1</w:t>
    </w:r>
    <w:r>
      <w:t xml:space="preserve">-</w:t>
    </w:r>
    <w:r>
      <w:t xml:space="preserve">0</w:t>
    </w:r>
    <w:r>
      <w:t xml:space="preserve">1</w:t>
    </w:r>
    <w:r>
      <w:t xml:space="preserve">-</w:t>
    </w:r>
    <w:r>
      <w:t xml:space="preserve">A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7</w:t>
    </w:r>
    <w:r>
      <w:t xml:space="preserve">0</w:t>
    </w:r>
    <w:r>
      <w:t xml:space="preserve">2</w:t>
    </w:r>
    <w:r>
      <w:t xml:space="preserve">0</w:t>
    </w:r>
    <w:r>
      <w:t xml:space="preserve">1</w:t>
    </w:r>
    <w:r>
      <w:t xml:space="preserve">-</w:t>
    </w:r>
    <w:r>
      <w:t xml:space="preserve">0</w:t>
    </w:r>
    <w:r>
      <w:t xml:space="preserve">1</w:t>
    </w:r>
    <w:r>
      <w:t xml:space="preserve">-</w:t>
    </w:r>
    <w:r>
      <w:t xml:space="preserve">A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7</w:t>
    </w:r>
    <w:r>
      <w:t xml:space="preserve">0</w:t>
    </w:r>
    <w:r>
      <w:t xml:space="preserve">2</w:t>
    </w:r>
    <w:r>
      <w:t xml:space="preserve">0</w:t>
    </w:r>
    <w:r>
      <w:t xml:space="preserve">1</w:t>
    </w:r>
    <w:r>
      <w:t xml:space="preserve">-</w:t>
    </w:r>
    <w:r>
      <w:t xml:space="preserve">0</w:t>
    </w:r>
    <w:r>
      <w:t xml:space="preserve">1</w:t>
    </w:r>
    <w:r>
      <w:t xml:space="preserve">-</w:t>
    </w:r>
    <w:r>
      <w:t xml:space="preserve">A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7</w:t>
    </w:r>
    <w:r>
      <w:t xml:space="preserve">0</w:t>
    </w:r>
    <w:r>
      <w:t xml:space="preserve">2</w:t>
    </w:r>
    <w:r>
      <w:t xml:space="preserve">0</w:t>
    </w:r>
    <w:r>
      <w:t xml:space="preserve">1</w:t>
    </w:r>
    <w:r>
      <w:t xml:space="preserve">-</w:t>
    </w:r>
    <w:r>
      <w:t xml:space="preserve">0</w:t>
    </w:r>
    <w:r>
      <w:t xml:space="preserve">1</w:t>
    </w:r>
    <w:r>
      <w:t xml:space="preserve">-</w:t>
    </w:r>
    <w:r>
      <w:t xml:space="preserve">A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7</w:t>
    </w:r>
    <w:r>
      <w:t xml:space="preserve">0</w:t>
    </w:r>
    <w:r>
      <w:t xml:space="preserve">2</w:t>
    </w:r>
    <w:r>
      <w:t xml:space="preserve">0</w:t>
    </w:r>
    <w:r>
      <w:t xml:space="preserve">1</w:t>
    </w:r>
    <w:r>
      <w:t xml:space="preserve">-</w:t>
    </w:r>
    <w:r>
      <w:t xml:space="preserve">0</w:t>
    </w:r>
    <w:r>
      <w:t xml:space="preserve">1</w:t>
    </w:r>
    <w:r>
      <w:t xml:space="preserve">-</w:t>
    </w:r>
    <w:r>
      <w:t xml:space="preserve">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  <w:doNotExpandShiftReturn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  <w:rFonts w:ascii="宋体" w:cs="宋体" w:eastAsia="宋体" w:hAnsi="宋体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40" w:after="330"/>
    </w:pPr>
    <w:rPr>
      <w:b/>
      <w:bCs/>
      <w:color w:val="000000"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260" w:after="260"/>
    </w:pPr>
    <w:rPr>
      <w:b/>
      <w:bCs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60" w:after="260"/>
    </w:pPr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pPr>
      <w:spacing w:before="280" w:after="290"/>
    </w:pPr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80" w:after="290"/>
    </w:pPr>
    <w:rPr>
      <w:b/>
      <w:bCs/>
      <w:color w:val="000000"/>
      <w:sz w:val="28"/>
      <w:szCs w:val="28"/>
    </w:rPr>
  </w:style>
  <w:style w:type="paragraph" w:styleId="Heading6">
    <w:name w:val="Heading 6"/>
    <w:basedOn w:val="Normal"/>
    <w:next w:val="Normal"/>
    <w:qFormat/>
    <w:pPr>
      <w:spacing w:before="240" w:after="64"/>
    </w:pPr>
    <w:rPr>
      <w:b/>
      <w:bCs/>
      <w:color w:val="000000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header" Target="header5.xml"/><Relationship Id="rId15" Type="http://schemas.openxmlformats.org/officeDocument/2006/relationships/footer" Target="footer5.xml"/><Relationship Id="rId16" Type="http://schemas.openxmlformats.org/officeDocument/2006/relationships/header" Target="header6.xml"/><Relationship Id="rId17" Type="http://schemas.openxmlformats.org/officeDocument/2006/relationships/footer" Target="footer6.xml"/><Relationship Id="rId18" Type="http://schemas.openxmlformats.org/officeDocument/2006/relationships/header" Target="header7.xml"/><Relationship Id="rId19" Type="http://schemas.openxmlformats.org/officeDocument/2006/relationships/footer" Target="footer7.xml"/><Relationship Id="rId20" Type="http://schemas.openxmlformats.org/officeDocument/2006/relationships/header" Target="header8.xml"/><Relationship Id="rId21" Type="http://schemas.openxmlformats.org/officeDocument/2006/relationships/footer" Target="footer8.xml"/><Relationship Id="rId22" Type="http://schemas.openxmlformats.org/officeDocument/2006/relationships/header" Target="header9.xml"/><Relationship Id="rId23" Type="http://schemas.openxmlformats.org/officeDocument/2006/relationships/footer" Target="footer9.xml"/><Relationship Id="rId24" Type="http://schemas.openxmlformats.org/officeDocument/2006/relationships/header" Target="header10.xml"/><Relationship Id="rId25" Type="http://schemas.openxmlformats.org/officeDocument/2006/relationships/footer" Target="footer10.xml"/><Relationship Id="rId26" Type="http://schemas.openxmlformats.org/officeDocument/2006/relationships/header" Target="header11.xml"/><Relationship Id="rId27" Type="http://schemas.openxmlformats.org/officeDocument/2006/relationships/footer" Target="footer11.xml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2026-06-11T03:42:11.799Z</dcterms:created>
  <dcterms:modified xsi:type="dcterms:W3CDTF">2026-06-11T03:42:11.799Z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